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4EDF9AB1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4137B8">
            <w:rPr>
              <w:sz w:val="16"/>
              <w:szCs w:val="16"/>
            </w:rPr>
            <w:t>SMK/119305/2024</w:t>
          </w:r>
        </w:sdtContent>
      </w:sdt>
      <w:bookmarkEnd w:id="0"/>
    </w:p>
    <w:p w14:paraId="5C25C22D" w14:textId="2835C874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4137B8" w:rsidRPr="007D14CF">
            <w:rPr>
              <w:sz w:val="16"/>
              <w:szCs w:val="16"/>
            </w:rPr>
            <w:t>SMK/119305/2024</w:t>
          </w:r>
        </w:sdtContent>
      </w:sdt>
      <w:bookmarkEnd w:id="1"/>
    </w:p>
    <w:p w14:paraId="2F971004" w14:textId="4B41F9B3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4137B8">
            <w:rPr>
              <w:sz w:val="16"/>
              <w:szCs w:val="16"/>
            </w:rPr>
            <w:t>SML/1878/2024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14B2D539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F3536A" w:rsidRPr="00DF5D9A">
        <w:rPr>
          <w:rFonts w:cs="Arial"/>
          <w:sz w:val="22"/>
        </w:rPr>
        <w:t>Ing. Janem Wolfem</w:t>
      </w:r>
      <w:r w:rsidR="00F3536A"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 xml:space="preserve">primátorem města </w:t>
      </w:r>
    </w:p>
    <w:p w14:paraId="2FCA75C5" w14:textId="77777777" w:rsidR="00730869" w:rsidRPr="00F720FE" w:rsidRDefault="00E168CB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0848DD21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6E57DDE7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BE8D97C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77777777" w:rsidR="00EF7BFF" w:rsidRPr="004137B8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4137B8">
        <w:rPr>
          <w:rFonts w:cs="Arial"/>
          <w:color w:val="000000" w:themeColor="text1"/>
          <w:sz w:val="22"/>
        </w:rPr>
        <w:t>příjemce:</w:t>
      </w:r>
    </w:p>
    <w:p w14:paraId="49480856" w14:textId="3D151607" w:rsidR="00EF7BFF" w:rsidRPr="004137B8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4137B8">
        <w:rPr>
          <w:rFonts w:cs="Arial"/>
          <w:color w:val="000000" w:themeColor="text1"/>
          <w:sz w:val="22"/>
        </w:rPr>
        <w:t>název:</w:t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="004137B8" w:rsidRPr="004137B8">
        <w:rPr>
          <w:rFonts w:cs="Arial"/>
          <w:b/>
          <w:color w:val="000000" w:themeColor="text1"/>
          <w:sz w:val="22"/>
        </w:rPr>
        <w:t>Lázně Darkov, a.s.</w:t>
      </w:r>
    </w:p>
    <w:p w14:paraId="6B74A468" w14:textId="6CFAE7C0" w:rsidR="00EF7BFF" w:rsidRPr="004137B8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4137B8">
        <w:rPr>
          <w:rFonts w:cs="Arial"/>
          <w:color w:val="000000" w:themeColor="text1"/>
          <w:sz w:val="22"/>
        </w:rPr>
        <w:t>číslo účtu:</w:t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="004137B8" w:rsidRPr="004137B8">
        <w:rPr>
          <w:rFonts w:cs="Arial"/>
          <w:color w:val="000000" w:themeColor="text1"/>
          <w:sz w:val="22"/>
        </w:rPr>
        <w:t>2500838503/2010</w:t>
      </w:r>
      <w:r w:rsidRPr="004137B8">
        <w:rPr>
          <w:rFonts w:cs="Arial"/>
          <w:color w:val="000000" w:themeColor="text1"/>
          <w:sz w:val="22"/>
        </w:rPr>
        <w:tab/>
      </w:r>
    </w:p>
    <w:p w14:paraId="63FD3898" w14:textId="7099AF73" w:rsidR="009E5491" w:rsidRPr="004137B8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4137B8">
        <w:rPr>
          <w:rFonts w:cs="Arial"/>
          <w:color w:val="000000" w:themeColor="text1"/>
          <w:sz w:val="22"/>
        </w:rPr>
        <w:t>sídlo:</w:t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="004137B8" w:rsidRPr="004137B8">
        <w:rPr>
          <w:rFonts w:cs="Arial"/>
          <w:color w:val="000000" w:themeColor="text1"/>
          <w:sz w:val="22"/>
        </w:rPr>
        <w:t>Čsl. armády 2954/2, 733 01 Karviná-Hranice</w:t>
      </w:r>
    </w:p>
    <w:p w14:paraId="65AF4ECD" w14:textId="52ECD4F9" w:rsidR="00EF7BFF" w:rsidRPr="004137B8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4137B8">
        <w:rPr>
          <w:rFonts w:cs="Arial"/>
          <w:color w:val="000000" w:themeColor="text1"/>
          <w:sz w:val="22"/>
        </w:rPr>
        <w:t>IČO:</w:t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="004137B8" w:rsidRPr="004137B8">
        <w:rPr>
          <w:rFonts w:cs="Arial"/>
          <w:color w:val="000000" w:themeColor="text1"/>
          <w:sz w:val="22"/>
        </w:rPr>
        <w:t>61974935</w:t>
      </w:r>
    </w:p>
    <w:p w14:paraId="116F0B3B" w14:textId="62B33A95" w:rsidR="00EF7BFF" w:rsidRPr="004137B8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4137B8">
        <w:rPr>
          <w:rFonts w:cs="Arial"/>
          <w:color w:val="000000" w:themeColor="text1"/>
          <w:sz w:val="22"/>
        </w:rPr>
        <w:t>DIČ:</w:t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="004137B8" w:rsidRPr="004137B8">
        <w:rPr>
          <w:rFonts w:cs="Arial"/>
          <w:color w:val="000000" w:themeColor="text1"/>
          <w:sz w:val="22"/>
        </w:rPr>
        <w:t>CZ61974935</w:t>
      </w:r>
    </w:p>
    <w:p w14:paraId="6C0E9A77" w14:textId="4981D89D" w:rsidR="00EF7BFF" w:rsidRPr="004137B8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4137B8">
        <w:rPr>
          <w:rFonts w:cs="Arial"/>
          <w:color w:val="000000" w:themeColor="text1"/>
          <w:sz w:val="22"/>
        </w:rPr>
        <w:t xml:space="preserve">zapsaný v rejstříku </w:t>
      </w:r>
      <w:r w:rsidRPr="004137B8">
        <w:rPr>
          <w:rFonts w:cs="Arial"/>
          <w:color w:val="000000" w:themeColor="text1"/>
          <w:sz w:val="22"/>
        </w:rPr>
        <w:tab/>
      </w:r>
      <w:r w:rsidRPr="004137B8">
        <w:rPr>
          <w:rFonts w:cs="Arial"/>
          <w:color w:val="000000" w:themeColor="text1"/>
          <w:sz w:val="22"/>
        </w:rPr>
        <w:tab/>
      </w:r>
      <w:r w:rsidR="004137B8" w:rsidRPr="004137B8">
        <w:rPr>
          <w:rFonts w:cs="Arial"/>
          <w:color w:val="000000" w:themeColor="text1"/>
          <w:sz w:val="22"/>
        </w:rPr>
        <w:t xml:space="preserve">B 1180 vedená u Krajského soudu v Ostravě </w:t>
      </w:r>
    </w:p>
    <w:p w14:paraId="44395C50" w14:textId="77777777" w:rsidR="00EF7BFF" w:rsidRPr="004137B8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61433D93" w:rsidR="00EF7BFF" w:rsidRPr="004137B8" w:rsidRDefault="00EF7BFF" w:rsidP="00CD68C5">
      <w:pPr>
        <w:spacing w:after="0"/>
        <w:ind w:left="2832" w:hanging="2832"/>
        <w:rPr>
          <w:rFonts w:cs="Arial"/>
          <w:color w:val="000000" w:themeColor="text1"/>
          <w:sz w:val="22"/>
        </w:rPr>
      </w:pPr>
      <w:r w:rsidRPr="004137B8">
        <w:rPr>
          <w:rFonts w:cs="Arial"/>
          <w:color w:val="000000" w:themeColor="text1"/>
          <w:sz w:val="22"/>
        </w:rPr>
        <w:t>zastoupený:</w:t>
      </w:r>
      <w:r w:rsidRPr="004137B8">
        <w:rPr>
          <w:rFonts w:cs="Arial"/>
          <w:color w:val="000000" w:themeColor="text1"/>
          <w:sz w:val="22"/>
        </w:rPr>
        <w:tab/>
      </w:r>
      <w:r w:rsidR="004137B8" w:rsidRPr="004137B8">
        <w:rPr>
          <w:rFonts w:cs="Arial"/>
          <w:color w:val="000000" w:themeColor="text1"/>
          <w:sz w:val="22"/>
        </w:rPr>
        <w:t>Ing. Pavlínou Filipi, členem představenstva</w:t>
      </w:r>
    </w:p>
    <w:p w14:paraId="4539FD41" w14:textId="77777777" w:rsidR="00EF7BFF" w:rsidRPr="004137B8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B82CC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4137B8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9CDF8F" w14:textId="77777777" w:rsidR="007F1638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5E2B0B4C" w:rsidR="008C39A6" w:rsidRPr="004539BD" w:rsidRDefault="008C39A6" w:rsidP="008C39A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DF5D9A">
        <w:rPr>
          <w:rFonts w:cs="Arial"/>
          <w:sz w:val="22"/>
        </w:rPr>
        <w:t>individuálně posouzené žádosti</w:t>
      </w:r>
      <w:r w:rsidR="00F3536A" w:rsidRPr="00DF5D9A">
        <w:rPr>
          <w:rFonts w:cs="Arial"/>
          <w:sz w:val="22"/>
        </w:rPr>
        <w:t>.</w:t>
      </w:r>
    </w:p>
    <w:p w14:paraId="19548067" w14:textId="5196AD2A" w:rsidR="00FD3F90" w:rsidRPr="00DF5D9A" w:rsidRDefault="00F3536A" w:rsidP="00DF5D9A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Del="00F3536A">
        <w:rPr>
          <w:rFonts w:cs="Arial"/>
          <w:bCs/>
          <w:color w:val="00B0F0"/>
          <w:sz w:val="22"/>
        </w:rPr>
        <w:lastRenderedPageBreak/>
        <w:t xml:space="preserve"> </w:t>
      </w:r>
      <w:r w:rsidR="00FD3F90" w:rsidRPr="00DF5D9A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</w:t>
      </w:r>
      <w:r w:rsidR="00750F82" w:rsidRPr="00DF5D9A">
        <w:rPr>
          <w:rFonts w:cs="Arial"/>
          <w:bCs/>
          <w:sz w:val="22"/>
        </w:rPr>
        <w:t>ské unie dne 31. 7. 2014,</w:t>
      </w:r>
      <w:r w:rsidR="00FD3F90" w:rsidRPr="00DF5D9A">
        <w:rPr>
          <w:rFonts w:cs="Arial"/>
          <w:bCs/>
          <w:sz w:val="22"/>
        </w:rPr>
        <w:t xml:space="preserve"> L 229), ve znění Nařízení Rady (EU) 2022/576 ze dne 8. dubna 2022 (publikováno v Úředním věstníku Evr</w:t>
      </w:r>
      <w:r w:rsidR="00750F82" w:rsidRPr="00DF5D9A">
        <w:rPr>
          <w:rFonts w:cs="Arial"/>
          <w:bCs/>
          <w:sz w:val="22"/>
        </w:rPr>
        <w:t>opské unie dne 8. 4. 2022,</w:t>
      </w:r>
      <w:r w:rsidR="00FD3F90" w:rsidRPr="00DF5D9A">
        <w:rPr>
          <w:rFonts w:cs="Arial"/>
          <w:bCs/>
          <w:sz w:val="22"/>
        </w:rPr>
        <w:t xml:space="preserve">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734EB1D" w14:textId="77777777" w:rsidR="00A55917" w:rsidRPr="00CD68C5" w:rsidRDefault="00A55917" w:rsidP="00CD68C5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494E164A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53B9FF21" w14:textId="77777777" w:rsidR="00CD68C5" w:rsidRPr="004F6FE8" w:rsidRDefault="00CD68C5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7B3E9094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2A3D6C49" w14:textId="77777777" w:rsidR="00F3536A" w:rsidRPr="00C97CE6" w:rsidRDefault="00F3536A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7EB0DAC4" w:rsidR="0048401E" w:rsidRPr="00CD68C5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CD68C5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CD68C5">
        <w:rPr>
          <w:rFonts w:eastAsia="Times New Roman" w:cs="Arial"/>
          <w:sz w:val="22"/>
          <w:lang w:eastAsia="cs-CZ" w:bidi="ar-SA"/>
        </w:rPr>
        <w:t xml:space="preserve"> </w:t>
      </w:r>
      <w:r w:rsidR="00CD68C5" w:rsidRPr="00CD68C5">
        <w:rPr>
          <w:rFonts w:eastAsia="Times New Roman" w:cs="Arial"/>
          <w:sz w:val="22"/>
          <w:lang w:eastAsia="cs-CZ" w:bidi="ar-SA"/>
        </w:rPr>
        <w:t xml:space="preserve">200.000,-. </w:t>
      </w:r>
      <w:r w:rsidR="00277BCF" w:rsidRPr="00CD68C5">
        <w:rPr>
          <w:rFonts w:eastAsia="Times New Roman" w:cs="Arial"/>
          <w:sz w:val="22"/>
          <w:lang w:eastAsia="cs-CZ" w:bidi="ar-SA"/>
        </w:rPr>
        <w:t>Kč</w:t>
      </w:r>
      <w:r w:rsidRPr="00CD68C5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CD68C5">
        <w:rPr>
          <w:rFonts w:eastAsia="Times New Roman" w:cs="Arial"/>
          <w:sz w:val="22"/>
          <w:lang w:eastAsia="cs-CZ" w:bidi="ar-SA"/>
        </w:rPr>
        <w:t xml:space="preserve">ve výši </w:t>
      </w:r>
      <w:r w:rsidR="00CD68C5" w:rsidRPr="00CD68C5">
        <w:rPr>
          <w:rFonts w:eastAsia="Times New Roman" w:cs="Arial"/>
          <w:sz w:val="22"/>
          <w:lang w:eastAsia="cs-CZ" w:bidi="ar-SA"/>
        </w:rPr>
        <w:t xml:space="preserve">200.000,- </w:t>
      </w:r>
      <w:r w:rsidR="00277BCF" w:rsidRPr="00CD68C5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CD68C5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CD68C5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CD68C5">
        <w:rPr>
          <w:rFonts w:eastAsia="Times New Roman" w:cs="Arial"/>
          <w:sz w:val="22"/>
          <w:lang w:eastAsia="cs-CZ" w:bidi="ar-SA"/>
        </w:rPr>
        <w:t>ve výši</w:t>
      </w:r>
      <w:r w:rsidR="00277BCF" w:rsidRPr="00CD68C5">
        <w:rPr>
          <w:rFonts w:eastAsia="Times New Roman" w:cs="Arial"/>
          <w:sz w:val="22"/>
          <w:lang w:eastAsia="cs-CZ" w:bidi="ar-SA"/>
        </w:rPr>
        <w:t xml:space="preserve"> </w:t>
      </w:r>
      <w:r w:rsidR="00CD68C5" w:rsidRPr="00CD68C5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CD68C5">
        <w:rPr>
          <w:rFonts w:eastAsia="Times New Roman" w:cs="Arial"/>
          <w:sz w:val="22"/>
          <w:lang w:eastAsia="cs-CZ" w:bidi="ar-SA"/>
        </w:rPr>
        <w:t xml:space="preserve">Kč </w:t>
      </w:r>
      <w:r w:rsidRPr="00CD68C5">
        <w:rPr>
          <w:rFonts w:eastAsia="Times New Roman" w:cs="Arial"/>
          <w:sz w:val="22"/>
          <w:lang w:eastAsia="cs-CZ" w:bidi="ar-SA"/>
        </w:rPr>
        <w:t>je investiční.</w:t>
      </w:r>
    </w:p>
    <w:p w14:paraId="2B01A12F" w14:textId="7B413375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1D2B973B" w14:textId="40088B41" w:rsidR="00C43FC6" w:rsidRDefault="00C43FC6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3F34CA07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</w:t>
      </w:r>
      <w:r w:rsidR="00C334F6">
        <w:rPr>
          <w:rFonts w:cs="Arial"/>
          <w:sz w:val="22"/>
        </w:rPr>
        <w:t xml:space="preserve"> </w:t>
      </w:r>
      <w:r w:rsidR="00CD68C5">
        <w:rPr>
          <w:rFonts w:cs="Arial"/>
          <w:sz w:val="22"/>
        </w:rPr>
        <w:t xml:space="preserve">Celoměstské kulturní akce Lázni Darkov a.s. </w:t>
      </w:r>
      <w:r w:rsidR="004934EF">
        <w:rPr>
          <w:rFonts w:cs="Arial"/>
          <w:sz w:val="22"/>
        </w:rPr>
        <w:t xml:space="preserve">(dále jen „projekt“) </w:t>
      </w:r>
      <w:r>
        <w:rPr>
          <w:rFonts w:cs="Arial"/>
          <w:sz w:val="22"/>
        </w:rPr>
        <w:t>blíže specifikovaného v žádosti o poskytnutí dotace ze dne</w:t>
      </w:r>
      <w:r w:rsidR="009149CC">
        <w:rPr>
          <w:rFonts w:cs="Arial"/>
          <w:sz w:val="22"/>
        </w:rPr>
        <w:t xml:space="preserve"> </w:t>
      </w:r>
      <w:r w:rsidR="00CD68C5">
        <w:rPr>
          <w:rFonts w:cs="Arial"/>
          <w:sz w:val="22"/>
        </w:rPr>
        <w:t xml:space="preserve">30.08.2024, </w:t>
      </w:r>
      <w:r>
        <w:rPr>
          <w:rFonts w:cs="Arial"/>
          <w:sz w:val="22"/>
        </w:rPr>
        <w:t>č. j.</w:t>
      </w:r>
      <w:r w:rsidR="009149CC">
        <w:rPr>
          <w:rFonts w:cs="Arial"/>
          <w:sz w:val="22"/>
        </w:rPr>
        <w:t xml:space="preserve"> </w:t>
      </w:r>
      <w:r w:rsidR="00CD68C5">
        <w:rPr>
          <w:rFonts w:cs="Arial"/>
          <w:sz w:val="22"/>
        </w:rPr>
        <w:t>SMK/119305/2024.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2B525514" w:rsidR="00C66DDF" w:rsidRDefault="00CD68C5" w:rsidP="00937FA4">
      <w:pPr>
        <w:pStyle w:val="Zkladntext"/>
        <w:widowControl w:val="0"/>
        <w:numPr>
          <w:ilvl w:val="0"/>
          <w:numId w:val="48"/>
        </w:numPr>
        <w:spacing w:before="120"/>
        <w:ind w:left="714" w:hanging="357"/>
        <w:contextualSpacing/>
        <w:rPr>
          <w:rFonts w:cs="Arial"/>
          <w:bCs/>
          <w:sz w:val="22"/>
        </w:rPr>
      </w:pPr>
      <w:r>
        <w:rPr>
          <w:rFonts w:cs="Arial"/>
          <w:bCs/>
          <w:sz w:val="22"/>
        </w:rPr>
        <w:t>otevírání pramenů</w:t>
      </w:r>
    </w:p>
    <w:p w14:paraId="3FF7E81E" w14:textId="47C17482" w:rsidR="00CD68C5" w:rsidRDefault="00CD68C5" w:rsidP="00937FA4">
      <w:pPr>
        <w:pStyle w:val="Zkladntext"/>
        <w:widowControl w:val="0"/>
        <w:numPr>
          <w:ilvl w:val="0"/>
          <w:numId w:val="48"/>
        </w:numPr>
        <w:spacing w:before="120"/>
        <w:ind w:left="714" w:hanging="357"/>
        <w:contextualSpacing/>
        <w:rPr>
          <w:rFonts w:cs="Arial"/>
          <w:bCs/>
          <w:sz w:val="22"/>
        </w:rPr>
      </w:pPr>
      <w:r>
        <w:rPr>
          <w:rFonts w:cs="Arial"/>
          <w:bCs/>
          <w:sz w:val="22"/>
        </w:rPr>
        <w:t>zavírání pramenů</w:t>
      </w:r>
    </w:p>
    <w:p w14:paraId="1020D30F" w14:textId="7D1A10F7" w:rsidR="00CD68C5" w:rsidRPr="00CD68C5" w:rsidRDefault="00CD68C5" w:rsidP="00CD68C5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sz w:val="22"/>
        </w:rPr>
      </w:pPr>
      <w:r>
        <w:rPr>
          <w:rFonts w:cs="Arial"/>
          <w:bCs/>
          <w:sz w:val="22"/>
        </w:rPr>
        <w:t>vánoční rozsvícení stromku</w:t>
      </w:r>
    </w:p>
    <w:p w14:paraId="66C57CBE" w14:textId="01FDBC9B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do</w:t>
      </w:r>
      <w:r w:rsidR="009149CC">
        <w:rPr>
          <w:rFonts w:cs="Arial"/>
          <w:bCs/>
          <w:color w:val="000000"/>
          <w:sz w:val="22"/>
        </w:rPr>
        <w:t xml:space="preserve"> </w:t>
      </w:r>
      <w:r w:rsidR="00F3536A">
        <w:rPr>
          <w:rFonts w:cs="Arial"/>
          <w:bCs/>
          <w:color w:val="000000"/>
          <w:sz w:val="22"/>
        </w:rPr>
        <w:t xml:space="preserve">31.12.2024, </w:t>
      </w:r>
      <w:r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217D848F" w:rsidR="00125BD7" w:rsidRDefault="00125BD7" w:rsidP="005A1FD3">
      <w:pPr>
        <w:pStyle w:val="Zhlav"/>
        <w:rPr>
          <w:sz w:val="24"/>
        </w:rPr>
      </w:pPr>
    </w:p>
    <w:p w14:paraId="6753272E" w14:textId="7C13099E" w:rsidR="00CD68C5" w:rsidRDefault="00CD68C5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134B5299" w:rsidR="00125BD7" w:rsidRPr="00DF5D9A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DF5D9A">
        <w:rPr>
          <w:rFonts w:cs="Arial"/>
          <w:i/>
          <w:sz w:val="22"/>
        </w:rPr>
        <w:lastRenderedPageBreak/>
        <w:t xml:space="preserve">jednorázovým převodem ve prospěch účtu příjemce uvedeného v čl. I této smlouvy ve lhůtě do </w:t>
      </w:r>
      <w:r w:rsidR="00EE367F" w:rsidRPr="00DF5D9A">
        <w:rPr>
          <w:rFonts w:cs="Arial"/>
          <w:i/>
          <w:sz w:val="22"/>
        </w:rPr>
        <w:t>21</w:t>
      </w:r>
      <w:r w:rsidRPr="00DF5D9A">
        <w:rPr>
          <w:rFonts w:cs="Arial"/>
          <w:i/>
          <w:sz w:val="22"/>
        </w:rPr>
        <w:t xml:space="preserve"> dnů po nabytí účinnosti této smlouvy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5648EBE7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F3536A">
        <w:rPr>
          <w:rFonts w:cs="Arial"/>
          <w:sz w:val="22"/>
        </w:rPr>
        <w:t>17.02.2025.</w:t>
      </w:r>
    </w:p>
    <w:p w14:paraId="710999EB" w14:textId="77777777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6CF728BB" w14:textId="45F78815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F3536A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53202003" w:rsidR="00581067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od </w:t>
      </w:r>
      <w:r w:rsidR="00CD68C5">
        <w:rPr>
          <w:rFonts w:cs="Arial"/>
          <w:sz w:val="22"/>
        </w:rPr>
        <w:t>01.04.2024</w:t>
      </w:r>
      <w:r w:rsidR="00CD68C5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CD68C5">
        <w:rPr>
          <w:rFonts w:cs="Arial"/>
          <w:sz w:val="22"/>
        </w:rPr>
        <w:t>31.12.2024</w:t>
      </w:r>
      <w:r w:rsidR="00CD68C5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od </w:t>
      </w:r>
      <w:r w:rsidR="00937FA4">
        <w:rPr>
          <w:rFonts w:cs="Arial"/>
          <w:sz w:val="22"/>
        </w:rPr>
        <w:t>01.04.2024</w:t>
      </w:r>
      <w:r w:rsidR="00937FA4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937FA4">
        <w:rPr>
          <w:rFonts w:cs="Arial"/>
          <w:sz w:val="22"/>
        </w:rPr>
        <w:t>31.01.2025</w:t>
      </w:r>
      <w:r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7E4D2269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D10C85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1507FDFF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</w:t>
      </w:r>
      <w:r w:rsidRPr="007A76C1">
        <w:rPr>
          <w:rFonts w:cs="Arial"/>
          <w:sz w:val="22"/>
        </w:rPr>
        <w:lastRenderedPageBreak/>
        <w:t xml:space="preserve">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2951C70E" w:rsidR="00EF4089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</w:t>
      </w:r>
      <w:r w:rsidR="00FD64EB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</w:t>
      </w:r>
      <w:r w:rsidR="00FD64EB">
        <w:rPr>
          <w:rFonts w:cs="Arial"/>
          <w:sz w:val="22"/>
        </w:rPr>
        <w:t>Zastupitelstvo</w:t>
      </w:r>
      <w:r w:rsidR="00FD64EB" w:rsidRPr="00DF5D9A">
        <w:rPr>
          <w:rFonts w:cs="Arial"/>
          <w:sz w:val="22"/>
        </w:rPr>
        <w:t xml:space="preserve"> </w:t>
      </w:r>
      <w:r w:rsidR="00EF4089" w:rsidRPr="00DF5D9A">
        <w:rPr>
          <w:rFonts w:cs="Arial"/>
          <w:sz w:val="22"/>
        </w:rPr>
        <w:t>města Karviné</w:t>
      </w:r>
      <w:r w:rsidR="00EF4089" w:rsidRPr="002F583F">
        <w:rPr>
          <w:rFonts w:cs="Arial"/>
          <w:sz w:val="22"/>
        </w:rPr>
        <w:t xml:space="preserve"> svým usnesením č</w:t>
      </w:r>
      <w:r w:rsidR="00E675C5">
        <w:rPr>
          <w:rFonts w:cs="Arial"/>
          <w:sz w:val="22"/>
        </w:rPr>
        <w:t>. 326</w:t>
      </w:r>
      <w:r w:rsidR="00E675C5" w:rsidRPr="002F583F">
        <w:rPr>
          <w:rFonts w:cs="Arial"/>
          <w:sz w:val="22"/>
        </w:rPr>
        <w:t xml:space="preserve"> </w:t>
      </w:r>
      <w:r w:rsidR="00EF4089" w:rsidRPr="002F583F">
        <w:rPr>
          <w:rFonts w:cs="Arial"/>
          <w:sz w:val="22"/>
        </w:rPr>
        <w:t>ze dne</w:t>
      </w:r>
      <w:r w:rsidR="009149CC" w:rsidRPr="002F583F">
        <w:rPr>
          <w:rFonts w:cs="Arial"/>
          <w:sz w:val="22"/>
        </w:rPr>
        <w:t xml:space="preserve"> </w:t>
      </w:r>
      <w:r w:rsidR="00FD64EB">
        <w:rPr>
          <w:rFonts w:cs="Arial"/>
          <w:sz w:val="22"/>
        </w:rPr>
        <w:t>04</w:t>
      </w:r>
      <w:r w:rsidR="00DF5D9A">
        <w:rPr>
          <w:rFonts w:cs="Arial"/>
          <w:sz w:val="22"/>
        </w:rPr>
        <w:t>.1</w:t>
      </w:r>
      <w:r w:rsidR="00FD64EB">
        <w:rPr>
          <w:rFonts w:cs="Arial"/>
          <w:sz w:val="22"/>
        </w:rPr>
        <w:t>1</w:t>
      </w:r>
      <w:r w:rsidR="00DF5D9A">
        <w:rPr>
          <w:rFonts w:cs="Arial"/>
          <w:sz w:val="22"/>
        </w:rPr>
        <w:t>.2024</w:t>
      </w:r>
      <w:r w:rsidR="00DF5D9A" w:rsidRPr="002F583F">
        <w:rPr>
          <w:rFonts w:cs="Arial"/>
          <w:sz w:val="22"/>
        </w:rPr>
        <w:t xml:space="preserve">. </w:t>
      </w:r>
    </w:p>
    <w:p w14:paraId="477449ED" w14:textId="77777777" w:rsidR="00431F86" w:rsidRPr="002F583F" w:rsidRDefault="00431F86" w:rsidP="00722D0C">
      <w:pPr>
        <w:pStyle w:val="Zhlav"/>
        <w:ind w:left="284"/>
        <w:rPr>
          <w:rFonts w:cs="Arial"/>
          <w:sz w:val="22"/>
        </w:rPr>
      </w:pPr>
    </w:p>
    <w:p w14:paraId="5EDC270B" w14:textId="180C4F3B" w:rsidR="00F50251" w:rsidRDefault="00F50251" w:rsidP="00F50251">
      <w:pPr>
        <w:rPr>
          <w:rFonts w:cs="Arial"/>
          <w:sz w:val="22"/>
        </w:rPr>
      </w:pPr>
    </w:p>
    <w:p w14:paraId="2B485A3C" w14:textId="77777777" w:rsidR="00937FA4" w:rsidRPr="002F583F" w:rsidRDefault="00937FA4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1BA24AA9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7C2395">
        <w:rPr>
          <w:rFonts w:cs="Arial"/>
          <w:sz w:val="22"/>
        </w:rPr>
        <w:t>13.11.2024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7C2395">
        <w:rPr>
          <w:rFonts w:cs="Arial"/>
          <w:sz w:val="22"/>
        </w:rPr>
        <w:t>26.11.2024</w:t>
      </w:r>
    </w:p>
    <w:p w14:paraId="3B542F36" w14:textId="11BA746F" w:rsidR="00F50251" w:rsidRDefault="00F50251" w:rsidP="00F50251">
      <w:pPr>
        <w:rPr>
          <w:rFonts w:cs="Arial"/>
          <w:sz w:val="22"/>
        </w:rPr>
      </w:pPr>
    </w:p>
    <w:p w14:paraId="3911887D" w14:textId="77777777" w:rsidR="00937FA4" w:rsidRPr="002F583F" w:rsidRDefault="00937FA4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6732655A" w:rsidR="00F50251" w:rsidRPr="002F583F" w:rsidRDefault="00DF5D9A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Jan Wolf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937FA4" w:rsidRPr="00937FA4">
        <w:rPr>
          <w:rFonts w:cs="Arial"/>
          <w:i/>
          <w:sz w:val="22"/>
        </w:rPr>
        <w:t>Ing. Pavlína Filipi</w:t>
      </w:r>
    </w:p>
    <w:p w14:paraId="7CCCF67F" w14:textId="72C5EBAE" w:rsidR="00667721" w:rsidRDefault="00DF5D9A" w:rsidP="00DF5D9A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primátor města Karviné</w:t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937FA4">
        <w:rPr>
          <w:rFonts w:cs="Arial"/>
          <w:i/>
          <w:sz w:val="22"/>
        </w:rPr>
        <w:tab/>
        <w:t>člen představenstva</w:t>
      </w:r>
    </w:p>
    <w:p w14:paraId="79097B11" w14:textId="03320B16" w:rsidR="00667721" w:rsidRDefault="00667721">
      <w:pPr>
        <w:spacing w:line="276" w:lineRule="auto"/>
        <w:jc w:val="left"/>
        <w:rPr>
          <w:rFonts w:cs="Arial"/>
          <w:i/>
          <w:sz w:val="22"/>
          <w:highlight w:val="yellow"/>
        </w:rPr>
      </w:pPr>
      <w:r>
        <w:rPr>
          <w:rFonts w:cs="Arial"/>
          <w:i/>
          <w:sz w:val="22"/>
          <w:highlight w:val="yellow"/>
        </w:rPr>
        <w:br w:type="page"/>
      </w:r>
    </w:p>
    <w:p w14:paraId="4BACB8CE" w14:textId="646FD414" w:rsidR="00DF5D9A" w:rsidRDefault="00DF5D9A" w:rsidP="00DF5D9A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>
        <w:rPr>
          <w:rFonts w:cs="Arial"/>
          <w:i/>
          <w:sz w:val="22"/>
        </w:rPr>
        <w:lastRenderedPageBreak/>
        <w:t>Příloha č. 1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540"/>
        <w:gridCol w:w="1900"/>
        <w:gridCol w:w="1360"/>
        <w:gridCol w:w="1360"/>
      </w:tblGrid>
      <w:tr w:rsidR="007C2395" w:rsidRPr="007C2395" w14:paraId="2C444822" w14:textId="77777777" w:rsidTr="007C2395">
        <w:trPr>
          <w:trHeight w:val="300"/>
          <w:jc w:val="center"/>
        </w:trPr>
        <w:tc>
          <w:tcPr>
            <w:tcW w:w="106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EB12FD" w14:textId="3725EB19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NANČNÍ VYPOŘÁDÁNÍ DOTACE</w:t>
            </w:r>
          </w:p>
        </w:tc>
      </w:tr>
      <w:tr w:rsidR="007C2395" w:rsidRPr="007C2395" w14:paraId="787B52D2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8FFA1F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7C2395" w:rsidRPr="007C2395" w14:paraId="11C32EB6" w14:textId="77777777" w:rsidTr="007C2395">
        <w:trPr>
          <w:trHeight w:val="315"/>
          <w:jc w:val="center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254125" w14:textId="77777777" w:rsidR="007C2395" w:rsidRPr="007C2395" w:rsidRDefault="007C2395" w:rsidP="007C23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0EFD9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3E35A4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CBE4D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7C2395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3D7520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7C2395" w:rsidRPr="007C2395" w14:paraId="29E00ADC" w14:textId="77777777" w:rsidTr="007C2395">
        <w:trPr>
          <w:trHeight w:val="315"/>
          <w:jc w:val="center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7E3A6AE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37E1B48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7E96A3A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09D2171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18B4E2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7C2395" w:rsidRPr="007C2395" w14:paraId="02841B08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0D5BB6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7C2395" w:rsidRPr="007C2395" w14:paraId="22E94553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DA114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4E95E7DC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154F73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7C2395" w:rsidRPr="007C2395" w14:paraId="03203357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CD124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0551CA43" w14:textId="77777777" w:rsidTr="007C2395">
        <w:trPr>
          <w:trHeight w:val="480"/>
          <w:jc w:val="center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5E3B3E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4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37A91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6FDE35B7" w14:textId="77777777" w:rsidTr="007C2395">
        <w:trPr>
          <w:trHeight w:val="480"/>
          <w:jc w:val="center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C91C66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4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34080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6E2B32D8" w14:textId="77777777" w:rsidTr="007C2395">
        <w:trPr>
          <w:trHeight w:val="480"/>
          <w:jc w:val="center"/>
        </w:trPr>
        <w:tc>
          <w:tcPr>
            <w:tcW w:w="6060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ABFB36A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7C23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4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2CA63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26308DEB" w14:textId="77777777" w:rsidTr="007C2395">
        <w:trPr>
          <w:trHeight w:val="330"/>
          <w:jc w:val="center"/>
        </w:trPr>
        <w:tc>
          <w:tcPr>
            <w:tcW w:w="6060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4A847B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46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0779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1FC84AA9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C1257F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7C2395" w:rsidRPr="007C2395" w14:paraId="295E5B4D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500D8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18C540D8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E163FA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Cílová skupina</w:t>
            </w:r>
            <w:r w:rsidRPr="007C2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 počtu osob) </w:t>
            </w:r>
          </w:p>
        </w:tc>
      </w:tr>
      <w:tr w:rsidR="007C2395" w:rsidRPr="007C2395" w14:paraId="7FB0F183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55BD5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7FAC402A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2E2773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7C2395" w:rsidRPr="007C2395" w14:paraId="664BFDA7" w14:textId="77777777" w:rsidTr="007C2395">
        <w:trPr>
          <w:trHeight w:val="315"/>
          <w:jc w:val="center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267FD9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37395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760D7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F95A0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4A833920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4EEA6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7C2395" w:rsidRPr="007C2395" w14:paraId="77284427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353F2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3FB5E0D6" w14:textId="77777777" w:rsidTr="007C2395">
        <w:trPr>
          <w:trHeight w:val="315"/>
          <w:jc w:val="center"/>
        </w:trPr>
        <w:tc>
          <w:tcPr>
            <w:tcW w:w="6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ECB72D1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E00B66F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C63997D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043018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7C2395" w:rsidRPr="007C2395" w14:paraId="461814A8" w14:textId="77777777" w:rsidTr="007C2395">
        <w:trPr>
          <w:trHeight w:val="615"/>
          <w:jc w:val="center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7F3C99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447EAB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1BC2BBB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E674F5" w14:textId="77777777" w:rsidR="007C2395" w:rsidRPr="007C2395" w:rsidRDefault="007C2395" w:rsidP="007C239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21B48B" w14:textId="77777777" w:rsidR="007C2395" w:rsidRPr="007C2395" w:rsidRDefault="007C2395" w:rsidP="007C239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7C2395" w:rsidRPr="007C2395" w14:paraId="0943F770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AE8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302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D92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559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0B8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C2395" w:rsidRPr="007C2395" w14:paraId="759CBC79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914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03F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B68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94E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49E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C2395" w:rsidRPr="007C2395" w14:paraId="0FA14A04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E50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C61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3B7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4B2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C2F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C2395" w:rsidRPr="007C2395" w14:paraId="0A4ECCE2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75B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7F8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F419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86C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32B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C2395" w:rsidRPr="007C2395" w14:paraId="7D7CD96F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FCA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902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D83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60C3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F31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C2395" w:rsidRPr="007C2395" w14:paraId="31FB98AB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0F9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ECA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F86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023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AFF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C2395" w:rsidRPr="007C2395" w14:paraId="08759643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C29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8AE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F23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6D6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068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C2395" w:rsidRPr="007C2395" w14:paraId="6C1C37BE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F9B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7AE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4CC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DA2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A2F" w14:textId="77777777" w:rsidR="007C2395" w:rsidRPr="007C2395" w:rsidRDefault="007C2395" w:rsidP="007C2395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C2395" w:rsidRPr="007C2395" w14:paraId="6C511394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567B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7C2395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7A3C" w14:textId="77777777" w:rsidR="007C2395" w:rsidRPr="007C2395" w:rsidRDefault="007C2395" w:rsidP="007C2395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298F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4405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2AF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7C2395" w:rsidRPr="007C2395" w14:paraId="0BD5A3BC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90A66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0F22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88D4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BEB81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6A06E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7C2395" w:rsidRPr="007C2395" w14:paraId="0B9337F3" w14:textId="77777777" w:rsidTr="007C2395">
        <w:trPr>
          <w:trHeight w:val="315"/>
          <w:jc w:val="center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71BDF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4F2CF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3BCE6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2AB41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C571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7C2395" w:rsidRPr="007C2395" w14:paraId="1866146C" w14:textId="77777777" w:rsidTr="007C2395">
        <w:trPr>
          <w:trHeight w:val="315"/>
          <w:jc w:val="center"/>
        </w:trPr>
        <w:tc>
          <w:tcPr>
            <w:tcW w:w="10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D62C16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7C2395" w:rsidRPr="007C2395" w14:paraId="49700A66" w14:textId="77777777" w:rsidTr="007C2395">
        <w:trPr>
          <w:trHeight w:val="315"/>
          <w:jc w:val="center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1F2A3134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0AE53AF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D387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C098B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6EAF1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7C2395" w:rsidRPr="007C2395" w14:paraId="41351E2D" w14:textId="77777777" w:rsidTr="007C2395">
        <w:trPr>
          <w:trHeight w:val="315"/>
          <w:jc w:val="center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6A4BC5A4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7EA1591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4620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A5894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</w:tr>
      <w:tr w:rsidR="007C2395" w:rsidRPr="007C2395" w14:paraId="3648245B" w14:textId="77777777" w:rsidTr="007C2395">
        <w:trPr>
          <w:trHeight w:val="315"/>
          <w:jc w:val="center"/>
        </w:trPr>
        <w:tc>
          <w:tcPr>
            <w:tcW w:w="6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DD37A38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46FF7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7C2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</w:p>
        </w:tc>
      </w:tr>
      <w:tr w:rsidR="007C2395" w:rsidRPr="007C2395" w14:paraId="55FA0D53" w14:textId="77777777" w:rsidTr="007C2395">
        <w:trPr>
          <w:trHeight w:val="315"/>
          <w:jc w:val="center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97CB" w14:textId="77777777" w:rsidR="007C2395" w:rsidRPr="007C2395" w:rsidRDefault="007C2395" w:rsidP="007C2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0D55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D6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2BF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8A6C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7C2395" w:rsidRPr="007C2395" w14:paraId="08082F34" w14:textId="77777777" w:rsidTr="007C2395">
        <w:trPr>
          <w:trHeight w:val="825"/>
          <w:jc w:val="center"/>
        </w:trPr>
        <w:tc>
          <w:tcPr>
            <w:tcW w:w="10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4DE1CEA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* Pokud počet řádků bude vyšší než</w:t>
            </w:r>
            <w:r w:rsidRPr="007C2395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ulku POLOŽKOVÉ VYÚČTOVÁNÍ NÁKLADŮ PROJEKTU rovněž v souboru ve formátu excel poskytovateli dotace elektronicky (na elektronickou podatelnu, datovou schránkou popř. mailem).</w:t>
            </w:r>
          </w:p>
        </w:tc>
      </w:tr>
      <w:tr w:rsidR="007C2395" w:rsidRPr="007C2395" w14:paraId="13429141" w14:textId="77777777" w:rsidTr="007C2395">
        <w:trPr>
          <w:trHeight w:val="300"/>
          <w:jc w:val="center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8A79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20B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07BE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AFC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687E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7C2395" w:rsidRPr="007C2395" w14:paraId="18DF5EE5" w14:textId="77777777" w:rsidTr="007C2395">
        <w:trPr>
          <w:trHeight w:val="315"/>
          <w:jc w:val="center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182B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var. (nebo vymazat):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143F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7AA5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E9E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1437" w14:textId="77777777" w:rsidR="007C2395" w:rsidRPr="007C2395" w:rsidRDefault="007C2395" w:rsidP="007C239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7C2395" w:rsidRPr="007C2395" w14:paraId="08F2A447" w14:textId="77777777" w:rsidTr="007C2395">
        <w:trPr>
          <w:trHeight w:val="570"/>
          <w:jc w:val="center"/>
        </w:trPr>
        <w:tc>
          <w:tcPr>
            <w:tcW w:w="10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4C4833A8" w14:textId="77777777" w:rsidR="007C2395" w:rsidRPr="007C2395" w:rsidRDefault="007C2395" w:rsidP="007C239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7C239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</w:tbl>
    <w:p w14:paraId="7561C92E" w14:textId="3BD7F3D3" w:rsidR="00DF5D9A" w:rsidRPr="002F583F" w:rsidRDefault="00DF5D9A" w:rsidP="00DF5D9A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9E61DCA" w14:textId="0C11DA5A" w:rsidR="006F24CB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bookmarkStart w:id="2" w:name="_GoBack"/>
      <w:bookmarkEnd w:id="2"/>
    </w:p>
    <w:sectPr w:rsidR="006F24CB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F8658" w14:textId="77777777" w:rsidR="00FF4A59" w:rsidRDefault="00FF4A59" w:rsidP="00944058">
      <w:r>
        <w:separator/>
      </w:r>
    </w:p>
  </w:endnote>
  <w:endnote w:type="continuationSeparator" w:id="0">
    <w:p w14:paraId="3F0E425A" w14:textId="77777777" w:rsidR="00FF4A59" w:rsidRDefault="00FF4A5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9B026" w14:textId="77777777" w:rsidR="00FF4A59" w:rsidRDefault="00FF4A59" w:rsidP="00944058">
      <w:r>
        <w:separator/>
      </w:r>
    </w:p>
  </w:footnote>
  <w:footnote w:type="continuationSeparator" w:id="0">
    <w:p w14:paraId="74E41066" w14:textId="77777777" w:rsidR="00FF4A59" w:rsidRDefault="00FF4A5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F748D"/>
    <w:multiLevelType w:val="hybridMultilevel"/>
    <w:tmpl w:val="1480E056"/>
    <w:lvl w:ilvl="0" w:tplc="793E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3"/>
  </w:num>
  <w:num w:numId="5">
    <w:abstractNumId w:val="27"/>
  </w:num>
  <w:num w:numId="6">
    <w:abstractNumId w:val="25"/>
  </w:num>
  <w:num w:numId="7">
    <w:abstractNumId w:val="13"/>
  </w:num>
  <w:num w:numId="8">
    <w:abstractNumId w:val="24"/>
  </w:num>
  <w:num w:numId="9">
    <w:abstractNumId w:val="34"/>
  </w:num>
  <w:num w:numId="10">
    <w:abstractNumId w:val="17"/>
  </w:num>
  <w:num w:numId="11">
    <w:abstractNumId w:val="6"/>
  </w:num>
  <w:num w:numId="12">
    <w:abstractNumId w:val="1"/>
  </w:num>
  <w:num w:numId="13">
    <w:abstractNumId w:val="19"/>
  </w:num>
  <w:num w:numId="14">
    <w:abstractNumId w:val="36"/>
  </w:num>
  <w:num w:numId="15">
    <w:abstractNumId w:val="18"/>
  </w:num>
  <w:num w:numId="16">
    <w:abstractNumId w:val="37"/>
  </w:num>
  <w:num w:numId="17">
    <w:abstractNumId w:val="22"/>
  </w:num>
  <w:num w:numId="18">
    <w:abstractNumId w:val="31"/>
  </w:num>
  <w:num w:numId="19">
    <w:abstractNumId w:val="44"/>
  </w:num>
  <w:num w:numId="20">
    <w:abstractNumId w:val="29"/>
  </w:num>
  <w:num w:numId="21">
    <w:abstractNumId w:val="7"/>
  </w:num>
  <w:num w:numId="22">
    <w:abstractNumId w:val="12"/>
  </w:num>
  <w:num w:numId="23">
    <w:abstractNumId w:val="2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5"/>
  </w:num>
  <w:num w:numId="30">
    <w:abstractNumId w:val="39"/>
  </w:num>
  <w:num w:numId="31">
    <w:abstractNumId w:val="15"/>
  </w:num>
  <w:num w:numId="32">
    <w:abstractNumId w:val="10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9"/>
  </w:num>
  <w:num w:numId="38">
    <w:abstractNumId w:val="14"/>
  </w:num>
  <w:num w:numId="39">
    <w:abstractNumId w:val="30"/>
  </w:num>
  <w:num w:numId="40">
    <w:abstractNumId w:val="26"/>
  </w:num>
  <w:num w:numId="41">
    <w:abstractNumId w:val="4"/>
  </w:num>
  <w:num w:numId="42">
    <w:abstractNumId w:val="21"/>
  </w:num>
  <w:num w:numId="43">
    <w:abstractNumId w:val="0"/>
  </w:num>
  <w:num w:numId="44">
    <w:abstractNumId w:val="38"/>
  </w:num>
  <w:num w:numId="45">
    <w:abstractNumId w:val="3"/>
  </w:num>
  <w:num w:numId="46">
    <w:abstractNumId w:val="11"/>
  </w:num>
  <w:num w:numId="47">
    <w:abstractNumId w:val="4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37B8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72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6438"/>
    <w:rsid w:val="007379B1"/>
    <w:rsid w:val="00740EF7"/>
    <w:rsid w:val="00750F82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395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22C36"/>
    <w:rsid w:val="00937FA4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68C5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46BE"/>
    <w:rsid w:val="00DF5D9A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5C5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536A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3F90"/>
    <w:rsid w:val="00FD49A8"/>
    <w:rsid w:val="00FD64EB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1423F1"/>
    <w:rsid w:val="002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C127-B27C-4A4A-9B0E-4775405B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2399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5</cp:revision>
  <cp:lastPrinted>2009-03-17T14:06:00Z</cp:lastPrinted>
  <dcterms:created xsi:type="dcterms:W3CDTF">2024-10-15T08:21:00Z</dcterms:created>
  <dcterms:modified xsi:type="dcterms:W3CDTF">2025-01-10T08:52:00Z</dcterms:modified>
  <cp:category>MMK.01.02.01</cp:category>
</cp:coreProperties>
</file>