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5220300587</w:t>
      </w:r>
    </w:p>
    <w:p>
      <w:pPr>
        <w:spacing w:line="425" w:lineRule="exact"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3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ind w:right="0"/>
        <w:jc w:val="left"/>
      </w:pPr>
      <w:r>
        <w:rPr/>
        <w:t>Služby</w:t>
      </w:r>
      <w:r>
        <w:rPr>
          <w:spacing w:val="-5"/>
        </w:rPr>
        <w:t> </w:t>
      </w:r>
      <w:r>
        <w:rPr/>
        <w:t>HB</w:t>
      </w:r>
      <w:r>
        <w:rPr>
          <w:spacing w:val="-4"/>
        </w:rPr>
        <w:t> </w:t>
      </w:r>
      <w:r>
        <w:rPr>
          <w:spacing w:val="-2"/>
        </w:rPr>
        <w:t>s.r.o.</w:t>
      </w:r>
    </w:p>
    <w:p>
      <w:pPr>
        <w:pStyle w:val="BodyText"/>
        <w:spacing w:line="265" w:lineRule="exact"/>
        <w:ind w:left="382"/>
      </w:pPr>
      <w:r>
        <w:rPr/>
        <w:t>obchodní</w:t>
      </w:r>
      <w:r>
        <w:rPr>
          <w:spacing w:val="-9"/>
        </w:rPr>
        <w:t> </w:t>
      </w:r>
      <w:r>
        <w:rPr/>
        <w:t>společnost</w:t>
      </w:r>
      <w:r>
        <w:rPr>
          <w:spacing w:val="-8"/>
        </w:rPr>
        <w:t> </w:t>
      </w:r>
      <w:r>
        <w:rPr/>
        <w:t>zapsaná</w:t>
      </w:r>
      <w:r>
        <w:rPr>
          <w:spacing w:val="-8"/>
        </w:rPr>
        <w:t> </w:t>
      </w:r>
      <w:r>
        <w:rPr/>
        <w:t>v</w:t>
      </w:r>
      <w:r>
        <w:rPr>
          <w:spacing w:val="-8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8"/>
        </w:rPr>
        <w:t> </w:t>
      </w:r>
      <w:r>
        <w:rPr/>
        <w:t>vedeném</w:t>
      </w:r>
      <w:r>
        <w:rPr>
          <w:spacing w:val="-2"/>
        </w:rPr>
        <w:t> </w:t>
      </w:r>
      <w:r>
        <w:rPr/>
        <w:t>Krajským</w:t>
      </w:r>
      <w:r>
        <w:rPr>
          <w:spacing w:val="-7"/>
        </w:rPr>
        <w:t> </w:t>
      </w:r>
      <w:r>
        <w:rPr>
          <w:spacing w:val="-2"/>
        </w:rPr>
        <w:t>soudem</w:t>
      </w:r>
    </w:p>
    <w:p>
      <w:pPr>
        <w:pStyle w:val="BodyText"/>
        <w:spacing w:line="265" w:lineRule="exact"/>
        <w:ind w:left="382"/>
      </w:pPr>
      <w:r>
        <w:rPr/>
        <w:t>v</w:t>
      </w:r>
      <w:r>
        <w:rPr>
          <w:spacing w:val="-5"/>
        </w:rPr>
        <w:t> </w:t>
      </w:r>
      <w:r>
        <w:rPr/>
        <w:t>Ostravě,</w:t>
      </w:r>
      <w:r>
        <w:rPr>
          <w:spacing w:val="-5"/>
        </w:rPr>
        <w:t> </w:t>
      </w:r>
      <w:r>
        <w:rPr/>
        <w:t>oddíl</w:t>
      </w:r>
      <w:r>
        <w:rPr>
          <w:spacing w:val="-2"/>
        </w:rPr>
        <w:t> </w:t>
      </w:r>
      <w:r>
        <w:rPr/>
        <w:t>C,</w:t>
      </w:r>
      <w:r>
        <w:rPr>
          <w:spacing w:val="-5"/>
        </w:rPr>
        <w:t> </w:t>
      </w:r>
      <w:r>
        <w:rPr/>
        <w:t>vložka</w:t>
      </w:r>
      <w:r>
        <w:rPr>
          <w:spacing w:val="-5"/>
        </w:rPr>
        <w:t> </w:t>
      </w:r>
      <w:r>
        <w:rPr>
          <w:spacing w:val="-4"/>
        </w:rPr>
        <w:t>27016</w:t>
      </w:r>
    </w:p>
    <w:p>
      <w:pPr>
        <w:pStyle w:val="BodyText"/>
        <w:tabs>
          <w:tab w:pos="3257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č.p.</w:t>
      </w:r>
      <w:r>
        <w:rPr>
          <w:spacing w:val="-5"/>
        </w:rPr>
        <w:t> </w:t>
      </w:r>
      <w:r>
        <w:rPr/>
        <w:t>550,</w:t>
      </w:r>
      <w:r>
        <w:rPr>
          <w:spacing w:val="-4"/>
        </w:rPr>
        <w:t> </w:t>
      </w:r>
      <w:r>
        <w:rPr/>
        <w:t>756</w:t>
      </w:r>
      <w:r>
        <w:rPr>
          <w:spacing w:val="-5"/>
        </w:rPr>
        <w:t> </w:t>
      </w:r>
      <w:r>
        <w:rPr/>
        <w:t>57</w:t>
      </w:r>
      <w:r>
        <w:rPr>
          <w:spacing w:val="-4"/>
        </w:rPr>
        <w:t> </w:t>
      </w:r>
      <w:r>
        <w:rPr/>
        <w:t>Horní</w:t>
      </w:r>
      <w:r>
        <w:rPr>
          <w:spacing w:val="-4"/>
        </w:rPr>
        <w:t> </w:t>
      </w:r>
      <w:r>
        <w:rPr>
          <w:spacing w:val="-2"/>
        </w:rPr>
        <w:t>Bečva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25908111</w:t>
      </w:r>
    </w:p>
    <w:p>
      <w:pPr>
        <w:pStyle w:val="BodyText"/>
        <w:tabs>
          <w:tab w:pos="3248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4"/>
        </w:rPr>
        <w:t> </w:t>
      </w:r>
      <w:r>
        <w:rPr/>
        <w:t>Rudolfem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r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á</w:t>
      </w:r>
      <w:r>
        <w:rPr>
          <w:spacing w:val="-4"/>
        </w:rPr>
        <w:t> </w:t>
      </w:r>
      <w:r>
        <w:rPr/>
        <w:t>t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MONETA</w:t>
      </w:r>
      <w:r>
        <w:rPr>
          <w:spacing w:val="-6"/>
        </w:rPr>
        <w:t> </w:t>
      </w:r>
      <w:r>
        <w:rPr/>
        <w:t>Money</w:t>
      </w:r>
      <w:r>
        <w:rPr>
          <w:spacing w:val="-8"/>
        </w:rPr>
        <w:t> </w:t>
      </w:r>
      <w:r>
        <w:rPr/>
        <w:t>Bank,</w:t>
      </w:r>
      <w:r>
        <w:rPr>
          <w:spacing w:val="-7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161376973/0600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5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1306" w:right="1038"/>
      </w:pPr>
      <w:r>
        <w:rPr>
          <w:spacing w:val="-5"/>
        </w:rPr>
        <w:t>I.</w:t>
      </w:r>
    </w:p>
    <w:p>
      <w:pPr>
        <w:pStyle w:val="Heading2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5220300587 o poskytnutí finančních prostředků ze Státního fondu životního prostředí ČR ze dne 11.</w:t>
      </w:r>
      <w:r>
        <w:rPr>
          <w:spacing w:val="-1"/>
        </w:rPr>
        <w:t> </w:t>
      </w:r>
      <w:r>
        <w:rPr/>
        <w:t>7.</w:t>
      </w:r>
      <w:r>
        <w:rPr>
          <w:spacing w:val="-2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1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6" w:top="14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1"/>
        <w:ind w:left="3569" w:right="0"/>
        <w:jc w:val="both"/>
      </w:pPr>
      <w:r>
        <w:rPr/>
        <w:t>„Služby</w:t>
      </w:r>
      <w:r>
        <w:rPr>
          <w:spacing w:val="-4"/>
        </w:rPr>
        <w:t> </w:t>
      </w:r>
      <w:r>
        <w:rPr/>
        <w:t>HB,</w:t>
      </w:r>
      <w:r>
        <w:rPr>
          <w:spacing w:val="-4"/>
        </w:rPr>
        <w:t> </w:t>
      </w:r>
      <w:r>
        <w:rPr/>
        <w:t>s.r.o.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Ekomobilita“</w:t>
      </w:r>
    </w:p>
    <w:p>
      <w:pPr>
        <w:pStyle w:val="BodyText"/>
        <w:spacing w:before="120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1" w:after="0"/>
        <w:ind w:left="741" w:right="119" w:hanging="360"/>
        <w:jc w:val="both"/>
        <w:rPr>
          <w:sz w:val="20"/>
        </w:rPr>
      </w:pPr>
      <w:r>
        <w:rPr>
          <w:sz w:val="20"/>
        </w:rPr>
        <w:t>Podpora je poskytována v souladu s</w:t>
      </w:r>
      <w:r>
        <w:rPr>
          <w:spacing w:val="-3"/>
          <w:sz w:val="20"/>
        </w:rPr>
        <w:t> </w:t>
      </w:r>
      <w:r>
        <w:rPr>
          <w:sz w:val="20"/>
        </w:rPr>
        <w:t>Nařízením Komise 2023/2831 ze dne 13. prosince 2023 o použití článků 107 a 108 Smlouvy o fungování Evropské</w:t>
      </w:r>
      <w:r>
        <w:rPr>
          <w:spacing w:val="-1"/>
          <w:sz w:val="20"/>
        </w:rPr>
        <w:t> </w:t>
      </w:r>
      <w:r>
        <w:rPr>
          <w:sz w:val="20"/>
        </w:rPr>
        <w:t>unie na podporu de minimis, zveřejněném v Úředním věstníku EU dne 15. 12. 2023.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720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</w:pPr>
      <w:r>
        <w:rPr/>
        <w:t>sedm</w:t>
      </w:r>
      <w:r>
        <w:rPr>
          <w:spacing w:val="-4"/>
        </w:rPr>
        <w:t> </w:t>
      </w:r>
      <w:r>
        <w:rPr/>
        <w:t>set</w:t>
      </w:r>
      <w:r>
        <w:rPr>
          <w:spacing w:val="-6"/>
        </w:rPr>
        <w:t> </w:t>
      </w:r>
      <w:r>
        <w:rPr/>
        <w:t>dvacet</w:t>
      </w:r>
      <w:r>
        <w:rPr>
          <w:spacing w:val="-6"/>
        </w:rPr>
        <w:t> </w:t>
      </w:r>
      <w:r>
        <w:rPr/>
        <w:t>tisíc</w:t>
      </w:r>
      <w:r>
        <w:rPr>
          <w:spacing w:val="-5"/>
        </w:rPr>
        <w:t> </w:t>
      </w:r>
      <w:r>
        <w:rPr/>
        <w:t>korun</w:t>
      </w:r>
      <w:r>
        <w:rPr>
          <w:spacing w:val="-2"/>
        </w:rPr>
        <w:t>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 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</w:t>
      </w:r>
      <w:r>
        <w:rPr>
          <w:spacing w:val="-2"/>
          <w:sz w:val="20"/>
        </w:rPr>
        <w:t> </w:t>
      </w:r>
      <w:r>
        <w:rPr>
          <w:sz w:val="20"/>
        </w:rPr>
        <w:t>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určování</w:t>
      </w:r>
      <w:r>
        <w:rPr>
          <w:spacing w:val="-5"/>
          <w:sz w:val="20"/>
        </w:rPr>
        <w:t> </w:t>
      </w:r>
      <w:r>
        <w:rPr>
          <w:sz w:val="20"/>
        </w:rPr>
        <w:t>způsobilých</w:t>
      </w:r>
      <w:r>
        <w:rPr>
          <w:spacing w:val="-4"/>
          <w:sz w:val="20"/>
        </w:rPr>
        <w:t> </w:t>
      </w:r>
      <w:r>
        <w:rPr>
          <w:sz w:val="20"/>
        </w:rPr>
        <w:t>výdajů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nich</w:t>
      </w:r>
      <w:r>
        <w:rPr>
          <w:spacing w:val="-4"/>
          <w:sz w:val="20"/>
        </w:rPr>
        <w:t> </w:t>
      </w:r>
      <w:r>
        <w:rPr>
          <w:sz w:val="20"/>
        </w:rPr>
        <w:t>odvozené</w:t>
      </w:r>
      <w:r>
        <w:rPr>
          <w:spacing w:val="-5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vycházet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5"/>
          <w:sz w:val="20"/>
        </w:rPr>
        <w:t> </w:t>
      </w:r>
      <w:r>
        <w:rPr>
          <w:sz w:val="20"/>
        </w:rPr>
        <w:t>znění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článků</w:t>
      </w:r>
    </w:p>
    <w:p>
      <w:pPr>
        <w:pStyle w:val="BodyText"/>
      </w:pPr>
      <w:r>
        <w:rPr/>
        <w:t>10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11</w:t>
      </w:r>
      <w:r>
        <w:rPr>
          <w:spacing w:val="-1"/>
        </w:rPr>
        <w:t> </w:t>
      </w:r>
      <w:r>
        <w:rPr>
          <w:spacing w:val="-2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4727"/>
      </w:tblGrid>
      <w:tr>
        <w:trPr>
          <w:trHeight w:val="506" w:hRule="atLeast"/>
        </w:trPr>
        <w:tc>
          <w:tcPr>
            <w:tcW w:w="3541" w:type="dxa"/>
          </w:tcPr>
          <w:p>
            <w:pPr>
              <w:pStyle w:val="TableParagraph"/>
              <w:spacing w:before="120"/>
              <w:ind w:left="15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727" w:type="dxa"/>
          </w:tcPr>
          <w:p>
            <w:pPr>
              <w:pStyle w:val="TableParagraph"/>
              <w:spacing w:before="120"/>
              <w:ind w:left="188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3541" w:type="dxa"/>
          </w:tcPr>
          <w:p>
            <w:pPr>
              <w:pStyle w:val="TableParagraph"/>
              <w:spacing w:before="120"/>
              <w:ind w:left="1552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727" w:type="dxa"/>
          </w:tcPr>
          <w:p>
            <w:pPr>
              <w:pStyle w:val="TableParagraph"/>
              <w:spacing w:before="120"/>
              <w:ind w:left="1883"/>
              <w:rPr>
                <w:sz w:val="20"/>
              </w:rPr>
            </w:pPr>
            <w:r>
              <w:rPr>
                <w:sz w:val="20"/>
              </w:rPr>
              <w:t>720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</w:t>
      </w:r>
      <w:r>
        <w:rPr>
          <w:spacing w:val="20"/>
          <w:sz w:val="20"/>
        </w:rPr>
        <w:t> </w:t>
      </w:r>
      <w:r>
        <w:rPr>
          <w:sz w:val="20"/>
        </w:rPr>
        <w:t>informačního</w:t>
      </w:r>
      <w:r>
        <w:rPr>
          <w:spacing w:val="20"/>
          <w:sz w:val="20"/>
        </w:rPr>
        <w:t> </w:t>
      </w:r>
      <w:r>
        <w:rPr>
          <w:sz w:val="20"/>
        </w:rPr>
        <w:t>systému</w:t>
      </w:r>
      <w:r>
        <w:rPr>
          <w:spacing w:val="19"/>
          <w:sz w:val="20"/>
        </w:rPr>
        <w:t> </w:t>
      </w:r>
      <w:r>
        <w:rPr>
          <w:sz w:val="20"/>
        </w:rPr>
        <w:t>Státního</w:t>
      </w:r>
      <w:r>
        <w:rPr>
          <w:spacing w:val="19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životního</w:t>
      </w:r>
      <w:r>
        <w:rPr>
          <w:spacing w:val="19"/>
          <w:sz w:val="20"/>
        </w:rPr>
        <w:t> </w:t>
      </w:r>
      <w:r>
        <w:rPr>
          <w:sz w:val="20"/>
        </w:rPr>
        <w:t>prostředí</w:t>
      </w:r>
      <w:r>
        <w:rPr>
          <w:spacing w:val="19"/>
          <w:sz w:val="20"/>
        </w:rPr>
        <w:t> </w:t>
      </w:r>
      <w:r>
        <w:rPr>
          <w:sz w:val="20"/>
        </w:rPr>
        <w:t>České</w:t>
      </w:r>
      <w:r>
        <w:rPr>
          <w:spacing w:val="18"/>
          <w:sz w:val="20"/>
        </w:rPr>
        <w:t> </w:t>
      </w:r>
      <w:r>
        <w:rPr>
          <w:sz w:val="20"/>
        </w:rPr>
        <w:t>republiky</w:t>
      </w:r>
      <w:r>
        <w:rPr>
          <w:spacing w:val="18"/>
          <w:sz w:val="20"/>
        </w:rPr>
        <w:t> </w:t>
      </w:r>
      <w:r>
        <w:rPr>
          <w:sz w:val="20"/>
        </w:rPr>
        <w:t>(dále</w:t>
      </w:r>
      <w:r>
        <w:rPr>
          <w:spacing w:val="18"/>
          <w:sz w:val="20"/>
        </w:rPr>
        <w:t> </w:t>
      </w:r>
      <w:r>
        <w:rPr>
          <w:sz w:val="20"/>
        </w:rPr>
        <w:t>jen</w:t>
      </w:r>
      <w:r>
        <w:rPr>
          <w:spacing w:val="19"/>
          <w:sz w:val="20"/>
        </w:rPr>
        <w:t> </w:t>
      </w:r>
      <w:r>
        <w:rPr>
          <w:sz w:val="20"/>
        </w:rPr>
        <w:t>„AIS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1396" w:top="1460" w:bottom="1640" w:left="1320" w:right="1020"/>
        </w:sectPr>
      </w:pPr>
    </w:p>
    <w:p>
      <w:pPr>
        <w:pStyle w:val="BodyText"/>
        <w:spacing w:before="89"/>
        <w:ind w:right="117"/>
        <w:jc w:val="both"/>
      </w:pPr>
      <w:r>
        <w:rPr/>
        <w:t>SFŽP</w:t>
      </w:r>
      <w:r>
        <w:rPr>
          <w:spacing w:val="-3"/>
        </w:rPr>
        <w:t> </w:t>
      </w:r>
      <w:r>
        <w:rPr/>
        <w:t>ČR“)</w:t>
      </w:r>
      <w:r>
        <w:rPr>
          <w:spacing w:val="-2"/>
        </w:rPr>
        <w:t> </w:t>
      </w:r>
      <w:r>
        <w:rPr/>
        <w:t>s</w:t>
      </w:r>
      <w:r>
        <w:rPr>
          <w:spacing w:val="-4"/>
        </w:rPr>
        <w:t> </w:t>
      </w:r>
      <w:r>
        <w:rPr/>
        <w:t>žádostí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platbu</w:t>
      </w:r>
      <w:r>
        <w:rPr>
          <w:spacing w:val="-3"/>
        </w:rPr>
        <w:t> </w:t>
      </w:r>
      <w:r>
        <w:rPr/>
        <w:t>(bod</w:t>
      </w:r>
      <w:r>
        <w:rPr>
          <w:spacing w:val="-4"/>
        </w:rPr>
        <w:t> </w:t>
      </w:r>
      <w:r>
        <w:rPr/>
        <w:t>8)</w:t>
      </w:r>
      <w:r>
        <w:rPr>
          <w:spacing w:val="-4"/>
        </w:rPr>
        <w:t> </w:t>
      </w:r>
      <w:r>
        <w:rPr/>
        <w:t>příslušné</w:t>
      </w:r>
      <w:r>
        <w:rPr>
          <w:spacing w:val="-4"/>
        </w:rPr>
        <w:t> </w:t>
      </w:r>
      <w:r>
        <w:rPr/>
        <w:t>doklady</w:t>
      </w:r>
      <w:r>
        <w:rPr>
          <w:spacing w:val="-2"/>
        </w:rPr>
        <w:t> </w:t>
      </w:r>
      <w:r>
        <w:rPr/>
        <w:t>prokazující</w:t>
      </w:r>
      <w:r>
        <w:rPr>
          <w:spacing w:val="-5"/>
        </w:rPr>
        <w:t> </w:t>
      </w:r>
      <w:r>
        <w:rPr/>
        <w:t>oprávněnost</w:t>
      </w:r>
      <w:r>
        <w:rPr>
          <w:spacing w:val="-5"/>
        </w:rPr>
        <w:t> </w:t>
      </w:r>
      <w:r>
        <w:rPr/>
        <w:t>vynaložených</w:t>
      </w:r>
      <w:r>
        <w:rPr>
          <w:spacing w:val="-4"/>
        </w:rPr>
        <w:t> </w:t>
      </w:r>
      <w:r>
        <w:rPr/>
        <w:t>finančních </w:t>
      </w:r>
      <w:r>
        <w:rPr>
          <w:spacing w:val="-2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2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21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akce „Služby HB, s.r.o. – Ekomobilita“ byla provedena 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2"/>
          <w:sz w:val="20"/>
        </w:rPr>
        <w:t> </w:t>
      </w:r>
      <w:r>
        <w:rPr>
          <w:sz w:val="20"/>
        </w:rPr>
        <w:t>Výzvou, žádostí o podporu a jejími</w:t>
      </w:r>
      <w:r>
        <w:rPr>
          <w:spacing w:val="40"/>
          <w:sz w:val="20"/>
        </w:rPr>
        <w:t> </w:t>
      </w:r>
      <w:r>
        <w:rPr>
          <w:sz w:val="20"/>
        </w:rPr>
        <w:t>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17.</w:t>
      </w:r>
      <w:r>
        <w:rPr>
          <w:spacing w:val="-4"/>
          <w:sz w:val="20"/>
        </w:rPr>
        <w:t> </w:t>
      </w:r>
      <w:r>
        <w:rPr>
          <w:sz w:val="20"/>
        </w:rPr>
        <w:t>4.</w:t>
      </w:r>
      <w:r>
        <w:rPr>
          <w:spacing w:val="-4"/>
          <w:sz w:val="20"/>
        </w:rPr>
        <w:t> </w:t>
      </w:r>
      <w:r>
        <w:rPr>
          <w:sz w:val="20"/>
        </w:rPr>
        <w:t>2024</w:t>
      </w:r>
      <w:r>
        <w:rPr>
          <w:spacing w:val="-4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nových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vozidel,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7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18"/>
        <w:ind w:right="117"/>
        <w:jc w:val="both"/>
      </w:pPr>
      <w:r>
        <w:rPr/>
        <w:t>Příjemce podpory bere na vědomí, že pokud toto prohlášení není pravdivé, bude přijetí podpory podle této</w:t>
      </w:r>
      <w:r>
        <w:rPr>
          <w:spacing w:val="-11"/>
        </w:rPr>
        <w:t> </w:t>
      </w:r>
      <w:r>
        <w:rPr/>
        <w:t>Smlouvy</w:t>
      </w:r>
      <w:r>
        <w:rPr>
          <w:spacing w:val="-12"/>
        </w:rPr>
        <w:t> </w:t>
      </w:r>
      <w:r>
        <w:rPr/>
        <w:t>považováno</w:t>
      </w:r>
      <w:r>
        <w:rPr>
          <w:spacing w:val="-11"/>
        </w:rPr>
        <w:t> </w:t>
      </w:r>
      <w:r>
        <w:rPr/>
        <w:t>za</w:t>
      </w:r>
      <w:r>
        <w:rPr>
          <w:spacing w:val="-12"/>
        </w:rPr>
        <w:t> </w:t>
      </w:r>
      <w:r>
        <w:rPr/>
        <w:t>neoprávněné</w:t>
      </w:r>
      <w:r>
        <w:rPr>
          <w:spacing w:val="-12"/>
        </w:rPr>
        <w:t> </w:t>
      </w:r>
      <w:r>
        <w:rPr/>
        <w:t>použití</w:t>
      </w:r>
      <w:r>
        <w:rPr>
          <w:spacing w:val="-12"/>
        </w:rPr>
        <w:t> </w:t>
      </w:r>
      <w:r>
        <w:rPr/>
        <w:t>finančních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poskytnutých</w:t>
      </w:r>
      <w:r>
        <w:rPr>
          <w:spacing w:val="-11"/>
        </w:rPr>
        <w:t> </w:t>
      </w:r>
      <w:r>
        <w:rPr/>
        <w:t>ze</w:t>
      </w:r>
      <w:r>
        <w:rPr>
          <w:spacing w:val="-12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 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218/2000</w:t>
      </w:r>
      <w:r>
        <w:rPr>
          <w:spacing w:val="-1"/>
        </w:rPr>
        <w:t> </w:t>
      </w:r>
      <w:r>
        <w:rPr/>
        <w:t>Sb.,</w:t>
      </w:r>
      <w:r>
        <w:rPr>
          <w:spacing w:val="-1"/>
        </w:rPr>
        <w:t> </w:t>
      </w:r>
      <w:r>
        <w:rPr/>
        <w:t>o rozpočtových</w:t>
      </w:r>
      <w:r>
        <w:rPr>
          <w:spacing w:val="-1"/>
        </w:rPr>
        <w:t> </w:t>
      </w:r>
      <w:r>
        <w:rPr/>
        <w:t>pravidlech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 souvisejících</w:t>
      </w:r>
      <w:r>
        <w:rPr>
          <w:spacing w:val="-1"/>
        </w:rPr>
        <w:t> </w:t>
      </w:r>
      <w:r>
        <w:rPr/>
        <w:t>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1396" w:top="146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89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7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37" w:lineRule="auto" w:before="123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708" w:footer="1396" w:top="1460" w:bottom="1600" w:left="1320" w:right="1020"/>
        </w:sectPr>
      </w:pPr>
    </w:p>
    <w:p>
      <w:pPr>
        <w:pStyle w:val="BodyText"/>
        <w:spacing w:before="89"/>
        <w:ind w:left="948" w:right="113"/>
        <w:jc w:val="both"/>
      </w:pPr>
      <w:r>
        <w:rPr/>
        <w:t>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9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skutečných</w:t>
      </w:r>
      <w:r>
        <w:rPr>
          <w:spacing w:val="-14"/>
          <w:sz w:val="20"/>
        </w:rPr>
        <w:t> </w:t>
      </w:r>
      <w:r>
        <w:rPr>
          <w:sz w:val="20"/>
        </w:rPr>
        <w:t>majitelích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takové</w:t>
      </w:r>
      <w:r>
        <w:rPr>
          <w:spacing w:val="-14"/>
          <w:sz w:val="20"/>
        </w:rPr>
        <w:t> </w:t>
      </w:r>
      <w:r>
        <w:rPr>
          <w:sz w:val="20"/>
        </w:rPr>
        <w:t>změny</w:t>
      </w:r>
      <w:r>
        <w:rPr>
          <w:spacing w:val="-13"/>
          <w:sz w:val="20"/>
        </w:rPr>
        <w:t> </w:t>
      </w:r>
      <w:r>
        <w:rPr>
          <w:sz w:val="20"/>
        </w:rPr>
        <w:t>předložit</w:t>
      </w:r>
      <w:r>
        <w:rPr>
          <w:spacing w:val="-14"/>
          <w:sz w:val="20"/>
        </w:rPr>
        <w:t> </w:t>
      </w:r>
      <w:r>
        <w:rPr>
          <w:sz w:val="20"/>
        </w:rPr>
        <w:t>nově</w:t>
      </w:r>
      <w:r>
        <w:rPr>
          <w:spacing w:val="-13"/>
          <w:sz w:val="20"/>
        </w:rPr>
        <w:t> </w:t>
      </w:r>
      <w:r>
        <w:rPr>
          <w:sz w:val="20"/>
        </w:rPr>
        <w:t>vyplněné</w:t>
      </w:r>
      <w:r>
        <w:rPr>
          <w:spacing w:val="-12"/>
          <w:sz w:val="20"/>
        </w:rPr>
        <w:t> </w:t>
      </w:r>
      <w:r>
        <w:rPr>
          <w:sz w:val="20"/>
        </w:rPr>
        <w:t>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4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</w:t>
      </w:r>
      <w:r>
        <w:rPr>
          <w:spacing w:val="-3"/>
          <w:sz w:val="20"/>
        </w:rPr>
        <w:t> </w:t>
      </w:r>
      <w:r>
        <w:rPr>
          <w:sz w:val="20"/>
        </w:rPr>
        <w:t>nařízení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6 Směrnice</w:t>
      </w:r>
      <w:r>
        <w:rPr>
          <w:spacing w:val="23"/>
          <w:sz w:val="20"/>
        </w:rPr>
        <w:t> </w:t>
      </w:r>
      <w:r>
        <w:rPr>
          <w:sz w:val="20"/>
        </w:rPr>
        <w:t>Evropského</w:t>
      </w:r>
      <w:r>
        <w:rPr>
          <w:spacing w:val="25"/>
          <w:sz w:val="20"/>
        </w:rPr>
        <w:t> </w:t>
      </w:r>
      <w:r>
        <w:rPr>
          <w:sz w:val="20"/>
        </w:rPr>
        <w:t>Parlamentu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Rady</w:t>
      </w:r>
      <w:r>
        <w:rPr>
          <w:spacing w:val="23"/>
          <w:sz w:val="20"/>
        </w:rPr>
        <w:t> </w:t>
      </w:r>
      <w:r>
        <w:rPr>
          <w:sz w:val="20"/>
        </w:rPr>
        <w:t>(EU)</w:t>
      </w:r>
      <w:r>
        <w:rPr>
          <w:spacing w:val="24"/>
          <w:sz w:val="20"/>
        </w:rPr>
        <w:t> </w:t>
      </w:r>
      <w:r>
        <w:rPr>
          <w:sz w:val="20"/>
        </w:rPr>
        <w:t>2015/849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předcházení</w:t>
      </w:r>
      <w:r>
        <w:rPr>
          <w:spacing w:val="24"/>
          <w:sz w:val="20"/>
        </w:rPr>
        <w:t> </w:t>
      </w:r>
      <w:r>
        <w:rPr>
          <w:sz w:val="20"/>
        </w:rPr>
        <w:t>využívání</w:t>
      </w:r>
      <w:r>
        <w:rPr>
          <w:spacing w:val="24"/>
          <w:sz w:val="20"/>
        </w:rPr>
        <w:t> </w:t>
      </w:r>
      <w:r>
        <w:rPr>
          <w:sz w:val="20"/>
        </w:rPr>
        <w:t>finančního</w:t>
      </w:r>
      <w:r>
        <w:rPr>
          <w:spacing w:val="24"/>
          <w:sz w:val="20"/>
        </w:rPr>
        <w:t> </w:t>
      </w:r>
      <w:r>
        <w:rPr>
          <w:sz w:val="20"/>
        </w:rPr>
        <w:t>systému k</w:t>
      </w:r>
      <w:r>
        <w:rPr>
          <w:spacing w:val="27"/>
          <w:sz w:val="20"/>
        </w:rPr>
        <w:t> </w:t>
      </w:r>
      <w:r>
        <w:rPr>
          <w:sz w:val="20"/>
        </w:rPr>
        <w:t>praní</w:t>
      </w:r>
      <w:r>
        <w:rPr>
          <w:spacing w:val="26"/>
          <w:sz w:val="20"/>
        </w:rPr>
        <w:t> </w:t>
      </w:r>
      <w:r>
        <w:rPr>
          <w:sz w:val="20"/>
        </w:rPr>
        <w:t>peněz</w:t>
      </w:r>
      <w:r>
        <w:rPr>
          <w:spacing w:val="28"/>
          <w:sz w:val="20"/>
        </w:rPr>
        <w:t> </w:t>
      </w:r>
      <w:r>
        <w:rPr>
          <w:sz w:val="20"/>
        </w:rPr>
        <w:t>nebo</w:t>
      </w:r>
      <w:r>
        <w:rPr>
          <w:spacing w:val="28"/>
          <w:sz w:val="20"/>
        </w:rPr>
        <w:t> </w:t>
      </w:r>
      <w:r>
        <w:rPr>
          <w:sz w:val="20"/>
        </w:rPr>
        <w:t>financování</w:t>
      </w:r>
      <w:r>
        <w:rPr>
          <w:spacing w:val="27"/>
          <w:sz w:val="20"/>
        </w:rPr>
        <w:t> </w:t>
      </w:r>
      <w:r>
        <w:rPr>
          <w:sz w:val="20"/>
        </w:rPr>
        <w:t>terorismu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smyslu</w:t>
      </w:r>
      <w:r>
        <w:rPr>
          <w:spacing w:val="27"/>
          <w:sz w:val="20"/>
        </w:rPr>
        <w:t> </w:t>
      </w:r>
      <w:r>
        <w:rPr>
          <w:sz w:val="20"/>
        </w:rPr>
        <w:t>§</w:t>
      </w:r>
      <w:r>
        <w:rPr>
          <w:spacing w:val="27"/>
          <w:sz w:val="20"/>
        </w:rPr>
        <w:t> </w:t>
      </w:r>
      <w:r>
        <w:rPr>
          <w:sz w:val="20"/>
        </w:rPr>
        <w:t>4c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27"/>
          <w:sz w:val="20"/>
        </w:rPr>
        <w:t> </w:t>
      </w:r>
      <w:r>
        <w:rPr>
          <w:sz w:val="20"/>
        </w:rPr>
        <w:t>159/2006</w:t>
      </w:r>
      <w:r>
        <w:rPr>
          <w:spacing w:val="25"/>
          <w:sz w:val="20"/>
        </w:rPr>
        <w:t> </w:t>
      </w:r>
      <w:r>
        <w:rPr>
          <w:sz w:val="20"/>
        </w:rPr>
        <w:t>Sb.,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střetu</w:t>
      </w:r>
      <w:r>
        <w:rPr>
          <w:spacing w:val="27"/>
          <w:sz w:val="20"/>
        </w:rPr>
        <w:t> </w:t>
      </w:r>
      <w:r>
        <w:rPr>
          <w:sz w:val="20"/>
        </w:rPr>
        <w:t>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7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  <w:spacing w:before="1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spacing w:after="0"/>
        <w:sectPr>
          <w:pgSz w:w="12240" w:h="15840"/>
          <w:pgMar w:header="708" w:footer="1396" w:top="14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6" w:top="1460" w:bottom="1660" w:left="1320" w:right="10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9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7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6" w:top="1460" w:bottom="1660" w:left="1320" w:right="1020"/>
        </w:sectPr>
      </w:pPr>
    </w:p>
    <w:p>
      <w:pPr>
        <w:pStyle w:val="BodyText"/>
        <w:spacing w:before="89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2"/>
        <w:ind w:left="0"/>
        <w:rPr>
          <w:b/>
          <w:sz w:val="28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4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5" w:lineRule="exact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6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6" w:top="14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6" w:top="1460" w:bottom="1660" w:left="1320" w:right="102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6" w:top="1460" w:bottom="1640" w:left="1320" w:right="102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2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95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9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29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rámcové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</w:tc>
      </w:tr>
    </w:tbl>
    <w:p>
      <w:pPr>
        <w:pStyle w:val="BodyText"/>
        <w:ind w:left="0"/>
        <w:rPr>
          <w:b/>
          <w:sz w:val="27"/>
        </w:rPr>
      </w:pPr>
      <w:r>
        <w:rPr/>
        <w:pict>
          <v:rect style="position:absolute;margin-left:85.103996pt;margin-top:19.15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6" w:top="1460" w:bottom="1660" w:left="1320" w:right="10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291"/>
              <w:jc w:val="both"/>
              <w:rPr>
                <w:sz w:val="20"/>
              </w:rPr>
            </w:pPr>
            <w:r>
              <w:rPr>
                <w:sz w:val="20"/>
              </w:rPr>
              <w:t>dohody,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6" w:top="1460" w:bottom="1660" w:left="1320" w:right="10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4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95"/>
              <w:rPr>
                <w:sz w:val="20"/>
              </w:rPr>
            </w:pPr>
            <w:r>
              <w:rPr>
                <w:sz w:val="20"/>
              </w:rPr>
              <w:t>provozovnu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určitého regionu či 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708" w:footer="1396" w:top="1460" w:bottom="1660" w:left="1320" w:right="10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6" w:top="1460" w:bottom="1660" w:left="1320" w:right="10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2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6" w:top="1460" w:bottom="1660" w:left="1320" w:right="10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6" w:top="1460" w:bottom="1660" w:left="1320" w:right="10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before="6"/>
        <w:ind w:left="0"/>
      </w:pPr>
      <w:r>
        <w:rPr/>
        <w:pict>
          <v:rect style="position:absolute;margin-left:85.103996pt;margin-top:14.806856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6" w:top="1460" w:bottom="1660" w:left="1320" w:right="10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spacing w:before="2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708" w:footer="1396" w:top="14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85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57408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2025-01-10T05:58:17Z</dcterms:created>
  <dcterms:modified xsi:type="dcterms:W3CDTF">2025-01-10T05:58:17Z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2025-01-10T00:00:00Z</vt:filetime>
  </property>
</Properties>
</file>