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3 k nájemní smlouvě č. pronajímatele 336/2017</w:t>
        <w:br/>
        <w:t>„Pronájem dvou stanovených měřidel“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Smluvní strany</w:t>
      </w:r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" w:name="bookmark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vložka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Elektrárna Tisová, a. 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Tisová 2, 356 01 Březová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29160189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plátce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odst. č. 1 ustanovení článku II. tak, že se doplňuje věta 1. Nájemní vztah se prodlužuje na dobu určitou 4 let, tj. od 1.1.2025 do 31.12.2028.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se mění odstavec č. 1 článku IV.,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Pronajímatl předal nájemci předmět nájmu ve funkčním stavu a vyhovující platným předpisům. Měřidla jsou řádně kalibrována: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KROHNE AQUAFLUX DN 500, výrobní číslo A988750 do 31.12.2028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KROHNE AQUAFLUX DN 500, výrobní číslo A988751 do 31.12.2028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pronájmu dvou stanovených měřidel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je vyhotoven ve 4 stejnopisech s platností originálu, přičemž nájemce i pronajímatel obdrží 2 oboustranně podepsané výtisky.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smouvy 336/2017 nabývá platnosti dnem podpisu poslední ze smluvních stran a účinnosti zveřejněním v Rejstříku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57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777240" cy="21018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Tisové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61.200000000000003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Tisové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122" w:val="left"/>
        </w:tabs>
        <w:bidi w:val="0"/>
        <w:spacing w:before="0" w:after="1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12700</wp:posOffset>
                </wp:positionV>
                <wp:extent cx="1380490" cy="50609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117" w:val="left"/>
                              </w:tabs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ekonomický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5.65000000000003pt;margin-top:1.pt;width:108.7pt;height:3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117" w:val="left"/>
                        </w:tabs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ekonomický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122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představenstva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653" w:left="1106" w:right="1283" w:bottom="751" w:header="22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1.25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