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415250">
        <w:rPr>
          <w:rFonts w:ascii="Arial Narrow" w:hAnsi="Arial Narrow"/>
          <w:b/>
        </w:rPr>
        <w:tab/>
      </w:r>
      <w:r w:rsidR="00415250">
        <w:rPr>
          <w:rFonts w:ascii="Arial Narrow" w:hAnsi="Arial Narrow"/>
          <w:b/>
        </w:rPr>
        <w:tab/>
      </w:r>
      <w:r w:rsidR="00415250">
        <w:rPr>
          <w:rFonts w:ascii="Arial Narrow" w:hAnsi="Arial Narrow"/>
          <w:b/>
        </w:rPr>
        <w:tab/>
        <w:t>SML/0</w:t>
      </w:r>
      <w:r w:rsidR="00325F67">
        <w:rPr>
          <w:rFonts w:ascii="Arial Narrow" w:hAnsi="Arial Narrow"/>
          <w:b/>
        </w:rPr>
        <w:t>0</w:t>
      </w:r>
      <w:r w:rsidR="00303470">
        <w:rPr>
          <w:rFonts w:ascii="Arial Narrow" w:hAnsi="Arial Narrow"/>
          <w:b/>
        </w:rPr>
        <w:t>9</w:t>
      </w:r>
      <w:r w:rsidR="00415250">
        <w:rPr>
          <w:rFonts w:ascii="Arial Narrow" w:hAnsi="Arial Narrow"/>
          <w:b/>
        </w:rPr>
        <w:t>/202</w:t>
      </w:r>
      <w:r w:rsidR="00325F67">
        <w:rPr>
          <w:rFonts w:ascii="Arial Narrow" w:hAnsi="Arial Narrow"/>
          <w:b/>
        </w:rPr>
        <w:t>5</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7A21AC">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9D0921" w:rsidRDefault="0028783A" w:rsidP="00253807">
      <w:pPr>
        <w:pStyle w:val="Odstavecseseznamem"/>
        <w:numPr>
          <w:ilvl w:val="0"/>
          <w:numId w:val="1"/>
        </w:numPr>
        <w:spacing w:after="0" w:line="240" w:lineRule="auto"/>
        <w:ind w:left="426" w:hanging="426"/>
        <w:rPr>
          <w:rFonts w:ascii="Arial Narrow" w:hAnsi="Arial Narrow"/>
          <w:b/>
        </w:rPr>
      </w:pPr>
      <w:r w:rsidRPr="009D0921">
        <w:rPr>
          <w:rFonts w:ascii="Arial Narrow" w:hAnsi="Arial Narrow"/>
          <w:b/>
        </w:rPr>
        <w:t>PŘÍJEMCE DOTACE</w:t>
      </w:r>
      <w:r w:rsidRPr="009D0921">
        <w:rPr>
          <w:rFonts w:ascii="Arial Narrow" w:hAnsi="Arial Narrow"/>
          <w:b/>
        </w:rPr>
        <w:tab/>
      </w:r>
      <w:r w:rsidR="00864E8F">
        <w:rPr>
          <w:rFonts w:ascii="Arial Narrow" w:hAnsi="Arial Narrow"/>
        </w:rPr>
        <w:t>Orel jednota Kroměříž, pobočný spolek</w:t>
      </w:r>
    </w:p>
    <w:p w:rsidR="00253807" w:rsidRPr="009D0921" w:rsidRDefault="001502CC" w:rsidP="00253807">
      <w:pPr>
        <w:spacing w:after="0" w:line="240" w:lineRule="auto"/>
        <w:rPr>
          <w:rFonts w:ascii="Arial Narrow" w:hAnsi="Arial Narrow"/>
        </w:rPr>
      </w:pPr>
      <w:r w:rsidRPr="009D0921">
        <w:rPr>
          <w:rFonts w:ascii="Arial Narrow" w:hAnsi="Arial Narrow"/>
        </w:rPr>
        <w:t>Zastoupen:</w:t>
      </w:r>
      <w:r w:rsidRPr="009D0921">
        <w:rPr>
          <w:rFonts w:ascii="Arial Narrow" w:hAnsi="Arial Narrow"/>
        </w:rPr>
        <w:tab/>
      </w:r>
      <w:r w:rsidRPr="009D0921">
        <w:rPr>
          <w:rFonts w:ascii="Arial Narrow" w:hAnsi="Arial Narrow"/>
        </w:rPr>
        <w:tab/>
      </w:r>
      <w:r w:rsidRPr="009D0921">
        <w:rPr>
          <w:rFonts w:ascii="Arial Narrow" w:hAnsi="Arial Narrow"/>
        </w:rPr>
        <w:tab/>
      </w:r>
      <w:r w:rsidR="00325F67">
        <w:rPr>
          <w:rFonts w:ascii="Arial Narrow" w:hAnsi="Arial Narrow"/>
        </w:rPr>
        <w:t xml:space="preserve">Radimem </w:t>
      </w:r>
      <w:proofErr w:type="spellStart"/>
      <w:r w:rsidR="00325F67">
        <w:rPr>
          <w:rFonts w:ascii="Arial Narrow" w:hAnsi="Arial Narrow"/>
        </w:rPr>
        <w:t>Přádkou</w:t>
      </w:r>
      <w:proofErr w:type="spellEnd"/>
      <w:r w:rsidR="00864E8F">
        <w:rPr>
          <w:rFonts w:ascii="Arial Narrow" w:hAnsi="Arial Narrow"/>
        </w:rPr>
        <w:t xml:space="preserve">, </w:t>
      </w:r>
      <w:r w:rsidR="00325F67">
        <w:rPr>
          <w:rFonts w:ascii="Arial Narrow" w:hAnsi="Arial Narrow"/>
        </w:rPr>
        <w:t>místostarostou</w:t>
      </w:r>
    </w:p>
    <w:p w:rsidR="00253807" w:rsidRPr="009D0921" w:rsidRDefault="0028783A" w:rsidP="00253807">
      <w:pPr>
        <w:spacing w:after="0" w:line="240" w:lineRule="auto"/>
        <w:rPr>
          <w:rFonts w:ascii="Arial Narrow" w:hAnsi="Arial Narrow"/>
        </w:rPr>
      </w:pPr>
      <w:r w:rsidRPr="009D0921">
        <w:rPr>
          <w:rFonts w:ascii="Arial Narrow" w:hAnsi="Arial Narrow"/>
        </w:rPr>
        <w:t>Sídlo</w:t>
      </w:r>
      <w:r w:rsidR="00253807" w:rsidRPr="009D0921">
        <w:rPr>
          <w:rFonts w:ascii="Arial Narrow" w:hAnsi="Arial Narrow"/>
        </w:rPr>
        <w:t>:</w:t>
      </w:r>
      <w:r w:rsidR="00253807" w:rsidRPr="009D0921">
        <w:rPr>
          <w:rFonts w:ascii="Arial Narrow" w:hAnsi="Arial Narrow"/>
        </w:rPr>
        <w:tab/>
      </w:r>
      <w:r w:rsidR="00253807" w:rsidRPr="009D0921">
        <w:rPr>
          <w:rFonts w:ascii="Arial Narrow" w:hAnsi="Arial Narrow"/>
        </w:rPr>
        <w:tab/>
      </w:r>
      <w:r w:rsidR="00D551DC" w:rsidRPr="009D0921">
        <w:rPr>
          <w:rFonts w:ascii="Arial Narrow" w:hAnsi="Arial Narrow"/>
        </w:rPr>
        <w:tab/>
      </w:r>
      <w:r w:rsidR="00D551DC" w:rsidRPr="009D0921">
        <w:rPr>
          <w:rFonts w:ascii="Arial Narrow" w:hAnsi="Arial Narrow"/>
        </w:rPr>
        <w:tab/>
      </w:r>
      <w:r w:rsidR="00325F67">
        <w:rPr>
          <w:rFonts w:ascii="Arial Narrow" w:hAnsi="Arial Narrow"/>
        </w:rPr>
        <w:t>Pilařova 3/3</w:t>
      </w:r>
      <w:r w:rsidR="00BF4D11" w:rsidRPr="009D0921">
        <w:rPr>
          <w:rFonts w:ascii="Arial Narrow" w:hAnsi="Arial Narrow"/>
        </w:rPr>
        <w:t xml:space="preserve">, 767 </w:t>
      </w:r>
      <w:proofErr w:type="gramStart"/>
      <w:r w:rsidR="00BF4D11" w:rsidRPr="009D0921">
        <w:rPr>
          <w:rFonts w:ascii="Arial Narrow" w:hAnsi="Arial Narrow"/>
        </w:rPr>
        <w:t>01  Kroměříž</w:t>
      </w:r>
      <w:proofErr w:type="gramEnd"/>
    </w:p>
    <w:p w:rsidR="00253807" w:rsidRPr="009D0921" w:rsidRDefault="0028783A" w:rsidP="00253807">
      <w:pPr>
        <w:spacing w:after="0" w:line="240" w:lineRule="auto"/>
        <w:rPr>
          <w:rFonts w:ascii="Arial Narrow" w:hAnsi="Arial Narrow"/>
        </w:rPr>
      </w:pPr>
      <w:r w:rsidRPr="009D0921">
        <w:rPr>
          <w:rFonts w:ascii="Arial Narrow" w:hAnsi="Arial Narrow"/>
        </w:rPr>
        <w:t>IČ</w:t>
      </w:r>
      <w:r w:rsidR="00253807" w:rsidRPr="009D0921">
        <w:rPr>
          <w:rFonts w:ascii="Arial Narrow" w:hAnsi="Arial Narrow"/>
        </w:rPr>
        <w:t>:</w:t>
      </w:r>
      <w:r w:rsidR="00253807" w:rsidRPr="009D0921">
        <w:rPr>
          <w:rFonts w:ascii="Arial Narrow" w:hAnsi="Arial Narrow"/>
        </w:rPr>
        <w:tab/>
      </w:r>
      <w:r w:rsidR="00253807" w:rsidRPr="009D0921">
        <w:rPr>
          <w:rFonts w:ascii="Arial Narrow" w:hAnsi="Arial Narrow"/>
        </w:rPr>
        <w:tab/>
      </w:r>
      <w:r w:rsidR="00D551DC" w:rsidRPr="009D0921">
        <w:rPr>
          <w:rFonts w:ascii="Arial Narrow" w:hAnsi="Arial Narrow"/>
        </w:rPr>
        <w:tab/>
      </w:r>
      <w:r w:rsidR="00D551DC" w:rsidRPr="009D0921">
        <w:rPr>
          <w:rFonts w:ascii="Arial Narrow" w:hAnsi="Arial Narrow"/>
        </w:rPr>
        <w:tab/>
      </w:r>
      <w:bookmarkStart w:id="0" w:name="_GoBack"/>
      <w:r w:rsidR="00864E8F">
        <w:rPr>
          <w:rFonts w:ascii="Arial Narrow" w:hAnsi="Arial Narrow"/>
        </w:rPr>
        <w:t>65270240</w:t>
      </w:r>
      <w:bookmarkEnd w:id="0"/>
    </w:p>
    <w:p w:rsidR="00BF4D11" w:rsidRPr="009D0921" w:rsidRDefault="00253807" w:rsidP="00BF4D11">
      <w:pPr>
        <w:spacing w:after="0" w:line="240" w:lineRule="auto"/>
        <w:rPr>
          <w:rFonts w:ascii="Arial Narrow" w:hAnsi="Arial Narrow"/>
        </w:rPr>
      </w:pPr>
      <w:r w:rsidRPr="009D0921">
        <w:rPr>
          <w:rFonts w:ascii="Arial Narrow" w:hAnsi="Arial Narrow"/>
        </w:rPr>
        <w:t>Bankovní spojení:</w:t>
      </w:r>
      <w:r w:rsidRPr="009D0921">
        <w:rPr>
          <w:rFonts w:ascii="Arial Narrow" w:hAnsi="Arial Narrow"/>
        </w:rPr>
        <w:tab/>
      </w:r>
      <w:r w:rsidRPr="009D0921">
        <w:rPr>
          <w:rFonts w:ascii="Arial Narrow" w:hAnsi="Arial Narrow"/>
        </w:rPr>
        <w:tab/>
      </w:r>
      <w:proofErr w:type="spellStart"/>
      <w:r w:rsidR="00864E8F">
        <w:rPr>
          <w:rFonts w:ascii="Arial Narrow" w:hAnsi="Arial Narrow"/>
        </w:rPr>
        <w:t>Fio</w:t>
      </w:r>
      <w:proofErr w:type="spellEnd"/>
      <w:r w:rsidR="00BF4D11" w:rsidRPr="009D0921">
        <w:rPr>
          <w:rFonts w:ascii="Arial Narrow" w:hAnsi="Arial Narrow"/>
        </w:rPr>
        <w:t xml:space="preserve"> banka</w:t>
      </w:r>
      <w:r w:rsidR="00864E8F">
        <w:rPr>
          <w:rFonts w:ascii="Arial Narrow" w:hAnsi="Arial Narrow"/>
        </w:rPr>
        <w:t>,</w:t>
      </w:r>
      <w:r w:rsidR="00BF4D11" w:rsidRPr="009D0921">
        <w:rPr>
          <w:rFonts w:ascii="Arial Narrow" w:hAnsi="Arial Narrow"/>
        </w:rPr>
        <w:t xml:space="preserve"> a. s., č. účtu </w:t>
      </w:r>
      <w:r w:rsidR="00864E8F">
        <w:rPr>
          <w:rFonts w:ascii="Arial Narrow" w:hAnsi="Arial Narrow"/>
        </w:rPr>
        <w:t>2002686826/2010</w:t>
      </w:r>
    </w:p>
    <w:p w:rsidR="00253807" w:rsidRPr="009D0921" w:rsidRDefault="00253807" w:rsidP="00253807">
      <w:pPr>
        <w:spacing w:after="0" w:line="240" w:lineRule="auto"/>
        <w:rPr>
          <w:rFonts w:ascii="Arial Narrow" w:hAnsi="Arial Narrow"/>
        </w:rPr>
      </w:pPr>
      <w:r w:rsidRPr="009D0921">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9D0921" w:rsidRDefault="003160D3" w:rsidP="00F20940">
      <w:pPr>
        <w:pStyle w:val="Odstavecseseznamem"/>
        <w:numPr>
          <w:ilvl w:val="0"/>
          <w:numId w:val="3"/>
        </w:numPr>
        <w:spacing w:after="0" w:line="240" w:lineRule="auto"/>
        <w:jc w:val="both"/>
        <w:rPr>
          <w:rFonts w:ascii="Arial Narrow" w:hAnsi="Arial Narrow"/>
        </w:rPr>
      </w:pPr>
      <w:r w:rsidRPr="009D0921">
        <w:rPr>
          <w:rFonts w:ascii="Arial Narrow" w:hAnsi="Arial Narrow"/>
        </w:rPr>
        <w:t>Předmětem této smlouvy je poskytnutí dotace</w:t>
      </w:r>
      <w:r w:rsidR="00FE4B73" w:rsidRPr="009D0921">
        <w:rPr>
          <w:rFonts w:ascii="Arial Narrow" w:hAnsi="Arial Narrow"/>
        </w:rPr>
        <w:t xml:space="preserve"> za podmínek stanovených touto smlouvou</w:t>
      </w:r>
      <w:r w:rsidR="00AB0D66" w:rsidRPr="009D0921">
        <w:rPr>
          <w:rFonts w:ascii="Arial Narrow" w:hAnsi="Arial Narrow"/>
        </w:rPr>
        <w:t xml:space="preserve"> na </w:t>
      </w:r>
      <w:proofErr w:type="gramStart"/>
      <w:r w:rsidR="00AB0D66" w:rsidRPr="009D0921">
        <w:rPr>
          <w:rFonts w:ascii="Arial Narrow" w:hAnsi="Arial Narrow"/>
        </w:rPr>
        <w:t>základě</w:t>
      </w:r>
      <w:r w:rsidR="00FE4B73" w:rsidRPr="009D0921">
        <w:rPr>
          <w:rFonts w:ascii="Arial Narrow" w:hAnsi="Arial Narrow"/>
        </w:rPr>
        <w:t xml:space="preserve"> </w:t>
      </w:r>
      <w:r w:rsidR="00AB0D66" w:rsidRPr="009D0921">
        <w:rPr>
          <w:rFonts w:ascii="Arial Narrow" w:hAnsi="Arial Narrow"/>
        </w:rPr>
        <w:t xml:space="preserve"> </w:t>
      </w:r>
      <w:r w:rsidR="00A14887" w:rsidRPr="009D0921">
        <w:rPr>
          <w:rFonts w:ascii="Arial Narrow" w:hAnsi="Arial Narrow"/>
        </w:rPr>
        <w:t>žádosti</w:t>
      </w:r>
      <w:proofErr w:type="gramEnd"/>
      <w:r w:rsidR="00A14887" w:rsidRPr="009D0921">
        <w:rPr>
          <w:rFonts w:ascii="Arial Narrow" w:hAnsi="Arial Narrow"/>
        </w:rPr>
        <w:t xml:space="preserve"> o dotaci příjemce č.j.  </w:t>
      </w:r>
      <w:proofErr w:type="spellStart"/>
      <w:r w:rsidR="00A14887" w:rsidRPr="009D0921">
        <w:rPr>
          <w:rFonts w:ascii="Arial Narrow" w:hAnsi="Arial Narrow"/>
        </w:rPr>
        <w:t>MeUKM</w:t>
      </w:r>
      <w:proofErr w:type="spellEnd"/>
      <w:r w:rsidR="00A14887" w:rsidRPr="009D0921">
        <w:rPr>
          <w:rFonts w:ascii="Arial Narrow" w:hAnsi="Arial Narrow"/>
        </w:rPr>
        <w:t>/</w:t>
      </w:r>
      <w:r w:rsidR="00325F67">
        <w:rPr>
          <w:rFonts w:ascii="Arial Narrow" w:hAnsi="Arial Narrow"/>
        </w:rPr>
        <w:t>092842/2024</w:t>
      </w:r>
      <w:r w:rsidR="00A14887" w:rsidRPr="009D0921">
        <w:rPr>
          <w:rFonts w:ascii="Arial Narrow" w:hAnsi="Arial Narrow"/>
        </w:rPr>
        <w:t xml:space="preserve"> ze dne </w:t>
      </w:r>
      <w:r w:rsidR="00325F67">
        <w:rPr>
          <w:rFonts w:ascii="Arial Narrow" w:hAnsi="Arial Narrow"/>
        </w:rPr>
        <w:t>24</w:t>
      </w:r>
      <w:r w:rsidR="00A14887" w:rsidRPr="009D0921">
        <w:rPr>
          <w:rFonts w:ascii="Arial Narrow" w:hAnsi="Arial Narrow"/>
        </w:rPr>
        <w:t xml:space="preserve">. </w:t>
      </w:r>
      <w:r w:rsidR="00325F67">
        <w:rPr>
          <w:rFonts w:ascii="Arial Narrow" w:hAnsi="Arial Narrow"/>
        </w:rPr>
        <w:t>09</w:t>
      </w:r>
      <w:r w:rsidR="00A14887" w:rsidRPr="009D0921">
        <w:rPr>
          <w:rFonts w:ascii="Arial Narrow" w:hAnsi="Arial Narrow"/>
        </w:rPr>
        <w:t>. 202</w:t>
      </w:r>
      <w:r w:rsidR="00325F67">
        <w:rPr>
          <w:rFonts w:ascii="Arial Narrow" w:hAnsi="Arial Narrow"/>
        </w:rPr>
        <w:t>4</w:t>
      </w:r>
      <w:r w:rsidR="00A14887" w:rsidRPr="009D0921">
        <w:rPr>
          <w:rFonts w:ascii="Arial Narrow" w:hAnsi="Arial Narrow"/>
        </w:rPr>
        <w:t xml:space="preserve"> na</w:t>
      </w:r>
      <w:r w:rsidR="00873D60" w:rsidRPr="009D0921">
        <w:rPr>
          <w:rFonts w:ascii="Arial Narrow" w:hAnsi="Arial Narrow"/>
        </w:rPr>
        <w:t xml:space="preserve"> </w:t>
      </w:r>
    </w:p>
    <w:p w:rsidR="00A14887" w:rsidRPr="009D0921" w:rsidRDefault="00A14887" w:rsidP="00A14887">
      <w:pPr>
        <w:pStyle w:val="Odstavecseseznamem"/>
        <w:spacing w:after="0" w:line="240" w:lineRule="auto"/>
        <w:jc w:val="both"/>
        <w:rPr>
          <w:rFonts w:ascii="Arial Narrow" w:hAnsi="Arial Narrow"/>
        </w:rPr>
      </w:pPr>
    </w:p>
    <w:p w:rsidR="00BF4D11" w:rsidRPr="00BF4D11" w:rsidRDefault="00BF4D11" w:rsidP="00BF4D11">
      <w:pPr>
        <w:pStyle w:val="Odstavecseseznamem"/>
        <w:spacing w:after="0" w:line="240" w:lineRule="auto"/>
        <w:jc w:val="center"/>
        <w:rPr>
          <w:b/>
        </w:rPr>
      </w:pPr>
      <w:r w:rsidRPr="00BF4D11">
        <w:rPr>
          <w:b/>
        </w:rPr>
        <w:t>provozní náklady a činnost</w:t>
      </w:r>
      <w:r w:rsidR="00086C24">
        <w:rPr>
          <w:b/>
        </w:rPr>
        <w:t xml:space="preserve"> spolku</w:t>
      </w:r>
      <w:r w:rsidRPr="00BF4D11">
        <w:rPr>
          <w:b/>
        </w:rPr>
        <w:t xml:space="preserve"> </w:t>
      </w:r>
      <w:r w:rsidR="00864E8F">
        <w:rPr>
          <w:b/>
        </w:rPr>
        <w:t>Orel jednota Kroměříž.</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DA0EF3" w:rsidRPr="001820BF" w:rsidRDefault="00BF4D11" w:rsidP="00DA0EF3">
      <w:pPr>
        <w:pStyle w:val="Odstavecseseznamem"/>
        <w:spacing w:after="0" w:line="240" w:lineRule="auto"/>
        <w:jc w:val="center"/>
        <w:rPr>
          <w:b/>
        </w:rPr>
      </w:pPr>
      <w:r>
        <w:rPr>
          <w:b/>
        </w:rPr>
        <w:t>1</w:t>
      </w:r>
      <w:r w:rsidR="00325F67">
        <w:rPr>
          <w:b/>
        </w:rPr>
        <w:t>6</w:t>
      </w:r>
      <w:r w:rsidR="00DA0EF3" w:rsidRPr="001820BF">
        <w:rPr>
          <w:b/>
        </w:rPr>
        <w:t xml:space="preserve">0.000 Kč, slovy: </w:t>
      </w:r>
      <w:r>
        <w:rPr>
          <w:b/>
        </w:rPr>
        <w:t>jedno sto</w:t>
      </w:r>
      <w:r w:rsidR="00864E8F">
        <w:rPr>
          <w:b/>
        </w:rPr>
        <w:t xml:space="preserve"> </w:t>
      </w:r>
      <w:r w:rsidR="00325F67">
        <w:rPr>
          <w:b/>
        </w:rPr>
        <w:t>šedesát</w:t>
      </w:r>
      <w:r w:rsidR="00DA0EF3" w:rsidRPr="001820BF">
        <w:rPr>
          <w:b/>
        </w:rPr>
        <w:t xml:space="preserve"> 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193F09"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Pr="00BF4D11" w:rsidRDefault="00407FEC" w:rsidP="00BF4D11">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00BF4D11">
        <w:rPr>
          <w:rFonts w:ascii="Arial Narrow" w:hAnsi="Arial Narrow"/>
        </w:rPr>
        <w:t>.</w:t>
      </w:r>
    </w:p>
    <w:p w:rsidR="00DA0EF3" w:rsidRPr="00DA0EF3" w:rsidRDefault="00DA0EF3" w:rsidP="00DA0EF3">
      <w:pPr>
        <w:pStyle w:val="Odstavecseseznamem"/>
        <w:spacing w:after="0" w:line="240" w:lineRule="auto"/>
        <w:jc w:val="both"/>
        <w:rPr>
          <w:rFonts w:ascii="Arial Narrow" w:hAnsi="Arial Narrow"/>
        </w:rPr>
      </w:pP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325F67">
        <w:rPr>
          <w:rFonts w:ascii="Arial Narrow" w:hAnsi="Arial Narrow"/>
          <w:b/>
        </w:rPr>
        <w:t>5</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325F67">
        <w:rPr>
          <w:rFonts w:ascii="Arial Narrow" w:hAnsi="Arial Narrow"/>
          <w:b/>
        </w:rPr>
        <w:t>5</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325F67">
        <w:rPr>
          <w:rFonts w:ascii="Arial Narrow" w:hAnsi="Arial Narrow"/>
        </w:rPr>
        <w:t>6</w:t>
      </w:r>
      <w:r w:rsidR="009F48D5" w:rsidRPr="0028783A">
        <w:rPr>
          <w:rFonts w:ascii="Arial Narrow" w:hAnsi="Arial Narrow"/>
        </w:rPr>
        <w:t>, pokud účetně a věcně souvisejí s rokem 202</w:t>
      </w:r>
      <w:r w:rsidR="00325F67">
        <w:rPr>
          <w:rFonts w:ascii="Arial Narrow" w:hAnsi="Arial Narrow"/>
        </w:rPr>
        <w:t>5</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325F67">
        <w:rPr>
          <w:rFonts w:ascii="Arial Narrow" w:hAnsi="Arial Narrow"/>
        </w:rPr>
        <w:t>5</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325F67">
        <w:rPr>
          <w:rFonts w:ascii="Arial Narrow" w:hAnsi="Arial Narrow"/>
        </w:rPr>
        <w:t>6</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lastRenderedPageBreak/>
        <w:t>Doložení použití dotace a její vyúčtování je příjemce povinen předložit ke kontrole poskytovateli, a to administrátorovi dotace do 31. 3. 202</w:t>
      </w:r>
      <w:r w:rsidR="00325F67">
        <w:rPr>
          <w:rFonts w:ascii="Arial Narrow" w:hAnsi="Arial Narrow"/>
          <w:b/>
        </w:rPr>
        <w:t>6</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325F67">
        <w:rPr>
          <w:rFonts w:ascii="Arial Narrow" w:hAnsi="Arial Narrow"/>
          <w:b/>
        </w:rPr>
        <w:t>6</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w:t>
      </w:r>
      <w:r w:rsidRPr="0028783A">
        <w:rPr>
          <w:rFonts w:ascii="Arial Narrow" w:hAnsi="Arial Narrow"/>
        </w:rPr>
        <w:lastRenderedPageBreak/>
        <w:t>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7E21A8" w:rsidRPr="0028783A" w:rsidRDefault="007E21A8" w:rsidP="007E21A8">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w:t>
      </w:r>
      <w:r>
        <w:rPr>
          <w:rFonts w:ascii="Arial Narrow" w:hAnsi="Arial Narrow" w:cstheme="minorHAnsi"/>
        </w:rPr>
        <w:t>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303470">
        <w:rPr>
          <w:rFonts w:ascii="Arial Narrow" w:hAnsi="Arial Narrow" w:cstheme="minorHAnsi"/>
        </w:rPr>
        <w:t>14</w:t>
      </w:r>
      <w:r w:rsidR="002D19BB">
        <w:rPr>
          <w:rFonts w:ascii="Arial Narrow" w:hAnsi="Arial Narrow" w:cstheme="minorHAnsi"/>
        </w:rPr>
        <w:t>.</w:t>
      </w:r>
      <w:r w:rsidRPr="0028783A">
        <w:rPr>
          <w:rFonts w:ascii="Arial Narrow" w:hAnsi="Arial Narrow" w:cstheme="minorHAnsi"/>
        </w:rPr>
        <w:t xml:space="preserve"> zasedání ZMK dne</w:t>
      </w:r>
      <w:r w:rsidR="002D19BB">
        <w:rPr>
          <w:rFonts w:ascii="Arial Narrow" w:hAnsi="Arial Narrow" w:cstheme="minorHAnsi"/>
        </w:rPr>
        <w:t xml:space="preserve">   </w:t>
      </w:r>
      <w:r w:rsidR="00303470">
        <w:rPr>
          <w:rFonts w:ascii="Arial Narrow" w:hAnsi="Arial Narrow" w:cstheme="minorHAnsi"/>
        </w:rPr>
        <w:t xml:space="preserve">  </w:t>
      </w:r>
      <w:r w:rsidR="002D19BB">
        <w:rPr>
          <w:rFonts w:ascii="Arial Narrow" w:hAnsi="Arial Narrow" w:cstheme="minorHAnsi"/>
        </w:rPr>
        <w:t xml:space="preserve">       1</w:t>
      </w:r>
      <w:r w:rsidR="00325F67">
        <w:rPr>
          <w:rFonts w:ascii="Arial Narrow" w:hAnsi="Arial Narrow" w:cstheme="minorHAnsi"/>
        </w:rPr>
        <w:t>2</w:t>
      </w:r>
      <w:r w:rsidR="002D19BB">
        <w:rPr>
          <w:rFonts w:ascii="Arial Narrow" w:hAnsi="Arial Narrow" w:cstheme="minorHAnsi"/>
        </w:rPr>
        <w:t>. 12. 202</w:t>
      </w:r>
      <w:r w:rsidR="00325F67">
        <w:rPr>
          <w:rFonts w:ascii="Arial Narrow" w:hAnsi="Arial Narrow" w:cstheme="minorHAnsi"/>
        </w:rPr>
        <w:t>4</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415250">
        <w:rPr>
          <w:rFonts w:ascii="Arial Narrow" w:hAnsi="Arial Narrow" w:cstheme="minorHAnsi"/>
        </w:rPr>
        <w:t>2</w:t>
      </w:r>
      <w:r w:rsidR="00325F67">
        <w:rPr>
          <w:rFonts w:ascii="Arial Narrow" w:hAnsi="Arial Narrow" w:cstheme="minorHAnsi"/>
        </w:rPr>
        <w:t>4/</w:t>
      </w:r>
      <w:r w:rsidR="00303470">
        <w:rPr>
          <w:rFonts w:ascii="Arial Narrow" w:hAnsi="Arial Narrow" w:cstheme="minorHAnsi"/>
        </w:rPr>
        <w:t>14/14.</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9F5E2C">
        <w:rPr>
          <w:rFonts w:ascii="Arial Narrow" w:hAnsi="Arial Narrow" w:cstheme="minorHAnsi"/>
        </w:rPr>
        <w:t>7. 1. 2025</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9F5E2C">
        <w:rPr>
          <w:rFonts w:ascii="Arial Narrow" w:hAnsi="Arial Narrow" w:cstheme="minorHAnsi"/>
        </w:rPr>
        <w:tab/>
      </w:r>
      <w:r w:rsidRPr="0028783A">
        <w:rPr>
          <w:rFonts w:ascii="Arial Narrow" w:hAnsi="Arial Narrow" w:cstheme="minorHAnsi"/>
        </w:rPr>
        <w:tab/>
        <w:t xml:space="preserve">V Kroměříži </w:t>
      </w:r>
      <w:r w:rsidR="009F5E2C">
        <w:rPr>
          <w:rFonts w:ascii="Arial Narrow" w:hAnsi="Arial Narrow" w:cstheme="minorHAnsi"/>
        </w:rPr>
        <w:t>4. 1. 2025</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086C24"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325F67">
        <w:rPr>
          <w:rFonts w:ascii="Arial Narrow" w:hAnsi="Arial Narrow" w:cstheme="minorHAnsi"/>
        </w:rPr>
        <w:t>Radim Přádka</w:t>
      </w:r>
    </w:p>
    <w:p w:rsidR="00F05C21" w:rsidRPr="00086C24" w:rsidRDefault="00F05C21" w:rsidP="00F05C21">
      <w:pPr>
        <w:spacing w:after="0"/>
        <w:rPr>
          <w:rFonts w:ascii="Arial Narrow" w:hAnsi="Arial Narrow" w:cstheme="minorHAnsi"/>
        </w:rPr>
      </w:pPr>
      <w:r w:rsidRPr="00086C24">
        <w:rPr>
          <w:rFonts w:ascii="Arial Narrow" w:hAnsi="Arial Narrow" w:cstheme="minorHAnsi"/>
        </w:rPr>
        <w:t xml:space="preserve">starosta </w:t>
      </w:r>
      <w:r w:rsidRPr="00086C24">
        <w:rPr>
          <w:rFonts w:ascii="Arial Narrow" w:hAnsi="Arial Narrow" w:cstheme="minorHAnsi"/>
        </w:rPr>
        <w:tab/>
      </w:r>
      <w:r w:rsidRPr="00086C24">
        <w:rPr>
          <w:rFonts w:ascii="Arial Narrow" w:hAnsi="Arial Narrow" w:cstheme="minorHAnsi"/>
        </w:rPr>
        <w:tab/>
      </w:r>
      <w:r w:rsidRPr="00086C24">
        <w:rPr>
          <w:rFonts w:ascii="Arial Narrow" w:hAnsi="Arial Narrow" w:cstheme="minorHAnsi"/>
        </w:rPr>
        <w:tab/>
      </w:r>
      <w:r w:rsidRPr="00086C24">
        <w:rPr>
          <w:rFonts w:ascii="Arial Narrow" w:hAnsi="Arial Narrow" w:cstheme="minorHAnsi"/>
        </w:rPr>
        <w:tab/>
      </w:r>
      <w:r w:rsidRPr="00086C24">
        <w:rPr>
          <w:rFonts w:ascii="Arial Narrow" w:hAnsi="Arial Narrow" w:cstheme="minorHAnsi"/>
        </w:rPr>
        <w:tab/>
        <w:t xml:space="preserve"> </w:t>
      </w:r>
      <w:r w:rsidR="000D1B01" w:rsidRPr="00086C24">
        <w:rPr>
          <w:rFonts w:ascii="Arial Narrow" w:hAnsi="Arial Narrow" w:cstheme="minorHAnsi"/>
        </w:rPr>
        <w:tab/>
      </w:r>
      <w:r w:rsidR="000D1B01" w:rsidRPr="00086C24">
        <w:rPr>
          <w:rFonts w:ascii="Arial Narrow" w:hAnsi="Arial Narrow" w:cstheme="minorHAnsi"/>
        </w:rPr>
        <w:tab/>
      </w:r>
      <w:r w:rsidR="000D1B01" w:rsidRPr="00086C24">
        <w:rPr>
          <w:rFonts w:ascii="Arial Narrow" w:hAnsi="Arial Narrow" w:cstheme="minorHAnsi"/>
        </w:rPr>
        <w:tab/>
      </w:r>
      <w:r w:rsidR="000D1B01" w:rsidRPr="00086C24">
        <w:rPr>
          <w:rFonts w:ascii="Arial Narrow" w:hAnsi="Arial Narrow" w:cstheme="minorHAnsi"/>
        </w:rPr>
        <w:tab/>
      </w:r>
      <w:r w:rsidR="00325F67">
        <w:rPr>
          <w:rFonts w:ascii="Arial Narrow" w:hAnsi="Arial Narrow" w:cstheme="minorHAnsi"/>
        </w:rPr>
        <w:t>místostarosta</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27E" w:rsidRDefault="00AF627E" w:rsidP="007015D2">
      <w:pPr>
        <w:spacing w:after="0" w:line="240" w:lineRule="auto"/>
      </w:pPr>
      <w:r>
        <w:separator/>
      </w:r>
    </w:p>
  </w:endnote>
  <w:endnote w:type="continuationSeparator" w:id="0">
    <w:p w:rsidR="00AF627E" w:rsidRDefault="00AF627E"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27E" w:rsidRDefault="00AF627E" w:rsidP="007015D2">
      <w:pPr>
        <w:spacing w:after="0" w:line="240" w:lineRule="auto"/>
      </w:pPr>
      <w:r>
        <w:separator/>
      </w:r>
    </w:p>
  </w:footnote>
  <w:footnote w:type="continuationSeparator" w:id="0">
    <w:p w:rsidR="00AF627E" w:rsidRDefault="00AF627E"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61361"/>
    <w:rsid w:val="000729AD"/>
    <w:rsid w:val="0008431C"/>
    <w:rsid w:val="00086C24"/>
    <w:rsid w:val="000D1B01"/>
    <w:rsid w:val="000D216F"/>
    <w:rsid w:val="001178E7"/>
    <w:rsid w:val="00125E52"/>
    <w:rsid w:val="00141293"/>
    <w:rsid w:val="00143FFF"/>
    <w:rsid w:val="00147871"/>
    <w:rsid w:val="001502CC"/>
    <w:rsid w:val="00151CF9"/>
    <w:rsid w:val="00155C68"/>
    <w:rsid w:val="00193F09"/>
    <w:rsid w:val="001F0404"/>
    <w:rsid w:val="001F3A3E"/>
    <w:rsid w:val="00205BA2"/>
    <w:rsid w:val="002178F3"/>
    <w:rsid w:val="002203B0"/>
    <w:rsid w:val="00251BE6"/>
    <w:rsid w:val="00253807"/>
    <w:rsid w:val="00267599"/>
    <w:rsid w:val="00270F78"/>
    <w:rsid w:val="00272C94"/>
    <w:rsid w:val="0028783A"/>
    <w:rsid w:val="002A023E"/>
    <w:rsid w:val="002D19BB"/>
    <w:rsid w:val="002F02C6"/>
    <w:rsid w:val="002F04B5"/>
    <w:rsid w:val="00303470"/>
    <w:rsid w:val="003160D3"/>
    <w:rsid w:val="00325F67"/>
    <w:rsid w:val="00330F74"/>
    <w:rsid w:val="00332470"/>
    <w:rsid w:val="0039510B"/>
    <w:rsid w:val="003C2B5B"/>
    <w:rsid w:val="0040061E"/>
    <w:rsid w:val="00407FEC"/>
    <w:rsid w:val="00415250"/>
    <w:rsid w:val="00425B50"/>
    <w:rsid w:val="00441996"/>
    <w:rsid w:val="00441A7D"/>
    <w:rsid w:val="00450517"/>
    <w:rsid w:val="004539F1"/>
    <w:rsid w:val="00457165"/>
    <w:rsid w:val="00480446"/>
    <w:rsid w:val="0048491C"/>
    <w:rsid w:val="004962B2"/>
    <w:rsid w:val="004C1F2D"/>
    <w:rsid w:val="004D1E05"/>
    <w:rsid w:val="004F78F2"/>
    <w:rsid w:val="00562443"/>
    <w:rsid w:val="00562862"/>
    <w:rsid w:val="00566489"/>
    <w:rsid w:val="0057522D"/>
    <w:rsid w:val="005C5A3E"/>
    <w:rsid w:val="005C5EA9"/>
    <w:rsid w:val="00600DA2"/>
    <w:rsid w:val="006102F1"/>
    <w:rsid w:val="0067196C"/>
    <w:rsid w:val="00680656"/>
    <w:rsid w:val="00691BA0"/>
    <w:rsid w:val="006A56AE"/>
    <w:rsid w:val="006D4BA4"/>
    <w:rsid w:val="007015D2"/>
    <w:rsid w:val="00703F6B"/>
    <w:rsid w:val="00744963"/>
    <w:rsid w:val="00753A56"/>
    <w:rsid w:val="007701F7"/>
    <w:rsid w:val="00776D39"/>
    <w:rsid w:val="007A21AC"/>
    <w:rsid w:val="007C109B"/>
    <w:rsid w:val="007C14AC"/>
    <w:rsid w:val="007E21A8"/>
    <w:rsid w:val="007F3F8D"/>
    <w:rsid w:val="00810C4D"/>
    <w:rsid w:val="00814C68"/>
    <w:rsid w:val="0082397B"/>
    <w:rsid w:val="008310F2"/>
    <w:rsid w:val="00847BB2"/>
    <w:rsid w:val="00864E8F"/>
    <w:rsid w:val="00873D60"/>
    <w:rsid w:val="008C0E41"/>
    <w:rsid w:val="008C19DD"/>
    <w:rsid w:val="008C2A6F"/>
    <w:rsid w:val="008D264D"/>
    <w:rsid w:val="008D33AE"/>
    <w:rsid w:val="009041B3"/>
    <w:rsid w:val="0094185A"/>
    <w:rsid w:val="00943F8B"/>
    <w:rsid w:val="00956AB9"/>
    <w:rsid w:val="00975A43"/>
    <w:rsid w:val="00987159"/>
    <w:rsid w:val="0099539F"/>
    <w:rsid w:val="009D0921"/>
    <w:rsid w:val="009F48D5"/>
    <w:rsid w:val="009F5E2C"/>
    <w:rsid w:val="00A11B3B"/>
    <w:rsid w:val="00A14887"/>
    <w:rsid w:val="00A416FE"/>
    <w:rsid w:val="00A562FB"/>
    <w:rsid w:val="00A616A0"/>
    <w:rsid w:val="00A6568C"/>
    <w:rsid w:val="00A73B29"/>
    <w:rsid w:val="00A8709D"/>
    <w:rsid w:val="00AB0D66"/>
    <w:rsid w:val="00AD120C"/>
    <w:rsid w:val="00AD512B"/>
    <w:rsid w:val="00AF627E"/>
    <w:rsid w:val="00AF7B6C"/>
    <w:rsid w:val="00B0375B"/>
    <w:rsid w:val="00B078B8"/>
    <w:rsid w:val="00B42B99"/>
    <w:rsid w:val="00B77D40"/>
    <w:rsid w:val="00B87329"/>
    <w:rsid w:val="00B87CBE"/>
    <w:rsid w:val="00BA4244"/>
    <w:rsid w:val="00BB2326"/>
    <w:rsid w:val="00BC44E5"/>
    <w:rsid w:val="00BE6892"/>
    <w:rsid w:val="00BF4D11"/>
    <w:rsid w:val="00C01EA2"/>
    <w:rsid w:val="00C02105"/>
    <w:rsid w:val="00C05270"/>
    <w:rsid w:val="00C177AA"/>
    <w:rsid w:val="00C377FE"/>
    <w:rsid w:val="00C5378B"/>
    <w:rsid w:val="00C706AB"/>
    <w:rsid w:val="00C70F72"/>
    <w:rsid w:val="00C72AD3"/>
    <w:rsid w:val="00C73C5B"/>
    <w:rsid w:val="00C96955"/>
    <w:rsid w:val="00CA529D"/>
    <w:rsid w:val="00CC27C8"/>
    <w:rsid w:val="00D30382"/>
    <w:rsid w:val="00D30CBF"/>
    <w:rsid w:val="00D42CBC"/>
    <w:rsid w:val="00D551DC"/>
    <w:rsid w:val="00D61D23"/>
    <w:rsid w:val="00D934B8"/>
    <w:rsid w:val="00DA0EF3"/>
    <w:rsid w:val="00DC0DC7"/>
    <w:rsid w:val="00DC1767"/>
    <w:rsid w:val="00DC5250"/>
    <w:rsid w:val="00DC7795"/>
    <w:rsid w:val="00DD2D61"/>
    <w:rsid w:val="00DE4CE4"/>
    <w:rsid w:val="00DF110D"/>
    <w:rsid w:val="00E04DF2"/>
    <w:rsid w:val="00E17809"/>
    <w:rsid w:val="00E42874"/>
    <w:rsid w:val="00E57364"/>
    <w:rsid w:val="00E70387"/>
    <w:rsid w:val="00E8312E"/>
    <w:rsid w:val="00E91515"/>
    <w:rsid w:val="00F05C21"/>
    <w:rsid w:val="00F21F27"/>
    <w:rsid w:val="00F25075"/>
    <w:rsid w:val="00F354C0"/>
    <w:rsid w:val="00F62C84"/>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376E0-55E3-43DC-A09D-223A70E3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3139</Words>
  <Characters>18524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2024-01-03T12:00:00Z</cp:lastPrinted>
  <dcterms:created xsi:type="dcterms:W3CDTF">2025-01-08T08:48:00Z</dcterms:created>
  <dcterms:modified xsi:type="dcterms:W3CDTF">2025-01-08T08:48:00Z</dcterms:modified>
</cp:coreProperties>
</file>