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D4" w:rsidRDefault="00464D1C">
      <w:pPr>
        <w:pStyle w:val="Nzev"/>
      </w:pPr>
      <w:bookmarkStart w:id="0" w:name="_GoBack"/>
      <w:bookmarkEnd w:id="0"/>
      <w:r>
        <w:t>Splátkový</w:t>
      </w:r>
      <w:r>
        <w:rPr>
          <w:spacing w:val="-9"/>
        </w:rPr>
        <w:t xml:space="preserve"> </w:t>
      </w:r>
      <w:r>
        <w:t>kalendář</w:t>
      </w:r>
    </w:p>
    <w:p w:rsidR="005579D4" w:rsidRDefault="005579D4">
      <w:pPr>
        <w:pStyle w:val="Zkladntext"/>
        <w:rPr>
          <w:sz w:val="20"/>
        </w:rPr>
      </w:pPr>
    </w:p>
    <w:p w:rsidR="005579D4" w:rsidRDefault="005579D4">
      <w:pPr>
        <w:pStyle w:val="Zkladntext"/>
        <w:rPr>
          <w:sz w:val="20"/>
        </w:rPr>
      </w:pPr>
    </w:p>
    <w:p w:rsidR="005579D4" w:rsidRDefault="005579D4">
      <w:pPr>
        <w:pStyle w:val="Zkladntext"/>
        <w:rPr>
          <w:sz w:val="20"/>
        </w:rPr>
      </w:pPr>
    </w:p>
    <w:p w:rsidR="005579D4" w:rsidRDefault="005579D4">
      <w:pPr>
        <w:pStyle w:val="Zkladntext"/>
        <w:spacing w:before="2"/>
        <w:rPr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63"/>
        <w:gridCol w:w="3357"/>
        <w:gridCol w:w="3608"/>
        <w:gridCol w:w="5012"/>
      </w:tblGrid>
      <w:tr w:rsidR="005579D4">
        <w:trPr>
          <w:trHeight w:val="983"/>
        </w:trPr>
        <w:tc>
          <w:tcPr>
            <w:tcW w:w="3263" w:type="dxa"/>
            <w:tcBorders>
              <w:bottom w:val="single" w:sz="2" w:space="0" w:color="6C777E"/>
            </w:tcBorders>
          </w:tcPr>
          <w:p w:rsidR="005579D4" w:rsidRDefault="00464D1C">
            <w:pPr>
              <w:pStyle w:val="TableParagraph"/>
              <w:spacing w:before="0" w:line="297" w:lineRule="auto"/>
              <w:ind w:left="40" w:right="1694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Příjemce podpory:</w:t>
            </w:r>
            <w:r>
              <w:rPr>
                <w:color w:val="6C777E"/>
                <w:spacing w:val="1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Název projektu:</w:t>
            </w:r>
            <w:r>
              <w:rPr>
                <w:color w:val="6C777E"/>
                <w:spacing w:val="1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Název</w:t>
            </w:r>
            <w:r>
              <w:rPr>
                <w:color w:val="6C777E"/>
                <w:spacing w:val="-8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prioritní</w:t>
            </w:r>
            <w:r>
              <w:rPr>
                <w:color w:val="6C777E"/>
                <w:spacing w:val="-8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osy:</w:t>
            </w:r>
          </w:p>
        </w:tc>
        <w:tc>
          <w:tcPr>
            <w:tcW w:w="3357" w:type="dxa"/>
            <w:tcBorders>
              <w:bottom w:val="single" w:sz="2" w:space="0" w:color="6C777E"/>
            </w:tcBorders>
          </w:tcPr>
          <w:p w:rsidR="005579D4" w:rsidRDefault="00464D1C">
            <w:pPr>
              <w:pStyle w:val="TableParagraph"/>
              <w:spacing w:before="0" w:line="297" w:lineRule="auto"/>
              <w:ind w:left="586" w:right="10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Obec Želiv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Kanalizace Brtná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Kofinancování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NPŽP</w:t>
            </w:r>
          </w:p>
        </w:tc>
        <w:tc>
          <w:tcPr>
            <w:tcW w:w="8620" w:type="dxa"/>
            <w:gridSpan w:val="2"/>
            <w:tcBorders>
              <w:bottom w:val="single" w:sz="2" w:space="0" w:color="6C777E"/>
            </w:tcBorders>
          </w:tcPr>
          <w:p w:rsidR="005579D4" w:rsidRDefault="005579D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5579D4">
        <w:trPr>
          <w:trHeight w:val="486"/>
        </w:trPr>
        <w:tc>
          <w:tcPr>
            <w:tcW w:w="3263" w:type="dxa"/>
            <w:tcBorders>
              <w:top w:val="single" w:sz="2" w:space="0" w:color="6C777E"/>
            </w:tcBorders>
          </w:tcPr>
          <w:p w:rsidR="005579D4" w:rsidRDefault="005579D4">
            <w:pPr>
              <w:pStyle w:val="TableParagraph"/>
              <w:spacing w:before="6" w:line="240" w:lineRule="auto"/>
              <w:jc w:val="left"/>
              <w:rPr>
                <w:sz w:val="16"/>
              </w:rPr>
            </w:pPr>
          </w:p>
          <w:p w:rsidR="005579D4" w:rsidRDefault="00464D1C">
            <w:pPr>
              <w:pStyle w:val="TableParagraph"/>
              <w:spacing w:before="0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4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číslo:</w:t>
            </w:r>
          </w:p>
        </w:tc>
        <w:tc>
          <w:tcPr>
            <w:tcW w:w="3357" w:type="dxa"/>
            <w:tcBorders>
              <w:top w:val="single" w:sz="2" w:space="0" w:color="6C777E"/>
            </w:tcBorders>
          </w:tcPr>
          <w:p w:rsidR="005579D4" w:rsidRDefault="005579D4">
            <w:pPr>
              <w:pStyle w:val="TableParagraph"/>
              <w:spacing w:before="6" w:line="240" w:lineRule="auto"/>
              <w:jc w:val="left"/>
              <w:rPr>
                <w:sz w:val="16"/>
              </w:rPr>
            </w:pPr>
          </w:p>
          <w:p w:rsidR="005579D4" w:rsidRDefault="00464D1C">
            <w:pPr>
              <w:pStyle w:val="TableParagraph"/>
              <w:spacing w:before="0" w:line="240" w:lineRule="auto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24001688</w:t>
            </w:r>
          </w:p>
        </w:tc>
        <w:tc>
          <w:tcPr>
            <w:tcW w:w="3608" w:type="dxa"/>
            <w:tcBorders>
              <w:top w:val="single" w:sz="2" w:space="0" w:color="6C777E"/>
            </w:tcBorders>
          </w:tcPr>
          <w:p w:rsidR="005579D4" w:rsidRDefault="005579D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  <w:tcBorders>
              <w:top w:val="single" w:sz="2" w:space="0" w:color="6C777E"/>
            </w:tcBorders>
          </w:tcPr>
          <w:p w:rsidR="005579D4" w:rsidRDefault="005579D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5579D4">
        <w:trPr>
          <w:trHeight w:val="295"/>
        </w:trPr>
        <w:tc>
          <w:tcPr>
            <w:tcW w:w="3263" w:type="dxa"/>
          </w:tcPr>
          <w:p w:rsidR="005579D4" w:rsidRDefault="00464D1C">
            <w:pPr>
              <w:pStyle w:val="TableParagraph"/>
              <w:spacing w:before="28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</w:t>
            </w:r>
            <w:r>
              <w:rPr>
                <w:color w:val="6C777E"/>
                <w:spacing w:val="-7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projektu:</w:t>
            </w:r>
          </w:p>
        </w:tc>
        <w:tc>
          <w:tcPr>
            <w:tcW w:w="3357" w:type="dxa"/>
          </w:tcPr>
          <w:p w:rsidR="005579D4" w:rsidRDefault="00464D1C">
            <w:pPr>
              <w:pStyle w:val="TableParagraph"/>
              <w:spacing w:before="28" w:line="240" w:lineRule="auto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37937047</w:t>
            </w:r>
          </w:p>
        </w:tc>
        <w:tc>
          <w:tcPr>
            <w:tcW w:w="3608" w:type="dxa"/>
          </w:tcPr>
          <w:p w:rsidR="005579D4" w:rsidRDefault="00464D1C">
            <w:pPr>
              <w:pStyle w:val="TableParagraph"/>
              <w:spacing w:before="28" w:line="240" w:lineRule="auto"/>
              <w:ind w:left="10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</w:t>
            </w:r>
            <w:r>
              <w:rPr>
                <w:color w:val="6C777E"/>
                <w:spacing w:val="-6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projektu:</w:t>
            </w:r>
          </w:p>
        </w:tc>
        <w:tc>
          <w:tcPr>
            <w:tcW w:w="5012" w:type="dxa"/>
          </w:tcPr>
          <w:p w:rsidR="005579D4" w:rsidRDefault="00464D1C">
            <w:pPr>
              <w:pStyle w:val="TableParagraph"/>
              <w:spacing w:before="28" w:line="240" w:lineRule="auto"/>
              <w:ind w:left="1242"/>
              <w:jc w:val="left"/>
              <w:rPr>
                <w:sz w:val="18"/>
              </w:rPr>
            </w:pPr>
            <w:r>
              <w:rPr>
                <w:sz w:val="18"/>
              </w:rPr>
              <w:t>Horáček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Vilém</w:t>
            </w:r>
          </w:p>
        </w:tc>
      </w:tr>
      <w:tr w:rsidR="005579D4">
        <w:trPr>
          <w:trHeight w:val="296"/>
        </w:trPr>
        <w:tc>
          <w:tcPr>
            <w:tcW w:w="3263" w:type="dxa"/>
          </w:tcPr>
          <w:p w:rsidR="005579D4" w:rsidRDefault="00464D1C">
            <w:pPr>
              <w:pStyle w:val="TableParagraph"/>
              <w:spacing w:before="28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</w:t>
            </w:r>
            <w:r>
              <w:rPr>
                <w:color w:val="6C777E"/>
                <w:spacing w:val="-6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číslo</w:t>
            </w:r>
            <w:r>
              <w:rPr>
                <w:color w:val="6C777E"/>
                <w:spacing w:val="-6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z</w:t>
            </w:r>
            <w:r>
              <w:rPr>
                <w:color w:val="6C777E"/>
                <w:spacing w:val="-6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MS</w:t>
            </w:r>
            <w:r>
              <w:rPr>
                <w:color w:val="6C777E"/>
                <w:spacing w:val="-6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2021+/AIS:</w:t>
            </w:r>
          </w:p>
        </w:tc>
        <w:tc>
          <w:tcPr>
            <w:tcW w:w="3357" w:type="dxa"/>
          </w:tcPr>
          <w:p w:rsidR="005579D4" w:rsidRDefault="00464D1C">
            <w:pPr>
              <w:pStyle w:val="TableParagraph"/>
              <w:spacing w:before="28" w:line="240" w:lineRule="auto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1240700063</w:t>
            </w:r>
          </w:p>
        </w:tc>
        <w:tc>
          <w:tcPr>
            <w:tcW w:w="3608" w:type="dxa"/>
          </w:tcPr>
          <w:p w:rsidR="005579D4" w:rsidRDefault="00464D1C">
            <w:pPr>
              <w:pStyle w:val="TableParagraph"/>
              <w:spacing w:before="28" w:line="240" w:lineRule="auto"/>
              <w:ind w:left="10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</w:t>
            </w:r>
            <w:r>
              <w:rPr>
                <w:color w:val="6C777E"/>
                <w:spacing w:val="-8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projektu:</w:t>
            </w:r>
          </w:p>
        </w:tc>
        <w:tc>
          <w:tcPr>
            <w:tcW w:w="5012" w:type="dxa"/>
          </w:tcPr>
          <w:p w:rsidR="005579D4" w:rsidRDefault="00464D1C">
            <w:pPr>
              <w:pStyle w:val="TableParagraph"/>
              <w:spacing w:before="28" w:line="240" w:lineRule="auto"/>
              <w:ind w:left="1242"/>
              <w:jc w:val="left"/>
              <w:rPr>
                <w:sz w:val="18"/>
              </w:rPr>
            </w:pPr>
            <w:r>
              <w:rPr>
                <w:sz w:val="18"/>
              </w:rPr>
              <w:t>Kuncířová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Magda</w:t>
            </w:r>
          </w:p>
        </w:tc>
      </w:tr>
      <w:tr w:rsidR="005579D4">
        <w:trPr>
          <w:trHeight w:val="295"/>
        </w:trPr>
        <w:tc>
          <w:tcPr>
            <w:tcW w:w="3263" w:type="dxa"/>
          </w:tcPr>
          <w:p w:rsidR="005579D4" w:rsidRDefault="00464D1C">
            <w:pPr>
              <w:pStyle w:val="TableParagraph"/>
              <w:spacing w:before="28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357" w:type="dxa"/>
          </w:tcPr>
          <w:p w:rsidR="005579D4" w:rsidRDefault="00464D1C">
            <w:pPr>
              <w:pStyle w:val="TableParagraph"/>
              <w:spacing w:before="28" w:line="240" w:lineRule="auto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03.12.2024</w:t>
            </w:r>
          </w:p>
        </w:tc>
        <w:tc>
          <w:tcPr>
            <w:tcW w:w="3608" w:type="dxa"/>
          </w:tcPr>
          <w:p w:rsidR="005579D4" w:rsidRDefault="005579D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</w:tcPr>
          <w:p w:rsidR="005579D4" w:rsidRDefault="005579D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5579D4">
        <w:trPr>
          <w:trHeight w:val="267"/>
        </w:trPr>
        <w:tc>
          <w:tcPr>
            <w:tcW w:w="3263" w:type="dxa"/>
          </w:tcPr>
          <w:p w:rsidR="005579D4" w:rsidRDefault="00464D1C">
            <w:pPr>
              <w:pStyle w:val="TableParagraph"/>
              <w:spacing w:before="28" w:line="219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</w:t>
            </w:r>
            <w:r>
              <w:rPr>
                <w:color w:val="6C777E"/>
                <w:spacing w:val="-3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j.:</w:t>
            </w:r>
          </w:p>
        </w:tc>
        <w:tc>
          <w:tcPr>
            <w:tcW w:w="3357" w:type="dxa"/>
          </w:tcPr>
          <w:p w:rsidR="005579D4" w:rsidRDefault="00464D1C">
            <w:pPr>
              <w:pStyle w:val="TableParagraph"/>
              <w:spacing w:before="28" w:line="219" w:lineRule="exact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SFZP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276236/2024</w:t>
            </w:r>
          </w:p>
        </w:tc>
        <w:tc>
          <w:tcPr>
            <w:tcW w:w="3608" w:type="dxa"/>
          </w:tcPr>
          <w:p w:rsidR="005579D4" w:rsidRDefault="005579D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</w:tcPr>
          <w:p w:rsidR="005579D4" w:rsidRDefault="005579D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5579D4" w:rsidRDefault="005579D4">
      <w:pPr>
        <w:pStyle w:val="Zkladntext"/>
        <w:spacing w:before="8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5579D4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6" w:line="207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6" w:line="207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6" w:line="207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6" w:line="207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56" w:line="207" w:lineRule="exact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splátka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jistiny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6" w:line="207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úrok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6" w:line="207" w:lineRule="exact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platba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163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163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750,00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375,00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375,00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74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</w:tr>
      <w:tr w:rsidR="005579D4">
        <w:trPr>
          <w:trHeight w:val="325"/>
        </w:trPr>
        <w:tc>
          <w:tcPr>
            <w:tcW w:w="914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</w:tr>
      <w:tr w:rsidR="005579D4">
        <w:trPr>
          <w:trHeight w:val="325"/>
        </w:trPr>
        <w:tc>
          <w:tcPr>
            <w:tcW w:w="914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</w:tr>
      <w:tr w:rsidR="005579D4">
        <w:trPr>
          <w:trHeight w:val="325"/>
        </w:trPr>
        <w:tc>
          <w:tcPr>
            <w:tcW w:w="914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spacing w:before="76" w:line="229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76" w:line="229" w:lineRule="exact"/>
              <w:ind w:right="4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spacing w:before="76" w:line="22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</w:tr>
    </w:tbl>
    <w:p w:rsidR="005579D4" w:rsidRDefault="005579D4">
      <w:pPr>
        <w:spacing w:line="229" w:lineRule="exact"/>
        <w:rPr>
          <w:sz w:val="18"/>
        </w:rPr>
        <w:sectPr w:rsidR="005579D4">
          <w:footerReference w:type="default" r:id="rId6"/>
          <w:type w:val="continuous"/>
          <w:pgSz w:w="16840" w:h="11900" w:orient="landscape"/>
          <w:pgMar w:top="760" w:right="680" w:bottom="1404" w:left="680" w:header="0" w:footer="855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5579D4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1" w:line="212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1" w:line="212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1" w:line="212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1" w:line="212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51" w:line="212" w:lineRule="exact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splátka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jistiny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1" w:line="212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úrok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before="51" w:line="212" w:lineRule="exact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platba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750,00</w:t>
            </w:r>
          </w:p>
        </w:tc>
      </w:tr>
      <w:tr w:rsidR="005579D4">
        <w:trPr>
          <w:trHeight w:val="325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375,00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375,00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750,00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375,00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375,00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750,00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375,00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375,00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900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750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875,00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600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</w:tr>
      <w:tr w:rsidR="005579D4">
        <w:trPr>
          <w:trHeight w:val="326"/>
        </w:trPr>
        <w:tc>
          <w:tcPr>
            <w:tcW w:w="914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</w:tcPr>
          <w:p w:rsidR="005579D4" w:rsidRDefault="00464D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579D4" w:rsidRDefault="00464D1C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  <w:tc>
          <w:tcPr>
            <w:tcW w:w="3047" w:type="dxa"/>
          </w:tcPr>
          <w:p w:rsidR="005579D4" w:rsidRDefault="00464D1C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151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125,00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750,00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579D4" w:rsidRDefault="00464D1C"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750,00</w:t>
            </w:r>
          </w:p>
        </w:tc>
      </w:tr>
      <w:tr w:rsidR="005579D4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375,00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579D4" w:rsidRDefault="00464D1C"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375,00</w:t>
            </w:r>
          </w:p>
        </w:tc>
      </w:tr>
    </w:tbl>
    <w:p w:rsidR="00464D1C" w:rsidRDefault="00464D1C"/>
    <w:sectPr w:rsidR="00464D1C">
      <w:type w:val="continuous"/>
      <w:pgSz w:w="16840" w:h="11900" w:orient="landscape"/>
      <w:pgMar w:top="600" w:right="680" w:bottom="1040" w:left="680" w:header="0" w:footer="8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1C" w:rsidRDefault="00464D1C">
      <w:r>
        <w:separator/>
      </w:r>
    </w:p>
  </w:endnote>
  <w:endnote w:type="continuationSeparator" w:id="0">
    <w:p w:rsidR="00464D1C" w:rsidRDefault="0046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D4" w:rsidRDefault="00FE040D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2768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6873875</wp:posOffset>
              </wp:positionV>
              <wp:extent cx="5204460" cy="3575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9D4" w:rsidRDefault="00464D1C">
                          <w:pPr>
                            <w:pStyle w:val="Zkladntext"/>
                            <w:spacing w:before="35" w:line="216" w:lineRule="auto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Ministerstvo</w:t>
                          </w:r>
                          <w:r>
                            <w:rPr>
                              <w:color w:val="6C777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životního</w:t>
                          </w:r>
                          <w:r>
                            <w:rPr>
                              <w:color w:val="6C777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prostředí,</w:t>
                          </w:r>
                          <w:r>
                            <w:rPr>
                              <w:color w:val="6C777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Evropská</w:t>
                          </w:r>
                          <w:r>
                            <w:rPr>
                              <w:color w:val="6C777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unie,</w:t>
                          </w:r>
                          <w:r>
                            <w:rPr>
                              <w:color w:val="6C777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Evropský</w:t>
                          </w:r>
                          <w:r>
                            <w:rPr>
                              <w:color w:val="6C777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fond</w:t>
                          </w:r>
                          <w:r>
                            <w:rPr>
                              <w:color w:val="6C777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pro</w:t>
                          </w:r>
                          <w:r>
                            <w:rPr>
                              <w:color w:val="6C777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regionální</w:t>
                          </w:r>
                          <w:r>
                            <w:rPr>
                              <w:color w:val="6C777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rozvoj,</w:t>
                          </w:r>
                          <w:r>
                            <w:rPr>
                              <w:color w:val="6C777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Fond</w:t>
                          </w:r>
                          <w:r>
                            <w:rPr>
                              <w:color w:val="6C777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soudržnosti,</w:t>
                          </w:r>
                          <w:r>
                            <w:rPr>
                              <w:color w:val="6C777E"/>
                              <w:spacing w:val="-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  <w:r>
                              <w:rPr>
                                <w:color w:val="6C777E"/>
                                <w:spacing w:val="-7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Zelená</w:t>
                          </w:r>
                          <w:r>
                            <w:rPr>
                              <w:color w:val="6C77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linka</w:t>
                          </w:r>
                          <w:r>
                            <w:rPr>
                              <w:color w:val="6C77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800</w:t>
                          </w:r>
                          <w:r>
                            <w:rPr>
                              <w:color w:val="6C77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260</w:t>
                          </w:r>
                          <w:r>
                            <w:rPr>
                              <w:color w:val="6C77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500,</w:t>
                          </w:r>
                          <w:r>
                            <w:rPr>
                              <w:color w:val="6C777E"/>
                              <w:spacing w:val="-1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9pt;margin-top:541.25pt;width:409.8pt;height:28.15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eNqwIAAKg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" filled="f" stroked="f">
              <v:textbox inset="0,0,0,0">
                <w:txbxContent>
                  <w:p w:rsidR="005579D4" w:rsidRDefault="00464D1C">
                    <w:pPr>
                      <w:pStyle w:val="Zkladntext"/>
                      <w:spacing w:before="35" w:line="216" w:lineRule="auto"/>
                      <w:ind w:left="20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Ministerstvo</w:t>
                    </w:r>
                    <w:r>
                      <w:rPr>
                        <w:color w:val="6C777E"/>
                        <w:spacing w:val="-8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životního</w:t>
                    </w:r>
                    <w:r>
                      <w:rPr>
                        <w:color w:val="6C777E"/>
                        <w:spacing w:val="-8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prostředí,</w:t>
                    </w:r>
                    <w:r>
                      <w:rPr>
                        <w:color w:val="6C777E"/>
                        <w:spacing w:val="-7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Evropská</w:t>
                    </w:r>
                    <w:r>
                      <w:rPr>
                        <w:color w:val="6C777E"/>
                        <w:spacing w:val="-8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unie,</w:t>
                    </w:r>
                    <w:r>
                      <w:rPr>
                        <w:color w:val="6C777E"/>
                        <w:spacing w:val="-8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Evropský</w:t>
                    </w:r>
                    <w:r>
                      <w:rPr>
                        <w:color w:val="6C777E"/>
                        <w:spacing w:val="-8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fond</w:t>
                    </w:r>
                    <w:r>
                      <w:rPr>
                        <w:color w:val="6C777E"/>
                        <w:spacing w:val="-7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pro</w:t>
                    </w:r>
                    <w:r>
                      <w:rPr>
                        <w:color w:val="6C777E"/>
                        <w:spacing w:val="-8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regionální</w:t>
                    </w:r>
                    <w:r>
                      <w:rPr>
                        <w:color w:val="6C777E"/>
                        <w:spacing w:val="-8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rozvoj,</w:t>
                    </w:r>
                    <w:r>
                      <w:rPr>
                        <w:color w:val="6C777E"/>
                        <w:spacing w:val="-7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Fond</w:t>
                    </w:r>
                    <w:r>
                      <w:rPr>
                        <w:color w:val="6C777E"/>
                        <w:spacing w:val="-8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soudržnosti,</w:t>
                    </w:r>
                    <w:r>
                      <w:rPr>
                        <w:color w:val="6C777E"/>
                        <w:spacing w:val="-8"/>
                      </w:rPr>
                      <w:t xml:space="preserve">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  <w:r>
                        <w:rPr>
                          <w:color w:val="6C777E"/>
                          <w:spacing w:val="-7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Zelená</w:t>
                    </w:r>
                    <w:r>
                      <w:rPr>
                        <w:color w:val="6C777E"/>
                        <w:spacing w:val="-2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linka</w:t>
                    </w:r>
                    <w:r>
                      <w:rPr>
                        <w:color w:val="6C777E"/>
                        <w:spacing w:val="-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800</w:t>
                    </w:r>
                    <w:r>
                      <w:rPr>
                        <w:color w:val="6C777E"/>
                        <w:spacing w:val="-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260</w:t>
                    </w:r>
                    <w:r>
                      <w:rPr>
                        <w:color w:val="6C777E"/>
                        <w:spacing w:val="-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500,</w:t>
                    </w:r>
                    <w:r>
                      <w:rPr>
                        <w:color w:val="6C777E"/>
                        <w:spacing w:val="-1"/>
                      </w:rPr>
                      <w:t xml:space="preserve">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3280" behindDoc="1" locked="0" layoutInCell="1" allowOverlap="1">
              <wp:simplePos x="0" y="0"/>
              <wp:positionH relativeFrom="page">
                <wp:posOffset>9357360</wp:posOffset>
              </wp:positionH>
              <wp:positionV relativeFrom="page">
                <wp:posOffset>6968490</wp:posOffset>
              </wp:positionV>
              <wp:extent cx="447675" cy="3949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9D4" w:rsidRDefault="00464D1C">
                          <w:pPr>
                            <w:spacing w:before="20"/>
                            <w:ind w:right="66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40D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  <w:p w:rsidR="005579D4" w:rsidRDefault="00464D1C">
                          <w:pPr>
                            <w:pStyle w:val="Zkladntext"/>
                            <w:spacing w:before="155"/>
                            <w:jc w:val="center"/>
                          </w:pPr>
                          <w:r>
                            <w:rPr>
                              <w:color w:val="6C777E"/>
                            </w:rPr>
                            <w:t>03.12.2024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736.8pt;margin-top:548.7pt;width:35.25pt;height:31.1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xTrwIAAK4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" filled="f" stroked="f">
              <v:textbox inset="0,0,0,0">
                <w:txbxContent>
                  <w:p w:rsidR="005579D4" w:rsidRDefault="00464D1C">
                    <w:pPr>
                      <w:spacing w:before="20"/>
                      <w:ind w:right="66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040D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  <w:p w:rsidR="005579D4" w:rsidRDefault="00464D1C">
                    <w:pPr>
                      <w:pStyle w:val="Zkladntext"/>
                      <w:spacing w:before="155"/>
                      <w:jc w:val="center"/>
                    </w:pPr>
                    <w:r>
                      <w:rPr>
                        <w:color w:val="6C777E"/>
                      </w:rPr>
                      <w:t>03.12.2024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1C" w:rsidRDefault="00464D1C">
      <w:r>
        <w:separator/>
      </w:r>
    </w:p>
  </w:footnote>
  <w:footnote w:type="continuationSeparator" w:id="0">
    <w:p w:rsidR="00464D1C" w:rsidRDefault="0046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D4"/>
    <w:rsid w:val="00464D1C"/>
    <w:rsid w:val="005579D4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2C62E-9BFA-4D98-9042-9DD6308E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78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1" w:line="234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2025-01-07T13:59:00Z</dcterms:created>
  <dcterms:modified xsi:type="dcterms:W3CDTF">2025-01-07T13:59:00Z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2025-01-07T00:00:00Z</vt:filetime>
  </property>
</Properties>
</file>