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949" w14:textId="0CC108FE" w:rsidR="00937116" w:rsidRDefault="00937116" w:rsidP="00D91685">
      <w:pPr>
        <w:tabs>
          <w:tab w:val="left" w:pos="2826"/>
        </w:tabs>
        <w:spacing w:after="120" w:line="240" w:lineRule="auto"/>
        <w:jc w:val="right"/>
        <w:outlineLvl w:val="0"/>
        <w:rPr>
          <w:rFonts w:ascii="Garamond" w:hAnsi="Garamond"/>
          <w:b/>
          <w:iCs/>
        </w:rPr>
      </w:pPr>
      <w:r>
        <w:rPr>
          <w:rFonts w:ascii="Garamond" w:hAnsi="Garamond"/>
          <w:b/>
          <w:iCs/>
          <w:sz w:val="24"/>
          <w:szCs w:val="24"/>
        </w:rPr>
        <w:t xml:space="preserve">Příloha č. </w:t>
      </w:r>
      <w:r w:rsidR="00D50498">
        <w:rPr>
          <w:rFonts w:ascii="Garamond" w:hAnsi="Garamond"/>
          <w:b/>
          <w:iCs/>
          <w:sz w:val="24"/>
          <w:szCs w:val="24"/>
        </w:rPr>
        <w:t>2</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7A23EC19"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5030AD1D" w14:textId="17146FD5" w:rsidR="00937116" w:rsidRPr="00E752FF" w:rsidRDefault="00DC4D97" w:rsidP="00DC4D97">
            <w:pPr>
              <w:spacing w:before="120" w:after="120" w:line="240" w:lineRule="auto"/>
              <w:jc w:val="center"/>
              <w:rPr>
                <w:rFonts w:ascii="Garamond" w:hAnsi="Garamond"/>
                <w:b/>
                <w:bCs/>
                <w:caps/>
                <w:sz w:val="24"/>
                <w:szCs w:val="24"/>
              </w:rPr>
            </w:pPr>
            <w:r w:rsidRPr="00E752FF">
              <w:rPr>
                <w:rFonts w:ascii="Garamond" w:hAnsi="Garamond"/>
                <w:b/>
                <w:bCs/>
                <w:sz w:val="24"/>
                <w:szCs w:val="24"/>
              </w:rPr>
              <w:t>Podmínky, z</w:t>
            </w:r>
            <w:r w:rsidR="00937116" w:rsidRPr="00E752FF">
              <w:rPr>
                <w:rFonts w:ascii="Garamond" w:hAnsi="Garamond"/>
                <w:b/>
                <w:bCs/>
                <w:sz w:val="24"/>
                <w:szCs w:val="24"/>
              </w:rPr>
              <w:t xml:space="preserve">a kterých budou prováděny stavební práce </w:t>
            </w:r>
          </w:p>
          <w:p w14:paraId="766E2239" w14:textId="68640CC7" w:rsidR="00937116" w:rsidRDefault="00937116" w:rsidP="00DC4D97">
            <w:pPr>
              <w:spacing w:before="120" w:after="120" w:line="240" w:lineRule="auto"/>
              <w:jc w:val="center"/>
              <w:rPr>
                <w:rFonts w:ascii="Garamond" w:hAnsi="Garamond"/>
                <w:b/>
                <w:bCs/>
                <w:sz w:val="28"/>
                <w:szCs w:val="28"/>
              </w:rPr>
            </w:pPr>
            <w:r w:rsidRPr="00E752FF">
              <w:rPr>
                <w:rFonts w:ascii="Garamond" w:hAnsi="Garamond"/>
                <w:b/>
                <w:bCs/>
                <w:sz w:val="24"/>
                <w:szCs w:val="24"/>
              </w:rPr>
              <w:t xml:space="preserve">v objektu </w:t>
            </w:r>
            <w:r w:rsidR="0077695A" w:rsidRPr="00E752FF">
              <w:rPr>
                <w:rFonts w:ascii="Garamond" w:hAnsi="Garamond"/>
                <w:b/>
                <w:bCs/>
                <w:sz w:val="24"/>
                <w:szCs w:val="24"/>
              </w:rPr>
              <w:t xml:space="preserve">Okresního soudu v </w:t>
            </w:r>
            <w:r w:rsidR="00AA636C">
              <w:rPr>
                <w:rFonts w:ascii="Garamond" w:hAnsi="Garamond"/>
                <w:b/>
                <w:bCs/>
                <w:sz w:val="24"/>
                <w:szCs w:val="24"/>
              </w:rPr>
              <w:t>Chomutově</w:t>
            </w:r>
          </w:p>
        </w:tc>
      </w:tr>
    </w:tbl>
    <w:p w14:paraId="4F2583FA" w14:textId="030BA2B8" w:rsidR="00937116" w:rsidRPr="00E752FF" w:rsidRDefault="00937116" w:rsidP="00937116">
      <w:pPr>
        <w:pStyle w:val="Default"/>
        <w:autoSpaceDE/>
        <w:adjustRightInd/>
        <w:spacing w:before="240" w:line="240" w:lineRule="auto"/>
        <w:outlineLvl w:val="0"/>
        <w:rPr>
          <w:rFonts w:ascii="Garamond" w:hAnsi="Garamond" w:cs="Times New Roman"/>
          <w:b/>
          <w:iCs/>
        </w:rPr>
      </w:pPr>
      <w:r w:rsidRPr="00E752FF">
        <w:rPr>
          <w:rFonts w:ascii="Garamond" w:hAnsi="Garamond" w:cs="Times New Roman"/>
          <w:b/>
          <w:iCs/>
        </w:rPr>
        <w:t xml:space="preserve">Stavební a montážní práce v objektu </w:t>
      </w:r>
      <w:r w:rsidR="0077695A" w:rsidRPr="00E752FF">
        <w:rPr>
          <w:rFonts w:ascii="Garamond" w:hAnsi="Garamond" w:cs="Times New Roman"/>
          <w:b/>
          <w:iCs/>
        </w:rPr>
        <w:t xml:space="preserve">Okresního </w:t>
      </w:r>
      <w:r w:rsidRPr="00E752FF">
        <w:rPr>
          <w:rFonts w:ascii="Garamond" w:hAnsi="Garamond" w:cs="Times New Roman"/>
          <w:b/>
          <w:iCs/>
        </w:rPr>
        <w:t>soudu v </w:t>
      </w:r>
      <w:r w:rsidR="00AA636C">
        <w:rPr>
          <w:rFonts w:ascii="Garamond" w:hAnsi="Garamond" w:cs="Times New Roman"/>
          <w:b/>
          <w:iCs/>
        </w:rPr>
        <w:t>Chomutově</w:t>
      </w:r>
      <w:r w:rsidRPr="00E752FF">
        <w:rPr>
          <w:rFonts w:ascii="Garamond" w:hAnsi="Garamond" w:cs="Times New Roman"/>
          <w:b/>
          <w:iCs/>
        </w:rPr>
        <w:t>, lze provádět pouze za níže uvedených podmínek a časových intervalů:</w:t>
      </w:r>
    </w:p>
    <w:p w14:paraId="6D44E243"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ČASOVÝ HARMONOGRAM</w:t>
      </w:r>
    </w:p>
    <w:p w14:paraId="27A33674" w14:textId="7D72BC30" w:rsidR="00A77A3F" w:rsidRPr="00A77A3F" w:rsidRDefault="00937116" w:rsidP="00AA636C">
      <w:pPr>
        <w:pStyle w:val="Default"/>
        <w:numPr>
          <w:ilvl w:val="0"/>
          <w:numId w:val="10"/>
        </w:numPr>
        <w:autoSpaceDE/>
        <w:adjustRightInd/>
        <w:spacing w:before="240" w:after="12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Look w:val="04A0" w:firstRow="1" w:lastRow="0" w:firstColumn="1" w:lastColumn="0" w:noHBand="0" w:noVBand="1"/>
      </w:tblPr>
      <w:tblGrid>
        <w:gridCol w:w="5336"/>
        <w:gridCol w:w="3582"/>
      </w:tblGrid>
      <w:tr w:rsidR="00937116" w14:paraId="2FBAAFE3" w14:textId="77777777" w:rsidTr="00AF7F30">
        <w:tc>
          <w:tcPr>
            <w:tcW w:w="5336" w:type="dxa"/>
            <w:hideMark/>
          </w:tcPr>
          <w:p w14:paraId="203F6D97"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582" w:type="dxa"/>
            <w:hideMark/>
          </w:tcPr>
          <w:p w14:paraId="3C5BFB0B" w14:textId="35B9EF09" w:rsidR="00937116" w:rsidRPr="00616E38" w:rsidRDefault="00310A44" w:rsidP="00074F15">
            <w:pPr>
              <w:pStyle w:val="Default"/>
              <w:autoSpaceDE/>
              <w:adjustRightInd/>
              <w:spacing w:before="120"/>
              <w:ind w:left="540" w:hanging="540"/>
              <w:outlineLvl w:val="0"/>
              <w:rPr>
                <w:rFonts w:ascii="Garamond" w:hAnsi="Garamond" w:cs="Times New Roman"/>
                <w:iCs/>
                <w:highlight w:val="yellow"/>
              </w:rPr>
            </w:pPr>
            <w:r w:rsidRPr="00021A64">
              <w:rPr>
                <w:rFonts w:ascii="Garamond" w:hAnsi="Garamond" w:cs="Times New Roman"/>
                <w:iCs/>
              </w:rPr>
              <w:t xml:space="preserve">od </w:t>
            </w:r>
            <w:r w:rsidRPr="00021A64">
              <w:rPr>
                <w:rFonts w:ascii="Garamond" w:hAnsi="Garamond"/>
                <w:bCs/>
              </w:rPr>
              <w:t>15:00</w:t>
            </w:r>
            <w:r w:rsidRPr="00021A64">
              <w:rPr>
                <w:rFonts w:ascii="Garamond" w:hAnsi="Garamond" w:cs="Times New Roman"/>
                <w:iCs/>
              </w:rPr>
              <w:t xml:space="preserve"> do </w:t>
            </w:r>
            <w:r>
              <w:rPr>
                <w:rFonts w:ascii="Garamond" w:hAnsi="Garamond"/>
                <w:bCs/>
              </w:rPr>
              <w:t>18</w:t>
            </w:r>
            <w:r w:rsidRPr="00021A64">
              <w:rPr>
                <w:rFonts w:ascii="Garamond" w:hAnsi="Garamond"/>
                <w:bCs/>
              </w:rPr>
              <w:t>:00</w:t>
            </w:r>
            <w:r w:rsidRPr="00021A64">
              <w:rPr>
                <w:rFonts w:ascii="Garamond" w:hAnsi="Garamond" w:cs="Times New Roman"/>
                <w:iCs/>
              </w:rPr>
              <w:t xml:space="preserve"> hod.</w:t>
            </w:r>
          </w:p>
        </w:tc>
      </w:tr>
      <w:tr w:rsidR="00D91685" w14:paraId="51373950" w14:textId="77777777" w:rsidTr="00AF7F30">
        <w:tc>
          <w:tcPr>
            <w:tcW w:w="5336" w:type="dxa"/>
          </w:tcPr>
          <w:p w14:paraId="002C714E" w14:textId="1B84CB73" w:rsidR="00D91685" w:rsidRDefault="00D91685" w:rsidP="00D91685">
            <w:pPr>
              <w:pStyle w:val="Default"/>
              <w:autoSpaceDE/>
              <w:adjustRightInd/>
              <w:spacing w:before="60"/>
              <w:ind w:left="34" w:hanging="34"/>
              <w:outlineLvl w:val="0"/>
              <w:rPr>
                <w:rFonts w:ascii="Garamond" w:hAnsi="Garamond" w:cs="Times New Roman"/>
                <w:iCs/>
              </w:rPr>
            </w:pPr>
            <w:r>
              <w:rPr>
                <w:rFonts w:ascii="Garamond" w:hAnsi="Garamond" w:cs="Times New Roman"/>
                <w:iCs/>
              </w:rPr>
              <w:t>ve dnech pracovního volna a ve dnech pracovního klidu</w:t>
            </w:r>
          </w:p>
        </w:tc>
        <w:tc>
          <w:tcPr>
            <w:tcW w:w="3582" w:type="dxa"/>
          </w:tcPr>
          <w:p w14:paraId="4403649A" w14:textId="0F523A5C" w:rsidR="00D91685" w:rsidRPr="00AF7F30" w:rsidRDefault="00310A44" w:rsidP="00D91685">
            <w:pPr>
              <w:pStyle w:val="Default"/>
              <w:autoSpaceDE/>
              <w:adjustRightInd/>
              <w:spacing w:before="120"/>
              <w:ind w:left="540" w:hanging="540"/>
              <w:outlineLvl w:val="0"/>
              <w:rPr>
                <w:rFonts w:ascii="Garamond" w:hAnsi="Garamond" w:cs="Times New Roman"/>
                <w:iCs/>
              </w:rPr>
            </w:pPr>
            <w:r>
              <w:rPr>
                <w:rFonts w:ascii="Garamond" w:hAnsi="Garamond" w:cs="Times New Roman"/>
                <w:iCs/>
              </w:rPr>
              <w:t>dle dohody</w:t>
            </w:r>
          </w:p>
        </w:tc>
      </w:tr>
    </w:tbl>
    <w:p w14:paraId="46A0A1E3" w14:textId="77777777" w:rsidR="00937116" w:rsidRDefault="00937116" w:rsidP="00DC4D97">
      <w:pPr>
        <w:pStyle w:val="Default"/>
        <w:numPr>
          <w:ilvl w:val="0"/>
          <w:numId w:val="10"/>
        </w:numPr>
        <w:autoSpaceDE/>
        <w:adjustRightInd/>
        <w:spacing w:before="240" w:after="240" w:line="240" w:lineRule="auto"/>
        <w:ind w:left="283" w:hanging="357"/>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Look w:val="04A0" w:firstRow="1" w:lastRow="0" w:firstColumn="1" w:lastColumn="0" w:noHBand="0" w:noVBand="1"/>
      </w:tblPr>
      <w:tblGrid>
        <w:gridCol w:w="5330"/>
        <w:gridCol w:w="3588"/>
      </w:tblGrid>
      <w:tr w:rsidR="00937116" w14:paraId="00BE2A63" w14:textId="77777777" w:rsidTr="00AF7F30">
        <w:tc>
          <w:tcPr>
            <w:tcW w:w="5330" w:type="dxa"/>
            <w:hideMark/>
          </w:tcPr>
          <w:p w14:paraId="1B6F5D2E"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588" w:type="dxa"/>
            <w:hideMark/>
          </w:tcPr>
          <w:p w14:paraId="1A566DC7" w14:textId="51E1ADA3" w:rsidR="00937116" w:rsidRPr="00616E38" w:rsidRDefault="00310A44" w:rsidP="00162284">
            <w:pPr>
              <w:pStyle w:val="Default"/>
              <w:autoSpaceDE/>
              <w:adjustRightInd/>
              <w:spacing w:before="120"/>
              <w:ind w:left="540" w:hanging="540"/>
              <w:outlineLvl w:val="0"/>
              <w:rPr>
                <w:rFonts w:ascii="Garamond" w:hAnsi="Garamond" w:cs="Times New Roman"/>
                <w:iCs/>
                <w:highlight w:val="yellow"/>
              </w:rPr>
            </w:pPr>
            <w:r>
              <w:rPr>
                <w:rFonts w:ascii="Garamond" w:hAnsi="Garamond" w:cs="Times New Roman"/>
                <w:iCs/>
              </w:rPr>
              <w:t>od 6:00 do 18:00 hod.</w:t>
            </w:r>
          </w:p>
        </w:tc>
      </w:tr>
      <w:tr w:rsidR="00D91685" w14:paraId="0C48A3AA" w14:textId="77777777" w:rsidTr="00AF7F30">
        <w:tc>
          <w:tcPr>
            <w:tcW w:w="5330" w:type="dxa"/>
          </w:tcPr>
          <w:p w14:paraId="411E9B52" w14:textId="2036381B" w:rsidR="00D91685" w:rsidRDefault="00D91685" w:rsidP="00D91685">
            <w:pPr>
              <w:pStyle w:val="Default"/>
              <w:autoSpaceDE/>
              <w:adjustRightInd/>
              <w:spacing w:before="60"/>
              <w:ind w:left="34" w:hanging="34"/>
              <w:outlineLvl w:val="0"/>
              <w:rPr>
                <w:rFonts w:ascii="Garamond" w:hAnsi="Garamond" w:cs="Times New Roman"/>
                <w:iCs/>
              </w:rPr>
            </w:pPr>
            <w:r>
              <w:rPr>
                <w:rFonts w:ascii="Garamond" w:hAnsi="Garamond" w:cs="Times New Roman"/>
                <w:iCs/>
              </w:rPr>
              <w:t>ve dnech pracovního volna a ve dnech pracovního klidu</w:t>
            </w:r>
          </w:p>
        </w:tc>
        <w:tc>
          <w:tcPr>
            <w:tcW w:w="3588" w:type="dxa"/>
          </w:tcPr>
          <w:p w14:paraId="4E396E48" w14:textId="08F24CA1" w:rsidR="00D91685" w:rsidRPr="00AF7F30" w:rsidRDefault="00310A44" w:rsidP="00D91685">
            <w:pPr>
              <w:pStyle w:val="Default"/>
              <w:autoSpaceDE/>
              <w:adjustRightInd/>
              <w:spacing w:before="120"/>
              <w:ind w:left="540" w:hanging="540"/>
              <w:outlineLvl w:val="0"/>
              <w:rPr>
                <w:rFonts w:ascii="Garamond" w:hAnsi="Garamond" w:cs="Times New Roman"/>
                <w:iCs/>
              </w:rPr>
            </w:pPr>
            <w:r>
              <w:rPr>
                <w:rFonts w:ascii="Garamond" w:hAnsi="Garamond" w:cs="Times New Roman"/>
                <w:iCs/>
              </w:rPr>
              <w:t>dle dohody</w:t>
            </w:r>
          </w:p>
        </w:tc>
      </w:tr>
    </w:tbl>
    <w:p w14:paraId="6D328DC0" w14:textId="27039233" w:rsidR="00B10051" w:rsidRPr="00E752FF" w:rsidRDefault="00937116" w:rsidP="00BB4463">
      <w:pPr>
        <w:pStyle w:val="Default"/>
        <w:autoSpaceDE/>
        <w:adjustRightInd/>
        <w:spacing w:before="120" w:line="240" w:lineRule="auto"/>
        <w:outlineLvl w:val="0"/>
        <w:rPr>
          <w:rFonts w:ascii="Garamond" w:hAnsi="Garamond" w:cs="Times New Roman"/>
          <w:b/>
          <w:iCs/>
        </w:rPr>
      </w:pPr>
      <w:r w:rsidRPr="00E752FF">
        <w:rPr>
          <w:rFonts w:ascii="Garamond" w:hAnsi="Garamond" w:cs="Times New Roman"/>
          <w:b/>
          <w:iCs/>
        </w:rPr>
        <w:t xml:space="preserve">Případné změny </w:t>
      </w:r>
      <w:r w:rsidR="001310D1" w:rsidRPr="00E752FF">
        <w:rPr>
          <w:rFonts w:ascii="Garamond" w:hAnsi="Garamond" w:cs="Times New Roman"/>
          <w:b/>
          <w:iCs/>
        </w:rPr>
        <w:t xml:space="preserve">časů </w:t>
      </w:r>
      <w:r w:rsidRPr="00E752FF">
        <w:rPr>
          <w:rFonts w:ascii="Garamond" w:hAnsi="Garamond" w:cs="Times New Roman"/>
          <w:b/>
          <w:iCs/>
        </w:rPr>
        <w:t>prováděných prací lze provádět jen s předchozím souhlasem oprávněné osoby zadavatele.</w:t>
      </w:r>
    </w:p>
    <w:p w14:paraId="0EAC308B"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PODMÍNKY REALIZACE</w:t>
      </w:r>
    </w:p>
    <w:p w14:paraId="2D7E48D2" w14:textId="4345C7DE" w:rsidR="003D73F3" w:rsidRPr="00310A44" w:rsidRDefault="003D73F3"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sidRPr="00310A44">
        <w:rPr>
          <w:rFonts w:ascii="Garamond" w:hAnsi="Garamond"/>
          <w:sz w:val="24"/>
          <w:szCs w:val="24"/>
        </w:rPr>
        <w:t xml:space="preserve">Zhotovitel bude stavební práce provádět v přímé blízkosti jednacích síní. V případě, že bude jednaní v těchto jednacích síních prodlouženo přes stanovený čas realizace stavebních prací začínajících od 15:00 hod., bude zahájení stavebních prací posunuto a umožněno až po skončení jednání. O tomto bude zhotovitel vyrozuměn, přičemž doje k zápisu </w:t>
      </w:r>
      <w:r w:rsidR="008D22B8" w:rsidRPr="00310A44">
        <w:rPr>
          <w:rFonts w:ascii="Garamond" w:hAnsi="Garamond"/>
          <w:sz w:val="24"/>
          <w:szCs w:val="24"/>
        </w:rPr>
        <w:t xml:space="preserve">do stavebního deníku. </w:t>
      </w:r>
    </w:p>
    <w:p w14:paraId="6711727A" w14:textId="1FB47EA3" w:rsidR="008D22B8" w:rsidRDefault="008D22B8"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Zhotovitel je povinen při prováděních stavebních prací dodržovat ustanovení zákona č. 251/2016 Sb., o některých přestupcích. </w:t>
      </w:r>
    </w:p>
    <w:p w14:paraId="7ECF0D19" w14:textId="08D34EAF"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83678A8" w14:textId="77777777"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6E796C89" w14:textId="77777777" w:rsid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r w:rsidR="00A77A3F">
        <w:rPr>
          <w:rFonts w:ascii="Garamond" w:hAnsi="Garamond"/>
          <w:sz w:val="24"/>
          <w:szCs w:val="24"/>
        </w:rPr>
        <w:t>prací bude</w:t>
      </w:r>
      <w:r>
        <w:rPr>
          <w:rFonts w:ascii="Garamond" w:hAnsi="Garamond"/>
          <w:sz w:val="24"/>
          <w:szCs w:val="24"/>
        </w:rPr>
        <w:t xml:space="preserve"> uveden zápis do stavebního deníku).</w:t>
      </w:r>
    </w:p>
    <w:p w14:paraId="45F61624" w14:textId="2740729B" w:rsidR="00BE62BD" w:rsidRP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sidRPr="008D22B8">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BE62BD" w:rsidRPr="008D22B8" w:rsidSect="008D22B8">
      <w:headerReference w:type="default" r:id="rId8"/>
      <w:head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88B8" w14:textId="77777777" w:rsidR="00D26E83" w:rsidRDefault="00D26E83" w:rsidP="00521226">
      <w:pPr>
        <w:spacing w:after="0" w:line="240" w:lineRule="auto"/>
      </w:pPr>
      <w:r>
        <w:separator/>
      </w:r>
    </w:p>
  </w:endnote>
  <w:endnote w:type="continuationSeparator" w:id="0">
    <w:p w14:paraId="44BFE5CE" w14:textId="77777777" w:rsidR="00D26E83" w:rsidRDefault="00D26E83"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3AFC" w14:textId="77777777" w:rsidR="00D26E83" w:rsidRDefault="00D26E83" w:rsidP="00521226">
      <w:pPr>
        <w:spacing w:after="0" w:line="240" w:lineRule="auto"/>
      </w:pPr>
      <w:r>
        <w:separator/>
      </w:r>
    </w:p>
  </w:footnote>
  <w:footnote w:type="continuationSeparator" w:id="0">
    <w:p w14:paraId="73123576" w14:textId="77777777" w:rsidR="00D26E83" w:rsidRDefault="00D26E83"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C5B" w14:textId="5E2717C9" w:rsidR="00521226" w:rsidRPr="00D91685" w:rsidRDefault="00D91685" w:rsidP="00BB4463">
    <w:pPr>
      <w:pStyle w:val="Zhlav"/>
      <w:jc w:val="right"/>
      <w:rPr>
        <w:rFonts w:ascii="Garamond" w:hAnsi="Garamond"/>
        <w:sz w:val="24"/>
        <w:szCs w:val="24"/>
        <w:lang w:eastAsia="x-none"/>
      </w:rPr>
    </w:pPr>
    <w:bookmarkStart w:id="0" w:name="_Hlk167777770"/>
    <w:bookmarkStart w:id="1" w:name="_Hlk167777771"/>
    <w:r w:rsidRPr="00BB4463">
      <w:rPr>
        <w:rFonts w:ascii="Garamond" w:hAnsi="Garamond"/>
        <w:sz w:val="24"/>
        <w:szCs w:val="24"/>
      </w:rPr>
      <w:t>Spr 1075/2024</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D7B" w14:textId="396488FD" w:rsidR="00AA636C" w:rsidRPr="00115599" w:rsidRDefault="00AA636C" w:rsidP="00AA636C">
    <w:pPr>
      <w:pStyle w:val="Zhlav"/>
      <w:pBdr>
        <w:bottom w:val="single" w:sz="6" w:space="1" w:color="auto"/>
      </w:pBdr>
      <w:jc w:val="right"/>
      <w:rPr>
        <w:rFonts w:ascii="Garamond" w:hAnsi="Garamond"/>
        <w:sz w:val="24"/>
        <w:szCs w:val="24"/>
        <w:lang w:eastAsia="x-none"/>
      </w:rPr>
    </w:pPr>
    <w:r w:rsidRPr="00E60398">
      <w:rPr>
        <w:rFonts w:ascii="Garamond" w:hAnsi="Garamond"/>
        <w:sz w:val="24"/>
        <w:szCs w:val="24"/>
      </w:rPr>
      <w:t xml:space="preserve">sp. zn. </w:t>
    </w:r>
    <w:r w:rsidR="007919ED">
      <w:rPr>
        <w:rFonts w:ascii="Garamond" w:hAnsi="Garamond"/>
        <w:sz w:val="24"/>
        <w:szCs w:val="24"/>
      </w:rPr>
      <w:t xml:space="preserve">90 </w:t>
    </w:r>
    <w:r w:rsidRPr="00E60398">
      <w:rPr>
        <w:rFonts w:ascii="Garamond" w:hAnsi="Garamond"/>
        <w:sz w:val="24"/>
        <w:szCs w:val="24"/>
      </w:rPr>
      <w:t xml:space="preserve">Spr </w:t>
    </w:r>
    <w:r w:rsidR="007919ED">
      <w:rPr>
        <w:rFonts w:ascii="Garamond" w:hAnsi="Garamond"/>
        <w:sz w:val="24"/>
        <w:szCs w:val="24"/>
      </w:rPr>
      <w:t>243</w:t>
    </w:r>
    <w:r w:rsidRPr="00E60398">
      <w:rPr>
        <w:rFonts w:ascii="Garamond" w:hAnsi="Garamond"/>
        <w:sz w:val="24"/>
        <w:szCs w:val="24"/>
      </w:rPr>
      <w:t>/202</w:t>
    </w:r>
    <w:r w:rsidR="007919ED">
      <w:rPr>
        <w:rFonts w:ascii="Garamond" w:hAnsi="Garamond"/>
        <w:sz w:val="24"/>
        <w:szCs w:val="24"/>
      </w:rPr>
      <w:t>4</w:t>
    </w:r>
  </w:p>
  <w:p w14:paraId="7D93AB0A" w14:textId="77777777" w:rsidR="00AA636C" w:rsidRPr="00A22F5F" w:rsidRDefault="00AA636C" w:rsidP="00AA636C">
    <w:pPr>
      <w:pStyle w:val="Zhlav"/>
      <w:pBdr>
        <w:bottom w:val="single" w:sz="6" w:space="1" w:color="auto"/>
      </w:pBdr>
      <w:jc w:val="center"/>
      <w:rPr>
        <w:rFonts w:ascii="Garamond" w:hAnsi="Garamond"/>
        <w:sz w:val="28"/>
        <w:szCs w:val="28"/>
        <w:lang w:val="x-none"/>
      </w:rPr>
    </w:pPr>
    <w:bookmarkStart w:id="2" w:name="_Hlk167880368"/>
    <w:bookmarkStart w:id="3" w:name="_Hlk167880369"/>
    <w:bookmarkStart w:id="4" w:name="_Hlk167880392"/>
    <w:bookmarkStart w:id="5" w:name="_Hlk167880393"/>
    <w:bookmarkStart w:id="6" w:name="_Hlk167880512"/>
    <w:bookmarkStart w:id="7" w:name="_Hlk167880513"/>
    <w:r w:rsidRPr="00A22F5F">
      <w:rPr>
        <w:rFonts w:ascii="Garamond" w:hAnsi="Garamond"/>
        <w:b/>
        <w:bCs/>
        <w:sz w:val="28"/>
        <w:szCs w:val="28"/>
      </w:rPr>
      <w:t>Okresní soud v</w:t>
    </w:r>
    <w:r>
      <w:rPr>
        <w:rFonts w:ascii="Garamond" w:hAnsi="Garamond"/>
        <w:b/>
        <w:bCs/>
        <w:sz w:val="28"/>
        <w:szCs w:val="28"/>
      </w:rPr>
      <w:t> Chomutově</w:t>
    </w:r>
  </w:p>
  <w:p w14:paraId="2515AA27" w14:textId="77777777" w:rsidR="00AA636C" w:rsidRPr="00A22F5F" w:rsidRDefault="00AA636C" w:rsidP="00AA636C">
    <w:pPr>
      <w:pStyle w:val="Zhlav"/>
      <w:pBdr>
        <w:bottom w:val="single" w:sz="6" w:space="1" w:color="auto"/>
      </w:pBdr>
      <w:jc w:val="center"/>
      <w:rPr>
        <w:rFonts w:ascii="Garamond" w:hAnsi="Garamond"/>
        <w:sz w:val="24"/>
        <w:szCs w:val="24"/>
      </w:rPr>
    </w:pPr>
    <w:r>
      <w:rPr>
        <w:rFonts w:ascii="Garamond" w:hAnsi="Garamond"/>
        <w:sz w:val="24"/>
        <w:szCs w:val="24"/>
      </w:rPr>
      <w:t>Na Příkopech 663</w:t>
    </w:r>
    <w:r w:rsidRPr="00A22F5F">
      <w:rPr>
        <w:rFonts w:ascii="Garamond" w:hAnsi="Garamond"/>
        <w:sz w:val="24"/>
        <w:szCs w:val="24"/>
      </w:rPr>
      <w:t xml:space="preserve">, </w:t>
    </w:r>
    <w:r>
      <w:rPr>
        <w:rFonts w:ascii="Garamond" w:hAnsi="Garamond"/>
        <w:sz w:val="24"/>
        <w:szCs w:val="24"/>
      </w:rPr>
      <w:t>430 14 Chomutov</w:t>
    </w:r>
  </w:p>
  <w:p w14:paraId="1E957177" w14:textId="4D4C3C27" w:rsidR="008D22B8" w:rsidRPr="00AA636C" w:rsidRDefault="00AA636C" w:rsidP="00AA636C">
    <w:pPr>
      <w:pStyle w:val="Zhlav"/>
      <w:spacing w:after="240"/>
      <w:jc w:val="center"/>
    </w:pPr>
    <w:r w:rsidRPr="00A22F5F">
      <w:rPr>
        <w:rFonts w:ascii="Garamond" w:hAnsi="Garamond"/>
        <w:sz w:val="24"/>
        <w:szCs w:val="24"/>
      </w:rPr>
      <w:t xml:space="preserve"> tel. 4</w:t>
    </w:r>
    <w:r>
      <w:rPr>
        <w:rFonts w:ascii="Garamond" w:hAnsi="Garamond"/>
        <w:sz w:val="24"/>
        <w:szCs w:val="24"/>
      </w:rPr>
      <w:t>74 698 555</w:t>
    </w:r>
    <w:r w:rsidRPr="00A22F5F">
      <w:rPr>
        <w:rFonts w:ascii="Garamond" w:hAnsi="Garamond"/>
        <w:sz w:val="24"/>
        <w:szCs w:val="24"/>
      </w:rPr>
      <w:t>, fax: 4</w:t>
    </w:r>
    <w:r>
      <w:rPr>
        <w:rFonts w:ascii="Garamond" w:hAnsi="Garamond"/>
        <w:sz w:val="24"/>
        <w:szCs w:val="24"/>
      </w:rPr>
      <w:t>74 698 379</w:t>
    </w:r>
    <w:r w:rsidRPr="00A22F5F">
      <w:rPr>
        <w:rFonts w:ascii="Garamond" w:hAnsi="Garamond"/>
        <w:sz w:val="24"/>
        <w:szCs w:val="24"/>
      </w:rPr>
      <w:t>, e-mail: podatelna@osoud.</w:t>
    </w:r>
    <w:r>
      <w:rPr>
        <w:rFonts w:ascii="Garamond" w:hAnsi="Garamond"/>
        <w:sz w:val="24"/>
        <w:szCs w:val="24"/>
      </w:rPr>
      <w:t>chv</w:t>
    </w:r>
    <w:r w:rsidRPr="00A22F5F">
      <w:rPr>
        <w:rFonts w:ascii="Garamond" w:hAnsi="Garamond"/>
        <w:sz w:val="24"/>
        <w:szCs w:val="24"/>
      </w:rPr>
      <w:t xml:space="preserve">.justice.cz, ISDS: </w:t>
    </w:r>
    <w:bookmarkEnd w:id="2"/>
    <w:bookmarkEnd w:id="3"/>
    <w:bookmarkEnd w:id="4"/>
    <w:bookmarkEnd w:id="5"/>
    <w:bookmarkEnd w:id="6"/>
    <w:bookmarkEnd w:id="7"/>
    <w:r>
      <w:rPr>
        <w:rFonts w:ascii="Garamond" w:hAnsi="Garamond"/>
        <w:sz w:val="24"/>
        <w:szCs w:val="24"/>
      </w:rPr>
      <w:t>pstabqe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3288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78305">
    <w:abstractNumId w:val="2"/>
  </w:num>
  <w:num w:numId="3" w16cid:durableId="1264995767">
    <w:abstractNumId w:val="2"/>
  </w:num>
  <w:num w:numId="4" w16cid:durableId="527065606">
    <w:abstractNumId w:val="5"/>
  </w:num>
  <w:num w:numId="5" w16cid:durableId="1827893427">
    <w:abstractNumId w:val="6"/>
  </w:num>
  <w:num w:numId="6" w16cid:durableId="367995970">
    <w:abstractNumId w:val="8"/>
  </w:num>
  <w:num w:numId="7" w16cid:durableId="796527031">
    <w:abstractNumId w:val="7"/>
  </w:num>
  <w:num w:numId="8" w16cid:durableId="427624088">
    <w:abstractNumId w:val="4"/>
  </w:num>
  <w:num w:numId="9" w16cid:durableId="2141606925">
    <w:abstractNumId w:val="3"/>
  </w:num>
  <w:num w:numId="10" w16cid:durableId="10684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1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5L+oMVk6WSpFanFsyA2Xvp12Ui4TF0zf42bD3JS0g8dQe7RHuFShxEJdXnmMKxBcPgfHxGoa9zRBvj+E8UDODw==" w:salt="iYFyjJJJnb0e76a72YyVaw=="/>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4F15"/>
    <w:rsid w:val="0007742F"/>
    <w:rsid w:val="00096891"/>
    <w:rsid w:val="00097E64"/>
    <w:rsid w:val="000A7112"/>
    <w:rsid w:val="000E39FD"/>
    <w:rsid w:val="000E46FB"/>
    <w:rsid w:val="000F41C0"/>
    <w:rsid w:val="0010308B"/>
    <w:rsid w:val="00117C32"/>
    <w:rsid w:val="00127340"/>
    <w:rsid w:val="001310D1"/>
    <w:rsid w:val="00136E59"/>
    <w:rsid w:val="00162284"/>
    <w:rsid w:val="001751FC"/>
    <w:rsid w:val="00184182"/>
    <w:rsid w:val="001A53AB"/>
    <w:rsid w:val="001B7C07"/>
    <w:rsid w:val="001C0D45"/>
    <w:rsid w:val="00202278"/>
    <w:rsid w:val="00210BEA"/>
    <w:rsid w:val="00245B5D"/>
    <w:rsid w:val="00252ACE"/>
    <w:rsid w:val="00291597"/>
    <w:rsid w:val="002C35A0"/>
    <w:rsid w:val="00310A44"/>
    <w:rsid w:val="003B0491"/>
    <w:rsid w:val="003D73F3"/>
    <w:rsid w:val="0043569A"/>
    <w:rsid w:val="0046223C"/>
    <w:rsid w:val="00467E1F"/>
    <w:rsid w:val="004724C1"/>
    <w:rsid w:val="004876B6"/>
    <w:rsid w:val="00494265"/>
    <w:rsid w:val="004D3428"/>
    <w:rsid w:val="00500F21"/>
    <w:rsid w:val="00516DFD"/>
    <w:rsid w:val="00521226"/>
    <w:rsid w:val="005413C0"/>
    <w:rsid w:val="00566906"/>
    <w:rsid w:val="00585C5F"/>
    <w:rsid w:val="005B1B30"/>
    <w:rsid w:val="005E4F3B"/>
    <w:rsid w:val="005F61DA"/>
    <w:rsid w:val="00616E38"/>
    <w:rsid w:val="00633CED"/>
    <w:rsid w:val="00667562"/>
    <w:rsid w:val="006701AC"/>
    <w:rsid w:val="00682796"/>
    <w:rsid w:val="007165D7"/>
    <w:rsid w:val="0077053D"/>
    <w:rsid w:val="0077695A"/>
    <w:rsid w:val="007919ED"/>
    <w:rsid w:val="007B29CD"/>
    <w:rsid w:val="007D0B5B"/>
    <w:rsid w:val="007E7F10"/>
    <w:rsid w:val="00847876"/>
    <w:rsid w:val="0086083C"/>
    <w:rsid w:val="008D22B8"/>
    <w:rsid w:val="0093709B"/>
    <w:rsid w:val="00937116"/>
    <w:rsid w:val="00945E3A"/>
    <w:rsid w:val="00982D33"/>
    <w:rsid w:val="00992740"/>
    <w:rsid w:val="00996372"/>
    <w:rsid w:val="009D63DF"/>
    <w:rsid w:val="009D7D8E"/>
    <w:rsid w:val="00A651B0"/>
    <w:rsid w:val="00A77A3F"/>
    <w:rsid w:val="00AA038A"/>
    <w:rsid w:val="00AA283F"/>
    <w:rsid w:val="00AA636C"/>
    <w:rsid w:val="00AB3220"/>
    <w:rsid w:val="00AF59D6"/>
    <w:rsid w:val="00AF7F30"/>
    <w:rsid w:val="00B10051"/>
    <w:rsid w:val="00B826DF"/>
    <w:rsid w:val="00B82D16"/>
    <w:rsid w:val="00BB4463"/>
    <w:rsid w:val="00BB7619"/>
    <w:rsid w:val="00BD03BA"/>
    <w:rsid w:val="00BE62BD"/>
    <w:rsid w:val="00C37360"/>
    <w:rsid w:val="00C87DA7"/>
    <w:rsid w:val="00C97AFF"/>
    <w:rsid w:val="00CB1B13"/>
    <w:rsid w:val="00CD2430"/>
    <w:rsid w:val="00D0714E"/>
    <w:rsid w:val="00D14EC8"/>
    <w:rsid w:val="00D26E83"/>
    <w:rsid w:val="00D32773"/>
    <w:rsid w:val="00D50498"/>
    <w:rsid w:val="00D86B17"/>
    <w:rsid w:val="00D91685"/>
    <w:rsid w:val="00D929FB"/>
    <w:rsid w:val="00DB11AD"/>
    <w:rsid w:val="00DC4D97"/>
    <w:rsid w:val="00DE32AD"/>
    <w:rsid w:val="00E05868"/>
    <w:rsid w:val="00E4293C"/>
    <w:rsid w:val="00E752FF"/>
    <w:rsid w:val="00E753BF"/>
    <w:rsid w:val="00E90C1B"/>
    <w:rsid w:val="00EB184C"/>
    <w:rsid w:val="00EF01C0"/>
    <w:rsid w:val="00F22B0D"/>
    <w:rsid w:val="00F25D28"/>
    <w:rsid w:val="00F42015"/>
    <w:rsid w:val="00F45C3E"/>
    <w:rsid w:val="00F7490A"/>
    <w:rsid w:val="00F82E76"/>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7DA32"/>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 w:type="paragraph" w:styleId="Pedmtkomente">
    <w:name w:val="annotation subject"/>
    <w:basedOn w:val="Textkomente"/>
    <w:next w:val="Textkomente"/>
    <w:link w:val="PedmtkomenteChar"/>
    <w:uiPriority w:val="99"/>
    <w:semiHidden/>
    <w:unhideWhenUsed/>
    <w:rsid w:val="00E05868"/>
    <w:pPr>
      <w:spacing w:line="240" w:lineRule="auto"/>
    </w:pPr>
    <w:rPr>
      <w:b/>
      <w:bCs/>
    </w:rPr>
  </w:style>
  <w:style w:type="character" w:customStyle="1" w:styleId="PedmtkomenteChar">
    <w:name w:val="Předmět komentáře Char"/>
    <w:basedOn w:val="TextkomenteChar"/>
    <w:link w:val="Pedmtkomente"/>
    <w:uiPriority w:val="99"/>
    <w:semiHidden/>
    <w:rsid w:val="00E05868"/>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E23C-081B-421A-BFDC-D14E6AC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1928</Characters>
  <Application>Microsoft Office Word</Application>
  <DocSecurity>8</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Plzák Jan Bc.</dc:creator>
  <cp:lastModifiedBy>Korousová Lucie Ing. Bc. Dis.</cp:lastModifiedBy>
  <cp:revision>5</cp:revision>
  <cp:lastPrinted>2017-11-28T09:03:00Z</cp:lastPrinted>
  <dcterms:created xsi:type="dcterms:W3CDTF">2024-10-08T18:10:00Z</dcterms:created>
  <dcterms:modified xsi:type="dcterms:W3CDTF">2025-01-07T12:59:00Z</dcterms:modified>
</cp:coreProperties>
</file>