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PODLICENČNÍ SMLOUVA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2"/>
        <w:jc w:val="both"/>
        <w:rPr>
          <w:color w:val="000000"/>
          <w:sz w:val="22"/>
          <w:szCs w:val="22"/>
        </w:rPr>
      </w:pP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Smluvní strany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2"/>
          <w:szCs w:val="22"/>
        </w:rPr>
      </w:pPr>
    </w:p>
    <w:p w:rsidR="001D2ADC" w:rsidRDefault="00862AC2">
      <w:pPr>
        <w:ind w:hanging="2"/>
        <w:rPr>
          <w:sz w:val="22"/>
          <w:szCs w:val="22"/>
        </w:rPr>
      </w:pPr>
      <w:r>
        <w:rPr>
          <w:b/>
          <w:sz w:val="22"/>
          <w:szCs w:val="22"/>
        </w:rPr>
        <w:t>Národní filmový archiv</w:t>
      </w:r>
      <w:r>
        <w:rPr>
          <w:sz w:val="22"/>
          <w:szCs w:val="22"/>
        </w:rPr>
        <w:t>, příspěvková organizace</w:t>
      </w:r>
    </w:p>
    <w:p w:rsidR="001D2ADC" w:rsidRDefault="00862AC2">
      <w:pPr>
        <w:ind w:hanging="2"/>
        <w:rPr>
          <w:sz w:val="22"/>
          <w:szCs w:val="22"/>
        </w:rPr>
      </w:pPr>
      <w:r>
        <w:rPr>
          <w:sz w:val="22"/>
          <w:szCs w:val="22"/>
        </w:rPr>
        <w:t>nepodléhající zápisu do obchodního rejstříku, zřízená Ministerstvem kultury ČR, zřizovací listina č. j. MK 13526/2013 OMA ve znění pozdějších změn a doplňků  </w:t>
      </w:r>
      <w:r>
        <w:rPr>
          <w:sz w:val="22"/>
          <w:szCs w:val="22"/>
        </w:rPr>
        <w:br/>
      </w:r>
      <w:r>
        <w:rPr>
          <w:sz w:val="22"/>
          <w:szCs w:val="22"/>
        </w:rPr>
        <w:t>se sídlem Závišova 502/5, Nusle, 140 00, Praha 4</w:t>
      </w:r>
    </w:p>
    <w:p w:rsidR="001D2ADC" w:rsidRDefault="00862AC2">
      <w:pPr>
        <w:ind w:hanging="2"/>
        <w:rPr>
          <w:b/>
          <w:sz w:val="22"/>
          <w:szCs w:val="22"/>
        </w:rPr>
      </w:pPr>
      <w:r>
        <w:rPr>
          <w:sz w:val="22"/>
          <w:szCs w:val="22"/>
        </w:rPr>
        <w:t>IČ: 00057266, DIČ: CZ00057266</w:t>
      </w:r>
      <w:r>
        <w:rPr>
          <w:sz w:val="22"/>
          <w:szCs w:val="22"/>
        </w:rPr>
        <w:br/>
        <w:t>Bankovní spojení: Česká národní banka, Na Příkopě 28, 115 03 Praha 1</w:t>
      </w:r>
      <w:r>
        <w:rPr>
          <w:sz w:val="22"/>
          <w:szCs w:val="22"/>
        </w:rPr>
        <w:br/>
        <w:t>Č.ú.: 10006-83337011/0710</w:t>
      </w:r>
      <w:r>
        <w:rPr>
          <w:sz w:val="22"/>
          <w:szCs w:val="22"/>
        </w:rPr>
        <w:br/>
        <w:t>zastoupený XXXXXXXXXXXXXXXXXXX, generálním ředitelem</w:t>
      </w:r>
      <w:r>
        <w:rPr>
          <w:sz w:val="22"/>
          <w:szCs w:val="22"/>
        </w:rPr>
        <w:br/>
        <w:t xml:space="preserve">(dále jen </w:t>
      </w:r>
      <w:r>
        <w:rPr>
          <w:b/>
          <w:sz w:val="22"/>
          <w:szCs w:val="22"/>
        </w:rPr>
        <w:t>„NFA</w:t>
      </w:r>
      <w:r>
        <w:rPr>
          <w:sz w:val="22"/>
          <w:szCs w:val="22"/>
        </w:rPr>
        <w:t>“)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</w:t>
      </w: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smlouva číslo: 24303SML056003</w:t>
      </w: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2"/>
          <w:szCs w:val="22"/>
        </w:rPr>
      </w:pPr>
      <w:r>
        <w:rPr>
          <w:b/>
          <w:sz w:val="22"/>
          <w:szCs w:val="22"/>
        </w:rPr>
        <w:t>TV Nova s.r.o.</w:t>
      </w: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2"/>
          <w:szCs w:val="22"/>
        </w:rPr>
      </w:pPr>
      <w:r>
        <w:rPr>
          <w:sz w:val="22"/>
          <w:szCs w:val="22"/>
        </w:rPr>
        <w:t>Sídlo: Praha 5, Kříženeckého nám. 1078/5, PSČ 152 00</w:t>
      </w: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2"/>
          <w:szCs w:val="22"/>
        </w:rPr>
      </w:pPr>
      <w:r>
        <w:rPr>
          <w:sz w:val="22"/>
          <w:szCs w:val="22"/>
        </w:rPr>
        <w:t>IČ: 45800456, DIČ: CZ45800456</w:t>
      </w: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2"/>
          <w:szCs w:val="22"/>
        </w:rPr>
      </w:pPr>
      <w:r>
        <w:rPr>
          <w:sz w:val="22"/>
          <w:szCs w:val="22"/>
        </w:rPr>
        <w:t>Zapsaná v obchodním rejstříku vedeném Městským soudem v Praze, spis. zn. C10581</w:t>
      </w: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2"/>
          <w:szCs w:val="22"/>
        </w:rPr>
      </w:pPr>
      <w:r>
        <w:rPr>
          <w:sz w:val="22"/>
          <w:szCs w:val="22"/>
        </w:rPr>
        <w:t xml:space="preserve">Zastoupená: XXXXXXXXXXXXXX </w:t>
      </w: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2"/>
          <w:szCs w:val="22"/>
        </w:rPr>
      </w:pPr>
      <w:r>
        <w:rPr>
          <w:sz w:val="22"/>
          <w:szCs w:val="22"/>
        </w:rPr>
        <w:t>Kontaktní osoba: XXX</w:t>
      </w:r>
      <w:r>
        <w:rPr>
          <w:sz w:val="22"/>
          <w:szCs w:val="22"/>
        </w:rPr>
        <w:t>XXXXXXXXXXXXXX</w:t>
      </w: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2"/>
          <w:szCs w:val="22"/>
        </w:rPr>
      </w:pPr>
      <w:r>
        <w:rPr>
          <w:sz w:val="22"/>
          <w:szCs w:val="22"/>
        </w:rPr>
        <w:t>XXXXXXXXXXXXXX</w:t>
      </w: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(dále jen </w:t>
      </w:r>
      <w:r>
        <w:rPr>
          <w:b/>
          <w:color w:val="000000"/>
          <w:sz w:val="22"/>
          <w:szCs w:val="22"/>
        </w:rPr>
        <w:t>„Nabyvatel“</w:t>
      </w:r>
      <w:r>
        <w:rPr>
          <w:color w:val="000000"/>
          <w:sz w:val="22"/>
          <w:szCs w:val="22"/>
        </w:rPr>
        <w:t>)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uzavírají v souladu s příslušnými ustanoveními zák. č. 89/2012 Sb., občanský zákoník, resp. zák. č. 121/2000 Sb. o právu autorském, o právech souvisejících s právem autorským a o změně některých zákonů, ve znění pozdějších předpisů (autorský zákon), tuto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Podlicenční smlouvu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2"/>
          <w:szCs w:val="22"/>
        </w:rPr>
      </w:pP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</w:t>
      </w: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Smluvní strany; Předmět smlouvy; Filmy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2"/>
          <w:szCs w:val="22"/>
        </w:rPr>
      </w:pPr>
    </w:p>
    <w:p w:rsidR="001D2ADC" w:rsidRDefault="00862A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NFA je právnickou osobou ve formě příspěvkové organizace plně způsobilou k právnímu jednání, právům a povinnostem, plnící úlohu specializovaného archivu pro audiovizuální archiválie a zaměřenou mimo jiné na budování, ochranu, restaurování, vědecké zpracová</w:t>
      </w:r>
      <w:r>
        <w:rPr>
          <w:color w:val="000000"/>
          <w:sz w:val="22"/>
          <w:szCs w:val="22"/>
        </w:rPr>
        <w:t>ní a zpřístupňování národního filmového dědictví, resp. audiovizuálních archiválií, jakož i na všestranné šíření filmové kultury ve spolupráci s českými i zahraničními filmovými a kulturními institucemi. NFA je na základě Licenční a podlicenční smlouvy uza</w:t>
      </w:r>
      <w:r>
        <w:rPr>
          <w:color w:val="000000"/>
          <w:sz w:val="22"/>
          <w:szCs w:val="22"/>
        </w:rPr>
        <w:t>vřené dne 23. 5. 2014 mezi NFA a Státním fondem kinematografie, IČ: 01454455, se sídlem: Veletržní palác, Dukelských hrdinů 47, 170 00 Praha 7 (dále jen „</w:t>
      </w:r>
      <w:r>
        <w:rPr>
          <w:b/>
          <w:color w:val="000000"/>
          <w:sz w:val="22"/>
          <w:szCs w:val="22"/>
        </w:rPr>
        <w:t>Licenční smlouva</w:t>
      </w:r>
      <w:r>
        <w:rPr>
          <w:color w:val="000000"/>
          <w:sz w:val="22"/>
          <w:szCs w:val="22"/>
        </w:rPr>
        <w:t xml:space="preserve">“), jakož i na základě všech případných pozdějších změn a dodatků k Licenční smlouvě, </w:t>
      </w:r>
      <w:r>
        <w:rPr>
          <w:color w:val="000000"/>
          <w:sz w:val="22"/>
          <w:szCs w:val="22"/>
        </w:rPr>
        <w:t xml:space="preserve">oprávněn udělovat podlicence (souhlasy) k užití touto smlouvou specifikovaných Filmů, a to z hlediska právních titulů a v rozsahu, jak jsou níže uvedeny. NFA má zájem udělit touto smlouvou za dále uvedených podmínek Nabyvateli souhlas s užitím Filmů touto </w:t>
      </w:r>
      <w:r>
        <w:rPr>
          <w:color w:val="000000"/>
          <w:sz w:val="22"/>
          <w:szCs w:val="22"/>
        </w:rPr>
        <w:t>smlouvou vymezených.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p w:rsidR="001D2ADC" w:rsidRDefault="00862A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Nabyvatel má zájem získat touto smlouvou za dále uvedených podmínek od NFA souhlas s užitím Filmů touto smlouvou vymezených.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p w:rsidR="001D2ADC" w:rsidRDefault="00862A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Předmětem této smlouvy je závazek NFA spočívající v poskytnutí oprávnění užít Filmy Nabyvateli v rozsahu tét</w:t>
      </w:r>
      <w:r>
        <w:rPr>
          <w:color w:val="000000"/>
          <w:sz w:val="22"/>
          <w:szCs w:val="22"/>
        </w:rPr>
        <w:t>o smlouvy a závazek Nabyvatele spočívající v zaplacení odměny NFA za řádné splnění závazků z této smlouvy vyplývajících.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p w:rsidR="001D2ADC" w:rsidRDefault="00862A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Filmy se pro účely této smlouvy rozumí tato audiovizuální díla: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  <w:highlight w:val="white"/>
        </w:rPr>
      </w:pPr>
    </w:p>
    <w:p w:rsidR="001D2ADC" w:rsidRDefault="00862A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název: </w:t>
      </w:r>
      <w:r>
        <w:rPr>
          <w:sz w:val="22"/>
          <w:szCs w:val="22"/>
          <w:highlight w:val="white"/>
        </w:rPr>
        <w:t>”XXXXXXXXXXXXXX;</w:t>
      </w:r>
    </w:p>
    <w:p w:rsidR="001D2ADC" w:rsidRDefault="00862A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název: </w:t>
      </w:r>
      <w:r>
        <w:rPr>
          <w:sz w:val="22"/>
          <w:szCs w:val="22"/>
          <w:highlight w:val="white"/>
        </w:rPr>
        <w:t>“XXXXXXXXXXXXXX</w:t>
      </w:r>
    </w:p>
    <w:p w:rsidR="001D2ADC" w:rsidRDefault="00862A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název: </w:t>
      </w:r>
      <w:r>
        <w:rPr>
          <w:sz w:val="22"/>
          <w:szCs w:val="22"/>
          <w:highlight w:val="white"/>
        </w:rPr>
        <w:t>“XXXXXXXXXXXXXX</w:t>
      </w:r>
    </w:p>
    <w:p w:rsidR="001D2ADC" w:rsidRDefault="00862A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název: </w:t>
      </w:r>
      <w:r>
        <w:rPr>
          <w:sz w:val="22"/>
          <w:szCs w:val="22"/>
          <w:highlight w:val="white"/>
        </w:rPr>
        <w:t>“XXXXXXXXXXXXXX</w:t>
      </w:r>
    </w:p>
    <w:p w:rsidR="001D2ADC" w:rsidRDefault="00862A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název: “XXXXXXXXXXXXXX</w:t>
      </w: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(výše a dále jen společně jako „</w:t>
      </w:r>
      <w:r>
        <w:rPr>
          <w:b/>
          <w:color w:val="000000"/>
          <w:sz w:val="22"/>
          <w:szCs w:val="22"/>
        </w:rPr>
        <w:t>Filmy</w:t>
      </w:r>
      <w:r>
        <w:rPr>
          <w:color w:val="000000"/>
          <w:sz w:val="22"/>
          <w:szCs w:val="22"/>
        </w:rPr>
        <w:t>“).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p w:rsidR="001D2ADC" w:rsidRDefault="00862A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Souhlas s užitím Filmů, který je poskytován touto smlouvou, zahrnuje následující druhy souhlasů: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p w:rsidR="001D2ADC" w:rsidRDefault="00862A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souhlas s užitím zvukově obrazových záznamů Filmů;</w:t>
      </w:r>
    </w:p>
    <w:p w:rsidR="001D2ADC" w:rsidRDefault="00862A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souhlas s užitím F</w:t>
      </w:r>
      <w:r>
        <w:rPr>
          <w:color w:val="000000"/>
          <w:sz w:val="22"/>
          <w:szCs w:val="22"/>
        </w:rPr>
        <w:t>ilmů jakožto předmětů autorského práva jejich režisérů;</w:t>
      </w:r>
    </w:p>
    <w:p w:rsidR="001D2ADC" w:rsidRDefault="00862AC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souhlas s užitím do Filmů zařazených audiovizuálně užitých autorských děl, uměleckých výkonů a jiných předmětů práv souvisejících s právem autorským, například zvukových a zvukově obrazových záznamů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  <w:highlight w:val="yellow"/>
        </w:rPr>
      </w:pP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</w:rPr>
        <w:t>(všechny druhy souhlasů dle tohoto ustanovení dále pro účely této smlouvy jednotně a společně nazývány jako „</w:t>
      </w:r>
      <w:r>
        <w:rPr>
          <w:b/>
          <w:color w:val="000000"/>
          <w:sz w:val="22"/>
          <w:szCs w:val="22"/>
        </w:rPr>
        <w:t>licence</w:t>
      </w:r>
      <w:r>
        <w:rPr>
          <w:color w:val="000000"/>
          <w:sz w:val="22"/>
          <w:szCs w:val="22"/>
        </w:rPr>
        <w:t>“).</w:t>
      </w: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III. </w:t>
      </w: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Licence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:rsidR="001D2ADC" w:rsidRDefault="00862A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NFA touto smlouvou poskytuje Nabyvateli oprávnění k užití Filmů – licenci v níže uvedeném rozsahu: </w:t>
      </w:r>
    </w:p>
    <w:p w:rsidR="001D2ADC" w:rsidRDefault="00862A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sz w:val="22"/>
          <w:szCs w:val="22"/>
        </w:rPr>
        <w:t>Dále specifikovaná licence je udělována pouze k užití následujících ukázek z Filmů:</w:t>
      </w:r>
    </w:p>
    <w:p w:rsidR="001D2ADC" w:rsidRDefault="00862A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sz w:val="22"/>
          <w:szCs w:val="22"/>
          <w:highlight w:val="white"/>
        </w:rPr>
        <w:t>název: XXXXXXXXXXXXX</w:t>
      </w:r>
    </w:p>
    <w:p w:rsidR="001D2ADC" w:rsidRDefault="00862A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sz w:val="22"/>
          <w:szCs w:val="22"/>
          <w:highlight w:val="white"/>
        </w:rPr>
        <w:t>název: XXXXXXXXXXXXXX;</w:t>
      </w:r>
    </w:p>
    <w:p w:rsidR="001D2ADC" w:rsidRDefault="00862A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sz w:val="22"/>
          <w:szCs w:val="22"/>
          <w:highlight w:val="white"/>
        </w:rPr>
        <w:t>název: XXXXXXXXXXXXX;</w:t>
      </w:r>
    </w:p>
    <w:p w:rsidR="001D2ADC" w:rsidRDefault="00862A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sz w:val="22"/>
          <w:szCs w:val="22"/>
          <w:highlight w:val="white"/>
        </w:rPr>
        <w:t>název: XXXXXXXXXXXXX;</w:t>
      </w:r>
    </w:p>
    <w:p w:rsidR="001D2ADC" w:rsidRDefault="00862A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sz w:val="22"/>
          <w:szCs w:val="22"/>
          <w:highlight w:val="white"/>
        </w:rPr>
        <w:t xml:space="preserve">název: XXXXXXXXXXXXX; </w:t>
      </w: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left="283" w:firstLine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 to pouze za účelem jejich zařazení do nově vznikajícího audiovizuálního díla vyráběného Nabyvatelem s pracovním názvem XXXXXXX (dále jen „</w:t>
      </w:r>
      <w:r>
        <w:rPr>
          <w:b/>
          <w:sz w:val="22"/>
          <w:szCs w:val="22"/>
        </w:rPr>
        <w:t>Zamýšlený film</w:t>
      </w:r>
      <w:r>
        <w:rPr>
          <w:sz w:val="22"/>
          <w:szCs w:val="22"/>
        </w:rPr>
        <w:t>“), a dále k užití těchto ukázek v rámci Zamýšleného filmu za níže specifikovaných podmínek:</w:t>
      </w:r>
    </w:p>
    <w:p w:rsidR="001D2ADC" w:rsidRDefault="00862A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k těmto z</w:t>
      </w:r>
      <w:r>
        <w:rPr>
          <w:color w:val="000000"/>
          <w:sz w:val="22"/>
          <w:szCs w:val="22"/>
        </w:rPr>
        <w:t xml:space="preserve">působům užití: </w:t>
      </w:r>
    </w:p>
    <w:p w:rsidR="001D2ADC" w:rsidRDefault="00862A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sz w:val="22"/>
          <w:szCs w:val="22"/>
          <w:highlight w:val="white"/>
        </w:rPr>
        <w:t xml:space="preserve">sdělování Filmů v nehmotné podobě veřejnosti, a to těmito způsoby: </w:t>
      </w:r>
    </w:p>
    <w:p w:rsidR="001D2ADC" w:rsidRDefault="00862AC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sz w:val="22"/>
          <w:szCs w:val="22"/>
          <w:highlight w:val="white"/>
        </w:rPr>
        <w:t>XXXXXXXXXX;</w:t>
      </w:r>
    </w:p>
    <w:p w:rsidR="001D2ADC" w:rsidRDefault="00862AC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sz w:val="22"/>
          <w:szCs w:val="22"/>
          <w:highlight w:val="white"/>
        </w:rPr>
        <w:t>XXXXXXXXXX</w:t>
      </w:r>
      <w:r>
        <w:rPr>
          <w:color w:val="000000"/>
          <w:sz w:val="22"/>
          <w:szCs w:val="22"/>
          <w:highlight w:val="white"/>
        </w:rPr>
        <w:t xml:space="preserve">; </w:t>
      </w:r>
    </w:p>
    <w:p w:rsidR="001D2ADC" w:rsidRDefault="00862A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v tomto časovém rozsahu:XXXXXXXX; </w:t>
      </w:r>
    </w:p>
    <w:p w:rsidR="001D2ADC" w:rsidRDefault="00862A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color w:val="000000"/>
          <w:sz w:val="22"/>
          <w:szCs w:val="22"/>
          <w:highlight w:val="white"/>
        </w:rPr>
        <w:t>na tomto území: XXXXXXXXXXXXX</w:t>
      </w:r>
      <w:r>
        <w:rPr>
          <w:sz w:val="22"/>
          <w:szCs w:val="22"/>
        </w:rPr>
        <w:t>;</w:t>
      </w:r>
    </w:p>
    <w:p w:rsidR="001D2ADC" w:rsidRDefault="00862A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color w:val="000000"/>
          <w:sz w:val="22"/>
          <w:szCs w:val="22"/>
          <w:highlight w:val="white"/>
        </w:rPr>
        <w:t>v tomto množství:</w:t>
      </w:r>
      <w:r>
        <w:rPr>
          <w:sz w:val="22"/>
          <w:szCs w:val="22"/>
          <w:highlight w:val="white"/>
        </w:rPr>
        <w:t xml:space="preserve"> XXXXXXXXXXX;</w:t>
      </w:r>
    </w:p>
    <w:p w:rsidR="001D2ADC" w:rsidRDefault="00862A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>
        <w:rPr>
          <w:color w:val="000000"/>
          <w:sz w:val="22"/>
          <w:szCs w:val="22"/>
          <w:highlight w:val="white"/>
        </w:rPr>
        <w:t>nevýhradně, NFA tedy není touto smlouvou omezen v udělování podlicencí k užití Filmů dalším osobám ani sám není omezen v možnosti Filmy v plném rozsahu užít.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p w:rsidR="001D2ADC" w:rsidRDefault="00862A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Nabyvatel není oprávněn části Filmů zařadit do jiných autorských děl než do Zamýšleného filmu, s </w:t>
      </w:r>
      <w:r>
        <w:rPr>
          <w:color w:val="000000"/>
          <w:sz w:val="22"/>
          <w:szCs w:val="22"/>
        </w:rPr>
        <w:t xml:space="preserve">výjimkou případných propagačních materiálů k Zamýšlenému filmu v podobě předem schválené ze strany NFA. 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p w:rsidR="001D2ADC" w:rsidRDefault="00862A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Nabyvatel je povinen v závěrečných titulcích Zamýšleného filmu specifikovat, že v Zamýšleném filmu byly na základě souhlasu NFA využity ukázky z Filmů</w:t>
      </w:r>
      <w:r>
        <w:rPr>
          <w:color w:val="000000"/>
          <w:sz w:val="22"/>
          <w:szCs w:val="22"/>
        </w:rPr>
        <w:t xml:space="preserve">, a dále zde uvést informaci o Státním </w:t>
      </w:r>
      <w:r>
        <w:rPr>
          <w:color w:val="000000"/>
          <w:sz w:val="22"/>
          <w:szCs w:val="22"/>
        </w:rPr>
        <w:lastRenderedPageBreak/>
        <w:t>fondu kinematografie jakožto o nositeli, resp. vykonavateli autorských práv k Filmům, a to např. formou copyrightové výhrady a uvedením loga Státního fondu kinematografie, které je k dispozici ke stažení na jeho webov</w:t>
      </w:r>
      <w:r>
        <w:rPr>
          <w:color w:val="000000"/>
          <w:sz w:val="22"/>
          <w:szCs w:val="22"/>
        </w:rPr>
        <w:t>ých stránkách.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:rsidR="001D2ADC" w:rsidRDefault="00862A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případě, že Nabyvatel touto Podlicenční smlouvou nabývá právo k televiznímu vysílání Filmů (v rámci Zamýšleného filmu) na území České republiky a/nebo Slovenské republiky, je povinen písemně a v dostatečném předstihu hlásit všechna vysílání Zamýšleného f</w:t>
      </w:r>
      <w:r>
        <w:rPr>
          <w:color w:val="000000"/>
          <w:sz w:val="22"/>
          <w:szCs w:val="22"/>
        </w:rPr>
        <w:t>ilmu (premiéry i reprízy) NFA, přičemž součástí takového hlášení bude i informace o ukázkách obsažených v Zamýšleném filmu a uvedení dat a časů jednotlivých vysílání Zamýšleného filmu a identifikace televizních vysílatelů.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  <w:sz w:val="22"/>
          <w:szCs w:val="22"/>
        </w:rPr>
      </w:pPr>
    </w:p>
    <w:p w:rsidR="001D2ADC" w:rsidRDefault="00862A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2"/>
          <w:szCs w:val="22"/>
        </w:rPr>
        <w:t xml:space="preserve">Nabyvatel </w:t>
      </w:r>
      <w:r>
        <w:rPr>
          <w:sz w:val="22"/>
          <w:szCs w:val="22"/>
        </w:rPr>
        <w:t>XXXXXXXXXXXXXXXXXXX</w:t>
      </w:r>
      <w:r>
        <w:rPr>
          <w:color w:val="000000"/>
          <w:sz w:val="22"/>
          <w:szCs w:val="22"/>
        </w:rPr>
        <w:t xml:space="preserve"> k </w:t>
      </w:r>
      <w:r>
        <w:rPr>
          <w:color w:val="000000"/>
          <w:sz w:val="22"/>
          <w:szCs w:val="22"/>
        </w:rPr>
        <w:t xml:space="preserve">Zamýšlenému filmu třetím osobám, při dodržení licenčních podmínek sjednaných v této Smlouvě.  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2"/>
          <w:szCs w:val="22"/>
        </w:rPr>
      </w:pP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</w:t>
      </w: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Odměna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2"/>
          <w:szCs w:val="22"/>
        </w:rPr>
      </w:pPr>
    </w:p>
    <w:p w:rsidR="001D2ADC" w:rsidRDefault="00862A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Nabyvatel se zavazuje zaplatit NFA za užití Filmů dle podmínek této smlouvy (tedy za užití ukázek z Filmů specifikovaných v čl. III. odst. 1 této smlouvy) odměnu v této výši:</w:t>
      </w:r>
    </w:p>
    <w:p w:rsidR="001D2ADC" w:rsidRDefault="00862AC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za užití každého Filmu XXXXXXXXXX</w:t>
      </w:r>
      <w:r>
        <w:rPr>
          <w:sz w:val="22"/>
          <w:szCs w:val="22"/>
        </w:rPr>
        <w:t>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left="283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Celková odměna za užití všech Filmů dle této smlouvy tedy činí souhrnně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160 000,- </w:t>
      </w:r>
      <w:r>
        <w:rPr>
          <w:b/>
          <w:color w:val="000000"/>
          <w:sz w:val="22"/>
          <w:szCs w:val="22"/>
        </w:rPr>
        <w:t>Kč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(sto šedesát tisíc </w:t>
      </w:r>
      <w:r>
        <w:rPr>
          <w:color w:val="000000"/>
          <w:sz w:val="22"/>
          <w:szCs w:val="22"/>
        </w:rPr>
        <w:t>korun českých).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p w:rsidR="001D2ADC" w:rsidRDefault="00862A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Odměna stanovená v odst. 1 tohoto článku bude Nabyvatelem NFA uhrazena na č.ú. uvedené v záhlaví smlouvy na základě běžné faktury se vš</w:t>
      </w:r>
      <w:r>
        <w:rPr>
          <w:color w:val="000000"/>
          <w:sz w:val="22"/>
          <w:szCs w:val="22"/>
        </w:rPr>
        <w:t>emi zákonnými náležitostmi daňového dokladu, s čtrnáctidenní lhůtou splatnosti vystavené NFA na základě této smlouvy.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p w:rsidR="001D2ADC" w:rsidRDefault="00862A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případě prodlení Nabyvatele s úhradou odměny dle ustanovení této smlouvy se Nabyvatel zavazuje uhradit NFA úrok z prodlení v zákonem st</w:t>
      </w:r>
      <w:r>
        <w:rPr>
          <w:color w:val="000000"/>
          <w:sz w:val="22"/>
          <w:szCs w:val="22"/>
        </w:rPr>
        <w:t xml:space="preserve">anovené výši za každý celý den prodlení. 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p w:rsidR="001D2ADC" w:rsidRDefault="00862A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případě prodlení Nabyvatele s úhradou kterékoliv části odměny delšího než 30 dnů, je NFA oprávněn s okamžitým účinkem odstoupit od této smlouvy.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</w:t>
      </w: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Mlčenlivost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2"/>
          <w:szCs w:val="22"/>
        </w:rPr>
      </w:pPr>
    </w:p>
    <w:p w:rsidR="001D2ADC" w:rsidRDefault="00862A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Nabyvatel prohlašuje, že si je vědom skutečnosti, že veškeré údaje, které se dozví v rámci této smlouvy, a které nejsou veřejně dostupné, tvoří ve smyslu § 504 zákona č. 89/2012 Sb., občanského zákoníku v platném znění předmět obchodního tajemství NFA. Za </w:t>
      </w:r>
      <w:r>
        <w:rPr>
          <w:color w:val="000000"/>
          <w:sz w:val="22"/>
          <w:szCs w:val="22"/>
        </w:rPr>
        <w:t>informace, tvořící obchodní tajemství, se například považují:</w:t>
      </w:r>
    </w:p>
    <w:p w:rsidR="001D2ADC" w:rsidRDefault="00862A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informace týkající se současné pozice NFA na trhu + vnitřního uspořádání NFA, </w:t>
      </w:r>
    </w:p>
    <w:p w:rsidR="001D2ADC" w:rsidRDefault="00862A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informace o edičním plánu, marketingových plánech a připravovaných kampaních NFA,</w:t>
      </w:r>
    </w:p>
    <w:p w:rsidR="001D2ADC" w:rsidRDefault="00862A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informace o nových produktech a službách NFA. 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p w:rsidR="001D2ADC" w:rsidRDefault="00862A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Nabyvatel se zavazuje toto obchodní tajemství zachovávat v naprosté tajnosti a po skončení spolupráce či kdykoliv na pokyn NFA ihned a bezvýjimečně vrátit NFA jakékoliv a všechny dokumenty toto tajemství obsahující a nedopustit, aby toto obchodní tajemství</w:t>
      </w:r>
      <w:r>
        <w:rPr>
          <w:color w:val="000000"/>
          <w:sz w:val="22"/>
          <w:szCs w:val="22"/>
        </w:rPr>
        <w:t xml:space="preserve"> bylo kdykoli po podpisu této smlouvy prozrazeno jakékoliv nepovolané osobě. Tento závazek trvá pro Nabyvatele i po ukončení platnosti této smlouvy.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p w:rsidR="001D2ADC" w:rsidRDefault="00862A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Nabyvatel se zavazuje toto obchodní tajemství nikdy nevyužít žádným způsobem, přímo ani nepřímo, ve svůj p</w:t>
      </w:r>
      <w:r>
        <w:rPr>
          <w:sz w:val="22"/>
          <w:szCs w:val="22"/>
        </w:rPr>
        <w:t>rospěch či jinak, než v zájmu NFA a v souladu s jeho instrukcemi a pokyny.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left="283" w:firstLine="0"/>
        <w:jc w:val="both"/>
        <w:rPr>
          <w:sz w:val="22"/>
          <w:szCs w:val="22"/>
        </w:rPr>
      </w:pPr>
    </w:p>
    <w:p w:rsidR="001D2ADC" w:rsidRDefault="00862A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Nabyvatel se zavazuje, že jakékoli podklady (včetně grafických vyobrazení, log, ochranných známek atd.</w:t>
      </w:r>
      <w:r>
        <w:rPr>
          <w:color w:val="000000"/>
          <w:sz w:val="22"/>
          <w:szCs w:val="22"/>
        </w:rPr>
        <w:t>) získané od NFA či jím pověřené třetí osoby využije výlučně pro účely této smlouvy.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2"/>
          <w:szCs w:val="22"/>
        </w:rPr>
      </w:pPr>
    </w:p>
    <w:p w:rsidR="001D2ADC" w:rsidRDefault="00862AC2">
      <w:pPr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VI.</w:t>
      </w:r>
    </w:p>
    <w:p w:rsidR="001D2ADC" w:rsidRDefault="00862AC2">
      <w:pPr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Zvláštní ujednání o zveřejnění v registru smluv</w:t>
      </w:r>
    </w:p>
    <w:p w:rsidR="001D2ADC" w:rsidRDefault="001D2ADC">
      <w:pPr>
        <w:ind w:firstLine="0"/>
        <w:jc w:val="center"/>
        <w:rPr>
          <w:sz w:val="22"/>
          <w:szCs w:val="22"/>
        </w:rPr>
      </w:pPr>
    </w:p>
    <w:p w:rsidR="001D2ADC" w:rsidRDefault="00862AC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NFA je osobou, na níž se vztahují povinnosti vyplývající ze zákona č. 340/2015 Sb., o registru smluv (dále jen „</w:t>
      </w:r>
      <w:r>
        <w:rPr>
          <w:b/>
          <w:sz w:val="22"/>
          <w:szCs w:val="22"/>
        </w:rPr>
        <w:t>ZoRS</w:t>
      </w:r>
      <w:r>
        <w:rPr>
          <w:sz w:val="22"/>
          <w:szCs w:val="22"/>
        </w:rPr>
        <w:t>“</w:t>
      </w:r>
      <w:r>
        <w:rPr>
          <w:sz w:val="22"/>
          <w:szCs w:val="22"/>
        </w:rPr>
        <w:t>). Tato smlouva podléhá povinnosti uveřejnění v registru smluv podle ZoRS a nabývá účinnosti dnem uveřejnění v tomto registru. Druhá smluvní strana si je vědoma následků této skutečnosti.</w:t>
      </w:r>
    </w:p>
    <w:p w:rsidR="001D2ADC" w:rsidRDefault="001D2ADC">
      <w:pPr>
        <w:ind w:left="360" w:firstLine="0"/>
        <w:jc w:val="both"/>
        <w:rPr>
          <w:sz w:val="22"/>
          <w:szCs w:val="22"/>
        </w:rPr>
      </w:pPr>
    </w:p>
    <w:p w:rsidR="001D2ADC" w:rsidRDefault="00862AC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 uveřejnění této smlouvy v souladu s ust. § 5 ZoRS se zavazuje NFA. Pouze v případě, že by tuto svoji povinnost NFA nesplnil ani do 30 dnů od uzavření této smlouvy, je k uveřejnění smlouvy v registru smluv oprávněna druhá smluvní strana, která je však v t</w:t>
      </w:r>
      <w:r>
        <w:rPr>
          <w:sz w:val="22"/>
          <w:szCs w:val="22"/>
        </w:rPr>
        <w:t>akovém případě povinna respektovat zejména ujednání dle následující odst. 3 tohoto článku smlouvy.</w:t>
      </w:r>
    </w:p>
    <w:p w:rsidR="001D2ADC" w:rsidRDefault="001D2ADC">
      <w:pPr>
        <w:ind w:firstLine="0"/>
        <w:jc w:val="both"/>
        <w:rPr>
          <w:sz w:val="22"/>
          <w:szCs w:val="22"/>
        </w:rPr>
      </w:pPr>
    </w:p>
    <w:p w:rsidR="001D2ADC" w:rsidRDefault="00862AC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konstatují, že skutečnosti uvedené v následujících ustanoveních jsou obchodním tajemstvím ve smyslu ust. § 504 zákona č. 89/2012 Sb., občansk</w:t>
      </w:r>
      <w:r>
        <w:rPr>
          <w:sz w:val="22"/>
          <w:szCs w:val="22"/>
        </w:rPr>
        <w:t xml:space="preserve">ého zákoníku </w:t>
      </w:r>
      <w:r>
        <w:rPr>
          <w:color w:val="222222"/>
          <w:sz w:val="22"/>
          <w:szCs w:val="22"/>
          <w:highlight w:val="white"/>
        </w:rPr>
        <w:t>popř. chráněnými osobními údaji dle Nařízení Evropského parlamentu a Rady č. 2016/679, o ochraně fyzických osob v souvislosti se zpracováním osobních údajů a o volném pohybu těchto údajů a o zrušení směrnice 95/46/ES (obecné nařízení o ochraně</w:t>
      </w:r>
      <w:r>
        <w:rPr>
          <w:color w:val="222222"/>
          <w:sz w:val="22"/>
          <w:szCs w:val="22"/>
          <w:highlight w:val="white"/>
        </w:rPr>
        <w:t xml:space="preserve"> osobních údajů, tzv. GDPR</w:t>
      </w:r>
      <w:r>
        <w:rPr>
          <w:color w:val="222222"/>
          <w:sz w:val="22"/>
          <w:szCs w:val="22"/>
        </w:rPr>
        <w:t>)</w:t>
      </w:r>
      <w:r>
        <w:rPr>
          <w:sz w:val="22"/>
          <w:szCs w:val="22"/>
        </w:rPr>
        <w:t xml:space="preserve"> a tato ustanovení budou proto na základě ust. § 3 odst. 1 ZoRS, ve spojení s ust. § 8a a § 9 odst. 1 zákona č. 106/1999 Sb., o svobodném přístupu k informacím, zveřejňující smluvní stranou učiněna nečitelnými v rámci registru sm</w:t>
      </w:r>
      <w:r>
        <w:rPr>
          <w:sz w:val="22"/>
          <w:szCs w:val="22"/>
        </w:rPr>
        <w:t>luv:</w:t>
      </w:r>
    </w:p>
    <w:p w:rsidR="001D2ADC" w:rsidRDefault="001D2ADC">
      <w:pPr>
        <w:ind w:left="360" w:firstLine="0"/>
        <w:jc w:val="both"/>
        <w:rPr>
          <w:sz w:val="22"/>
          <w:szCs w:val="22"/>
        </w:rPr>
      </w:pPr>
    </w:p>
    <w:p w:rsidR="001D2ADC" w:rsidRDefault="00862AC2">
      <w:pPr>
        <w:numPr>
          <w:ilvl w:val="0"/>
          <w:numId w:val="1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Verdana" w:eastAsia="Verdana" w:hAnsi="Verdana" w:cs="Verdana"/>
          <w:sz w:val="22"/>
          <w:szCs w:val="22"/>
        </w:rPr>
      </w:pPr>
      <w:r>
        <w:rPr>
          <w:sz w:val="22"/>
          <w:szCs w:val="22"/>
          <w:highlight w:val="white"/>
        </w:rPr>
        <w:t>identifikace zástupců smluvních stran v hlavičce smlouvy a u podpisů v závěru smlouvy;</w:t>
      </w:r>
    </w:p>
    <w:p w:rsidR="001D2ADC" w:rsidRDefault="00862AC2">
      <w:pPr>
        <w:numPr>
          <w:ilvl w:val="0"/>
          <w:numId w:val="1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Verdana" w:eastAsia="Verdana" w:hAnsi="Verdana" w:cs="Verdana"/>
          <w:sz w:val="22"/>
          <w:szCs w:val="22"/>
        </w:rPr>
      </w:pPr>
      <w:r>
        <w:rPr>
          <w:sz w:val="22"/>
          <w:szCs w:val="22"/>
          <w:highlight w:val="white"/>
        </w:rPr>
        <w:t>identifikace Filmů v ust. čl. II. odst. 4;</w:t>
      </w:r>
    </w:p>
    <w:p w:rsidR="001D2ADC" w:rsidRDefault="00862AC2">
      <w:pPr>
        <w:numPr>
          <w:ilvl w:val="0"/>
          <w:numId w:val="1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Verdana" w:eastAsia="Verdana" w:hAnsi="Verdana" w:cs="Verdana"/>
          <w:sz w:val="22"/>
          <w:szCs w:val="22"/>
        </w:rPr>
      </w:pPr>
      <w:r>
        <w:rPr>
          <w:sz w:val="22"/>
          <w:szCs w:val="22"/>
          <w:highlight w:val="white"/>
        </w:rPr>
        <w:t>přesná identifikace rozsahu licence (včetně způsobů užití a ujednání o ne/výhradnosti udělovaných souhlasů) v ust. čl. I</w:t>
      </w:r>
      <w:r>
        <w:rPr>
          <w:sz w:val="22"/>
          <w:szCs w:val="22"/>
          <w:highlight w:val="white"/>
        </w:rPr>
        <w:t>II. odst. 1;</w:t>
      </w:r>
    </w:p>
    <w:p w:rsidR="001D2ADC" w:rsidRDefault="00862AC2">
      <w:pPr>
        <w:numPr>
          <w:ilvl w:val="0"/>
          <w:numId w:val="1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Verdana" w:eastAsia="Verdana" w:hAnsi="Verdana" w:cs="Verdana"/>
          <w:sz w:val="22"/>
          <w:szCs w:val="22"/>
        </w:rPr>
      </w:pPr>
      <w:r>
        <w:rPr>
          <w:sz w:val="22"/>
          <w:szCs w:val="22"/>
          <w:highlight w:val="white"/>
        </w:rPr>
        <w:t>určení maximální délky ukázek (částí Filmů), které je Nabyvatel oprávněn užít v jiných audiovizuálních dílech v ust. čl. III. odst. 1;</w:t>
      </w:r>
    </w:p>
    <w:p w:rsidR="001D2ADC" w:rsidRDefault="00862AC2">
      <w:pPr>
        <w:numPr>
          <w:ilvl w:val="0"/>
          <w:numId w:val="1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Verdana" w:eastAsia="Verdana" w:hAnsi="Verdana" w:cs="Verdana"/>
          <w:sz w:val="22"/>
          <w:szCs w:val="22"/>
        </w:rPr>
      </w:pPr>
      <w:r>
        <w:rPr>
          <w:sz w:val="22"/>
          <w:szCs w:val="22"/>
          <w:highlight w:val="white"/>
        </w:rPr>
        <w:t>informace o nositeli/vykonavateli autorských práv k Filmům (včetně příkladu uvedení takové informace) v ust.</w:t>
      </w:r>
      <w:r>
        <w:rPr>
          <w:sz w:val="22"/>
          <w:szCs w:val="22"/>
          <w:highlight w:val="white"/>
        </w:rPr>
        <w:t> čl. III. odst. 3;</w:t>
      </w:r>
    </w:p>
    <w:p w:rsidR="001D2ADC" w:rsidRDefault="00862AC2">
      <w:pPr>
        <w:numPr>
          <w:ilvl w:val="0"/>
          <w:numId w:val="1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Verdana" w:eastAsia="Verdana" w:hAnsi="Verdana" w:cs="Verdana"/>
          <w:sz w:val="22"/>
          <w:szCs w:val="22"/>
        </w:rPr>
      </w:pPr>
      <w:r>
        <w:rPr>
          <w:sz w:val="22"/>
          <w:szCs w:val="22"/>
          <w:highlight w:val="white"/>
        </w:rPr>
        <w:t>informace o tom, zda Nabyvatel je, nebo není oprávněn práva získaná touto smlouvou dále převádět v ust. čl. III. odst. 5;</w:t>
      </w:r>
    </w:p>
    <w:p w:rsidR="001D2ADC" w:rsidRDefault="00862AC2">
      <w:pPr>
        <w:numPr>
          <w:ilvl w:val="0"/>
          <w:numId w:val="1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Verdana" w:eastAsia="Verdana" w:hAnsi="Verdana" w:cs="Verdana"/>
          <w:sz w:val="22"/>
          <w:szCs w:val="22"/>
        </w:rPr>
      </w:pPr>
      <w:r>
        <w:rPr>
          <w:sz w:val="22"/>
          <w:szCs w:val="22"/>
          <w:highlight w:val="white"/>
        </w:rPr>
        <w:t>určení výše odměny v ust. čl. IV. odst. 1 (včetně všech dílčích částí celkové odměny i jednotlivých Filmů, za které</w:t>
      </w:r>
      <w:r>
        <w:rPr>
          <w:sz w:val="22"/>
          <w:szCs w:val="22"/>
          <w:highlight w:val="white"/>
        </w:rPr>
        <w:t xml:space="preserve"> jednotlivé odměny přísluší);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2"/>
          <w:szCs w:val="22"/>
        </w:rPr>
      </w:pP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VII.</w:t>
      </w: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Smluvní pokuta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2"/>
          <w:szCs w:val="22"/>
        </w:rPr>
      </w:pPr>
    </w:p>
    <w:p w:rsidR="001D2ADC" w:rsidRDefault="00862A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případě, že Nabyvatel překročí sjednaný rozsah licence k užití Filmů (např. rozsah věcný, časový, územní apod.) uvedený v čl. III. odst. 1 a násl., je povinen za každý jednotlivý případ takového porušení uhradit NFA smluvní pokutu ve výši 10</w:t>
      </w:r>
      <w:r>
        <w:rPr>
          <w:sz w:val="22"/>
          <w:szCs w:val="22"/>
        </w:rPr>
        <w:t>00</w:t>
      </w:r>
      <w:r>
        <w:rPr>
          <w:color w:val="000000"/>
          <w:sz w:val="22"/>
          <w:szCs w:val="22"/>
        </w:rPr>
        <w:t>0,- Kč, a d</w:t>
      </w:r>
      <w:r>
        <w:rPr>
          <w:color w:val="000000"/>
          <w:sz w:val="22"/>
          <w:szCs w:val="22"/>
        </w:rPr>
        <w:t>ále náhradu škody v plné výši.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p w:rsidR="001D2ADC" w:rsidRDefault="00862A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pokuta je splatná do 7 dnů od doručení výzvy k jejímu zaplacení Nabyvateli.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p w:rsidR="001D2ADC" w:rsidRDefault="00862A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 případě, kdy bude smluvní pokuta snížená soudem, zůstává zachováno právo na náhradu škody ve výši, v jaké škoda převyšuje částku určenou </w:t>
      </w:r>
      <w:r>
        <w:rPr>
          <w:color w:val="000000"/>
          <w:sz w:val="22"/>
          <w:szCs w:val="22"/>
        </w:rPr>
        <w:t>soudem jako přiměřenou, a to bez jakéhokoliv dalšího omezení.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left="283" w:firstLine="0"/>
        <w:jc w:val="both"/>
        <w:rPr>
          <w:sz w:val="22"/>
          <w:szCs w:val="22"/>
        </w:rPr>
      </w:pP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VIII.</w:t>
      </w:r>
    </w:p>
    <w:p w:rsidR="001D2ADC" w:rsidRDefault="00862AC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Závěrečná ustanovení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2"/>
          <w:szCs w:val="22"/>
        </w:rPr>
      </w:pPr>
    </w:p>
    <w:p w:rsidR="001D2ADC" w:rsidRDefault="00862A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se dohodly, že v případě, že Licenční smlouva uzavřená mezi NFA a Státním fondem kinematografie skončí z jakéhokoliv důvodu (ať již výpovědí, odstoupením od smlouvy, dohodou nebo jinak) dříve, než tato Podlicenční smlouva mezi NFA a Nabyvate</w:t>
      </w:r>
      <w:r>
        <w:rPr>
          <w:color w:val="000000"/>
          <w:sz w:val="22"/>
          <w:szCs w:val="22"/>
        </w:rPr>
        <w:t>lem, vstoupí ke dni následujícímu po zániku Licenční smlouvy do postavení NFA jakožto poskytovatele licence v rozsahu dle této Podlicenční smlouvy přímo Státní fond kinematografie a Státní fond kinematografie bude se stejnými časovými účinky ve vztahu k té</w:t>
      </w:r>
      <w:r>
        <w:rPr>
          <w:color w:val="000000"/>
          <w:sz w:val="22"/>
          <w:szCs w:val="22"/>
        </w:rPr>
        <w:t>to licenci inkasovat všechny dosud nezaplacené (ani NFA nefakturované) částky představující odměnu za licenci. Pro vyloučení pochybností smluvní strany prohlašují, že nastane-li situace předvídaná předchozí větou, Státní fond kinematografie vstoupí pouze d</w:t>
      </w:r>
      <w:r>
        <w:rPr>
          <w:color w:val="000000"/>
          <w:sz w:val="22"/>
          <w:szCs w:val="22"/>
        </w:rPr>
        <w:t>o těch ustanovení této Podlicenční smlouvy, které se týkají poskytnuté licence a práva na zaplacení odměny za její poskytnutí.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p w:rsidR="001D2ADC" w:rsidRDefault="00862A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Nabyvatel bere na vědomí a souhlasí s tím, že originál nebo stejnopis této Podlicenční smlouvy </w:t>
      </w:r>
      <w:r>
        <w:rPr>
          <w:sz w:val="22"/>
          <w:szCs w:val="22"/>
        </w:rPr>
        <w:t>může být kdykoliv za účinnosti i po skončení této smlouvy předán Státnímu fondu kinematografie.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left="283" w:firstLine="0"/>
        <w:jc w:val="both"/>
        <w:rPr>
          <w:sz w:val="22"/>
          <w:szCs w:val="22"/>
        </w:rPr>
      </w:pPr>
    </w:p>
    <w:p w:rsidR="001D2ADC" w:rsidRDefault="00862A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Tuto smlouvu lze vypovědět či od ní odstoupit pouze za podmínek stanovených v obecně závazných předpisech nebo v této smlouvě.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left="283" w:firstLine="0"/>
        <w:jc w:val="both"/>
        <w:rPr>
          <w:sz w:val="22"/>
          <w:szCs w:val="22"/>
        </w:rPr>
      </w:pPr>
    </w:p>
    <w:p w:rsidR="001D2ADC" w:rsidRDefault="00862A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Tato smlouva byla sepsána ve dv</w:t>
      </w:r>
      <w:r>
        <w:rPr>
          <w:sz w:val="22"/>
          <w:szCs w:val="22"/>
        </w:rPr>
        <w:t>ou vyhotoveních s platností originálu, z nichž každý z účastníků přijímá po jednom.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left="283" w:firstLine="0"/>
        <w:jc w:val="both"/>
        <w:rPr>
          <w:sz w:val="22"/>
          <w:szCs w:val="22"/>
        </w:rPr>
      </w:pPr>
    </w:p>
    <w:p w:rsidR="001D2ADC" w:rsidRDefault="00862A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Účastníci se zavazují, že v případě sporů o obsah a plnění této smlouvy vynaloží veškeré úsilí, které lze spravedlivě požadovat, k tomu, aby tyto spory byly vyřešeny smírn</w:t>
      </w:r>
      <w:r>
        <w:rPr>
          <w:sz w:val="22"/>
          <w:szCs w:val="22"/>
        </w:rPr>
        <w:t>ou cestou, zejména aby byly odstraněny okolnosti vedoucí ke vzniku práva od smlouvy odstoupit nebo způsobující její neplatnost.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left="283" w:firstLine="0"/>
        <w:jc w:val="both"/>
        <w:rPr>
          <w:sz w:val="22"/>
          <w:szCs w:val="22"/>
        </w:rPr>
      </w:pPr>
    </w:p>
    <w:p w:rsidR="001D2ADC" w:rsidRDefault="00862A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Pokud by se v důsledku změny právních předpisů nebo jiných důvodů stala některá ujednání této smlouvy neplatnými nebo neúčinným</w:t>
      </w:r>
      <w:r>
        <w:rPr>
          <w:sz w:val="22"/>
          <w:szCs w:val="22"/>
        </w:rPr>
        <w:t>i, budou tato ustanovení uvedena do souladu s právními normami a účastníci prohlašují, že smlouva je ve zbývajících ustanoveních platná, neodporuje-li to jejímu účelu nebo nejedná-li se o ustanovení, která oddělit nelze. Ukáže-li se některé z ustanovení té</w:t>
      </w:r>
      <w:r>
        <w:rPr>
          <w:sz w:val="22"/>
          <w:szCs w:val="22"/>
        </w:rPr>
        <w:t>to smlouvy zdánlivým (nicotným), posoudí se vliv této vady na ostatní ustanovení smlouvy obdobně podle § 576 občanského zákoníku.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left="283" w:firstLine="0"/>
        <w:jc w:val="both"/>
        <w:rPr>
          <w:sz w:val="22"/>
          <w:szCs w:val="22"/>
        </w:rPr>
      </w:pPr>
    </w:p>
    <w:p w:rsidR="001D2ADC" w:rsidRDefault="00862A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Tuto smlouvu je možné změnit pouze písemnou formou (za kterou se pro tento účel nepovažuje forma elektronické komunikace), přičemž podpisy zástupců obou stran musí být na téže listině.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left="283" w:firstLine="0"/>
        <w:jc w:val="both"/>
        <w:rPr>
          <w:sz w:val="22"/>
          <w:szCs w:val="22"/>
        </w:rPr>
      </w:pPr>
    </w:p>
    <w:p w:rsidR="001D2ADC" w:rsidRDefault="00862A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Obě smluvní strany prohlašují, že jim jakékoli závazky vůči třetím oso</w:t>
      </w:r>
      <w:r>
        <w:rPr>
          <w:sz w:val="22"/>
          <w:szCs w:val="22"/>
        </w:rPr>
        <w:t>bám nebrání v uzavření této smlouvy.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left="283" w:firstLine="0"/>
        <w:jc w:val="both"/>
        <w:rPr>
          <w:sz w:val="22"/>
          <w:szCs w:val="22"/>
        </w:rPr>
      </w:pPr>
    </w:p>
    <w:p w:rsidR="001D2ADC" w:rsidRDefault="00862A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</w:t>
      </w:r>
      <w:r>
        <w:rPr>
          <w:sz w:val="22"/>
          <w:szCs w:val="22"/>
        </w:rPr>
        <w:t>ání o této smlouvě ani projev učiněný po uzavření této smlouvy nesmí být vykládán v rozporu s výslovnými ustanoveními této smlouvy a nezakládá žádný závazek žádné ze stran.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left="283" w:firstLine="0"/>
        <w:jc w:val="both"/>
        <w:rPr>
          <w:sz w:val="22"/>
          <w:szCs w:val="22"/>
        </w:rPr>
      </w:pPr>
    </w:p>
    <w:p w:rsidR="001D2ADC" w:rsidRDefault="00862A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Strany si nepřejí, aby nad rámec výslovných ustanovení této smlouvy byla jakákoliv</w:t>
      </w:r>
      <w:r>
        <w:rPr>
          <w:sz w:val="22"/>
          <w:szCs w:val="22"/>
        </w:rPr>
        <w:t xml:space="preserve"> práva a povinnosti dovozována z dosavadní či budoucí praxe zavedené mezi stranami či zvyklostí zachovávaných obecně či v odvětví týkajícím se předmětu plnění této smlouvy, ledaže je ve smlouvě výslovně sjednáno jinak. Vedle shora uvedeného si strany potvr</w:t>
      </w:r>
      <w:r>
        <w:rPr>
          <w:sz w:val="22"/>
          <w:szCs w:val="22"/>
        </w:rPr>
        <w:t>zují, že si nejsou vědomy žádných dosud mezi nimi zavedených obchodních zvyklostí či praxe.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left="283" w:firstLine="0"/>
        <w:jc w:val="both"/>
        <w:rPr>
          <w:sz w:val="22"/>
          <w:szCs w:val="22"/>
        </w:rPr>
      </w:pPr>
    </w:p>
    <w:p w:rsidR="001D2ADC" w:rsidRDefault="00862A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Odpověď strany této smlouvy, podle § 1740 odst. 3 občanského zákoníku, s dodatkem nebo odchylkou, není přijetím nabídky na uzavření této smlouvy, ani když podstatn</w:t>
      </w:r>
      <w:r>
        <w:rPr>
          <w:sz w:val="22"/>
          <w:szCs w:val="22"/>
        </w:rPr>
        <w:t>ě nemění podmínky nabídky.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left="283" w:firstLine="0"/>
        <w:jc w:val="both"/>
        <w:rPr>
          <w:sz w:val="22"/>
          <w:szCs w:val="22"/>
        </w:rPr>
      </w:pPr>
    </w:p>
    <w:p w:rsidR="001D2ADC" w:rsidRDefault="00862A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Strany výslovně potvrzují, že základní podmínky této smlouvy jsou výsledkem jednání stran a každá ze stran měla příležitost ovlivnit obsah základních podmínek této smlouvy.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left="283" w:firstLine="0"/>
        <w:jc w:val="both"/>
        <w:rPr>
          <w:sz w:val="22"/>
          <w:szCs w:val="22"/>
        </w:rPr>
      </w:pPr>
    </w:p>
    <w:p w:rsidR="001D2ADC" w:rsidRDefault="00862A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Na důkaz porozumění a souhlasu s celým obsahem i jedno</w:t>
      </w:r>
      <w:r>
        <w:rPr>
          <w:sz w:val="22"/>
          <w:szCs w:val="22"/>
        </w:rPr>
        <w:t>tlivostmi této smlouvy připojují zde smluvní strany své podpisy</w:t>
      </w:r>
      <w:r>
        <w:rPr>
          <w:color w:val="000000"/>
          <w:sz w:val="22"/>
          <w:szCs w:val="22"/>
        </w:rPr>
        <w:t xml:space="preserve">: </w:t>
      </w:r>
    </w:p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2"/>
          <w:szCs w:val="22"/>
        </w:rPr>
      </w:pPr>
    </w:p>
    <w:tbl>
      <w:tblPr>
        <w:tblStyle w:val="a3"/>
        <w:tblW w:w="9024" w:type="dxa"/>
        <w:tblInd w:w="288" w:type="dxa"/>
        <w:tblLayout w:type="fixed"/>
        <w:tblLook w:val="0000"/>
      </w:tblPr>
      <w:tblGrid>
        <w:gridCol w:w="4494"/>
        <w:gridCol w:w="4530"/>
      </w:tblGrid>
      <w:tr w:rsidR="001D2ADC">
        <w:trPr>
          <w:cantSplit/>
          <w:tblHeader/>
        </w:trPr>
        <w:tc>
          <w:tcPr>
            <w:tcW w:w="4494" w:type="dxa"/>
          </w:tcPr>
          <w:p w:rsidR="001D2ADC" w:rsidRDefault="0086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5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 Praze dne</w:t>
            </w:r>
            <w:r w:rsidR="006C26E6">
              <w:rPr>
                <w:color w:val="000000"/>
                <w:sz w:val="22"/>
                <w:szCs w:val="22"/>
              </w:rPr>
              <w:t xml:space="preserve"> 2.1.2025</w:t>
            </w:r>
          </w:p>
          <w:p w:rsidR="001D2ADC" w:rsidRDefault="0086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5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NFA:</w:t>
            </w:r>
          </w:p>
          <w:p w:rsidR="001D2ADC" w:rsidRDefault="001D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5" w:hanging="2"/>
              <w:rPr>
                <w:color w:val="000000"/>
                <w:sz w:val="22"/>
                <w:szCs w:val="22"/>
              </w:rPr>
            </w:pPr>
          </w:p>
          <w:p w:rsidR="001D2ADC" w:rsidRDefault="001D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5" w:hanging="2"/>
              <w:rPr>
                <w:color w:val="000000"/>
                <w:sz w:val="22"/>
                <w:szCs w:val="22"/>
              </w:rPr>
            </w:pPr>
          </w:p>
          <w:p w:rsidR="001D2ADC" w:rsidRDefault="001D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5" w:hanging="2"/>
              <w:rPr>
                <w:color w:val="000000"/>
                <w:sz w:val="22"/>
                <w:szCs w:val="22"/>
              </w:rPr>
            </w:pPr>
          </w:p>
          <w:p w:rsidR="001D2ADC" w:rsidRDefault="0086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5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</w:t>
            </w:r>
          </w:p>
          <w:p w:rsidR="001D2ADC" w:rsidRDefault="0086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5" w:hanging="2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Národní filmový archiv</w:t>
            </w:r>
          </w:p>
          <w:p w:rsidR="001D2ADC" w:rsidRDefault="0086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5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D2ADC" w:rsidRDefault="0086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5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generální ředitel</w:t>
            </w:r>
          </w:p>
          <w:p w:rsidR="001D2ADC" w:rsidRDefault="001D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5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530" w:type="dxa"/>
          </w:tcPr>
          <w:p w:rsidR="001D2ADC" w:rsidRDefault="0086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5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 Praze dne</w:t>
            </w:r>
            <w:r w:rsidR="006C26E6">
              <w:rPr>
                <w:color w:val="000000"/>
                <w:sz w:val="22"/>
                <w:szCs w:val="22"/>
              </w:rPr>
              <w:t xml:space="preserve"> 31.12.2024</w:t>
            </w:r>
          </w:p>
          <w:p w:rsidR="001D2ADC" w:rsidRDefault="0086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5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Nabyvatel:</w:t>
            </w:r>
          </w:p>
          <w:p w:rsidR="001D2ADC" w:rsidRDefault="001D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5" w:hanging="2"/>
              <w:rPr>
                <w:color w:val="000000"/>
                <w:sz w:val="22"/>
                <w:szCs w:val="22"/>
              </w:rPr>
            </w:pPr>
          </w:p>
          <w:p w:rsidR="001D2ADC" w:rsidRDefault="001D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5" w:hanging="2"/>
              <w:rPr>
                <w:color w:val="000000"/>
                <w:sz w:val="22"/>
                <w:szCs w:val="22"/>
              </w:rPr>
            </w:pPr>
          </w:p>
          <w:p w:rsidR="001D2ADC" w:rsidRDefault="001D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5" w:hanging="2"/>
              <w:rPr>
                <w:color w:val="000000"/>
                <w:sz w:val="22"/>
                <w:szCs w:val="22"/>
              </w:rPr>
            </w:pPr>
          </w:p>
          <w:p w:rsidR="001D2ADC" w:rsidRDefault="0086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5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  <w:p w:rsidR="001D2ADC" w:rsidRDefault="00862AC2">
            <w:pPr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TV Nova s.r.o.</w:t>
            </w:r>
          </w:p>
          <w:p w:rsidR="001D2ADC" w:rsidRDefault="0086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5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</w:t>
            </w:r>
          </w:p>
          <w:p w:rsidR="001D2ADC" w:rsidRDefault="0086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5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šéfproducent</w:t>
            </w:r>
          </w:p>
        </w:tc>
      </w:tr>
    </w:tbl>
    <w:p w:rsidR="001D2ADC" w:rsidRDefault="001D2AD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sectPr w:rsidR="001D2ADC" w:rsidSect="001D2A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AC2" w:rsidRDefault="00862AC2" w:rsidP="001D2ADC">
      <w:r>
        <w:separator/>
      </w:r>
    </w:p>
  </w:endnote>
  <w:endnote w:type="continuationSeparator" w:id="1">
    <w:p w:rsidR="00862AC2" w:rsidRDefault="00862AC2" w:rsidP="001D2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DC" w:rsidRDefault="00862A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Stránka </w:t>
    </w:r>
    <w:r w:rsidR="001D2ADC"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6C26E6">
      <w:rPr>
        <w:color w:val="000000"/>
        <w:sz w:val="18"/>
        <w:szCs w:val="18"/>
      </w:rPr>
      <w:fldChar w:fldCharType="separate"/>
    </w:r>
    <w:r w:rsidR="006C26E6">
      <w:rPr>
        <w:noProof/>
        <w:color w:val="000000"/>
        <w:sz w:val="18"/>
        <w:szCs w:val="18"/>
      </w:rPr>
      <w:t>6</w:t>
    </w:r>
    <w:r w:rsidR="001D2ADC"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 w:rsidR="001D2ADC"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 w:rsidR="006C26E6">
      <w:rPr>
        <w:color w:val="000000"/>
        <w:sz w:val="18"/>
        <w:szCs w:val="18"/>
      </w:rPr>
      <w:fldChar w:fldCharType="separate"/>
    </w:r>
    <w:r w:rsidR="006C26E6">
      <w:rPr>
        <w:noProof/>
        <w:color w:val="000000"/>
        <w:sz w:val="18"/>
        <w:szCs w:val="18"/>
      </w:rPr>
      <w:t>6</w:t>
    </w:r>
    <w:r w:rsidR="001D2ADC"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AC2" w:rsidRDefault="00862AC2" w:rsidP="001D2ADC">
      <w:r>
        <w:separator/>
      </w:r>
    </w:p>
  </w:footnote>
  <w:footnote w:type="continuationSeparator" w:id="1">
    <w:p w:rsidR="00862AC2" w:rsidRDefault="00862AC2" w:rsidP="001D2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DC" w:rsidRDefault="00862AC2">
    <w:pPr>
      <w:rPr>
        <w:sz w:val="18"/>
        <w:szCs w:val="18"/>
      </w:rPr>
    </w:pPr>
    <w:r>
      <w:rPr>
        <w:sz w:val="18"/>
        <w:szCs w:val="18"/>
      </w:rPr>
      <w:t>Č. jedn: POH03350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CA5"/>
    <w:multiLevelType w:val="multilevel"/>
    <w:tmpl w:val="10E20078"/>
    <w:lvl w:ilvl="0">
      <w:start w:val="1"/>
      <w:numFmt w:val="decimal"/>
      <w:lvlText w:val="%1.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4450330"/>
    <w:multiLevelType w:val="multilevel"/>
    <w:tmpl w:val="E3EEDC38"/>
    <w:lvl w:ilvl="0">
      <w:start w:val="2"/>
      <w:numFmt w:val="bullet"/>
      <w:lvlText w:val="-"/>
      <w:lvlJc w:val="left"/>
      <w:pPr>
        <w:ind w:left="566" w:hanging="283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9CD2BC9"/>
    <w:multiLevelType w:val="multilevel"/>
    <w:tmpl w:val="D5AA7E9E"/>
    <w:lvl w:ilvl="0">
      <w:start w:val="6"/>
      <w:numFmt w:val="bullet"/>
      <w:lvlText w:val="-"/>
      <w:lvlJc w:val="left"/>
      <w:pPr>
        <w:ind w:left="708" w:hanging="360"/>
      </w:pPr>
      <w:rPr>
        <w:highlight w:val="white"/>
        <w:u w:val="none"/>
      </w:rPr>
    </w:lvl>
    <w:lvl w:ilvl="1">
      <w:start w:val="1"/>
      <w:numFmt w:val="bullet"/>
      <w:lvlText w:val="o"/>
      <w:lvlJc w:val="left"/>
      <w:pPr>
        <w:ind w:left="178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0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4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6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0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29" w:hanging="360"/>
      </w:pPr>
      <w:rPr>
        <w:u w:val="none"/>
      </w:rPr>
    </w:lvl>
  </w:abstractNum>
  <w:abstractNum w:abstractNumId="3">
    <w:nsid w:val="0FAE3EFA"/>
    <w:multiLevelType w:val="multilevel"/>
    <w:tmpl w:val="7B5E35F4"/>
    <w:lvl w:ilvl="0">
      <w:start w:val="1"/>
      <w:numFmt w:val="decimal"/>
      <w:lvlText w:val="%1."/>
      <w:lvlJc w:val="left"/>
      <w:pPr>
        <w:ind w:left="283" w:hanging="283"/>
      </w:pPr>
      <w:rPr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2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9060" w:hanging="1800"/>
      </w:pPr>
      <w:rPr>
        <w:vertAlign w:val="baseline"/>
      </w:rPr>
    </w:lvl>
  </w:abstractNum>
  <w:abstractNum w:abstractNumId="4">
    <w:nsid w:val="190E5BEA"/>
    <w:multiLevelType w:val="multilevel"/>
    <w:tmpl w:val="DC82EFCA"/>
    <w:lvl w:ilvl="0">
      <w:start w:val="1"/>
      <w:numFmt w:val="decimal"/>
      <w:lvlText w:val="%1."/>
      <w:lvlJc w:val="left"/>
      <w:pPr>
        <w:ind w:left="283" w:hanging="283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2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9060" w:hanging="1800"/>
      </w:pPr>
      <w:rPr>
        <w:vertAlign w:val="baseline"/>
      </w:rPr>
    </w:lvl>
  </w:abstractNum>
  <w:abstractNum w:abstractNumId="5">
    <w:nsid w:val="1FAF44DD"/>
    <w:multiLevelType w:val="multilevel"/>
    <w:tmpl w:val="82EE4E8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u w:val="non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726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9060" w:hanging="1800"/>
      </w:pPr>
      <w:rPr>
        <w:u w:val="none"/>
      </w:rPr>
    </w:lvl>
  </w:abstractNum>
  <w:abstractNum w:abstractNumId="6">
    <w:nsid w:val="21E45195"/>
    <w:multiLevelType w:val="multilevel"/>
    <w:tmpl w:val="2F727492"/>
    <w:lvl w:ilvl="0">
      <w:start w:val="1"/>
      <w:numFmt w:val="bullet"/>
      <w:lvlText w:val="■"/>
      <w:lvlJc w:val="left"/>
      <w:pPr>
        <w:ind w:left="1080" w:hanging="360"/>
      </w:pPr>
      <w:rPr>
        <w:color w:val="000000"/>
        <w:sz w:val="16"/>
        <w:szCs w:val="16"/>
        <w:highlight w:val="white"/>
      </w:rPr>
    </w:lvl>
    <w:lvl w:ilvl="1">
      <w:start w:val="1"/>
      <w:numFmt w:val="bullet"/>
      <w:lvlText w:val="-"/>
      <w:lvlJc w:val="left"/>
      <w:pPr>
        <w:ind w:left="1275" w:hanging="135"/>
      </w:pPr>
    </w:lvl>
    <w:lvl w:ilvl="2">
      <w:start w:val="1"/>
      <w:numFmt w:val="bullet"/>
      <w:lvlText w:val="■"/>
      <w:lvlJc w:val="left"/>
      <w:pPr>
        <w:ind w:left="2520" w:hanging="180"/>
      </w:pPr>
    </w:lvl>
    <w:lvl w:ilvl="3">
      <w:start w:val="1"/>
      <w:numFmt w:val="bullet"/>
      <w:lvlText w:val="●"/>
      <w:lvlJc w:val="left"/>
      <w:pPr>
        <w:ind w:left="3240" w:hanging="360"/>
      </w:pPr>
    </w:lvl>
    <w:lvl w:ilvl="4">
      <w:start w:val="1"/>
      <w:numFmt w:val="bullet"/>
      <w:lvlText w:val="○"/>
      <w:lvlJc w:val="left"/>
      <w:pPr>
        <w:ind w:left="3960" w:hanging="360"/>
      </w:pPr>
    </w:lvl>
    <w:lvl w:ilvl="5">
      <w:start w:val="1"/>
      <w:numFmt w:val="bullet"/>
      <w:lvlText w:val="■"/>
      <w:lvlJc w:val="left"/>
      <w:pPr>
        <w:ind w:left="4680" w:hanging="180"/>
      </w:pPr>
    </w:lvl>
    <w:lvl w:ilvl="6">
      <w:start w:val="1"/>
      <w:numFmt w:val="bullet"/>
      <w:lvlText w:val="●"/>
      <w:lvlJc w:val="left"/>
      <w:pPr>
        <w:ind w:left="5400" w:hanging="360"/>
      </w:pPr>
    </w:lvl>
    <w:lvl w:ilvl="7">
      <w:start w:val="1"/>
      <w:numFmt w:val="bullet"/>
      <w:lvlText w:val="○"/>
      <w:lvlJc w:val="left"/>
      <w:pPr>
        <w:ind w:left="6120" w:hanging="360"/>
      </w:pPr>
    </w:lvl>
    <w:lvl w:ilvl="8">
      <w:start w:val="1"/>
      <w:numFmt w:val="bullet"/>
      <w:lvlText w:val="■"/>
      <w:lvlJc w:val="left"/>
      <w:pPr>
        <w:ind w:left="6840" w:hanging="180"/>
      </w:pPr>
    </w:lvl>
  </w:abstractNum>
  <w:abstractNum w:abstractNumId="7">
    <w:nsid w:val="2EDC7999"/>
    <w:multiLevelType w:val="multilevel"/>
    <w:tmpl w:val="4E127CCE"/>
    <w:lvl w:ilvl="0">
      <w:start w:val="1"/>
      <w:numFmt w:val="decimal"/>
      <w:lvlText w:val="%1."/>
      <w:lvlJc w:val="left"/>
      <w:pPr>
        <w:ind w:left="283" w:hanging="28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566" w:hanging="283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nsid w:val="40FE0599"/>
    <w:multiLevelType w:val="multilevel"/>
    <w:tmpl w:val="EC2E2672"/>
    <w:lvl w:ilvl="0">
      <w:start w:val="1"/>
      <w:numFmt w:val="decimal"/>
      <w:lvlText w:val="%1."/>
      <w:lvlJc w:val="left"/>
      <w:pPr>
        <w:ind w:left="283" w:hanging="28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531479B9"/>
    <w:multiLevelType w:val="multilevel"/>
    <w:tmpl w:val="1A0229F4"/>
    <w:lvl w:ilvl="0">
      <w:start w:val="1"/>
      <w:numFmt w:val="bullet"/>
      <w:lvlText w:val="●"/>
      <w:lvlJc w:val="left"/>
      <w:pPr>
        <w:ind w:left="566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51E7DB6"/>
    <w:multiLevelType w:val="multilevel"/>
    <w:tmpl w:val="E5EAE8C2"/>
    <w:lvl w:ilvl="0">
      <w:start w:val="1"/>
      <w:numFmt w:val="decimal"/>
      <w:lvlText w:val="%1."/>
      <w:lvlJc w:val="left"/>
      <w:pPr>
        <w:ind w:left="283" w:hanging="283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2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9060" w:hanging="1800"/>
      </w:pPr>
      <w:rPr>
        <w:vertAlign w:val="baseline"/>
      </w:rPr>
    </w:lvl>
  </w:abstractNum>
  <w:abstractNum w:abstractNumId="11">
    <w:nsid w:val="6D22115F"/>
    <w:multiLevelType w:val="multilevel"/>
    <w:tmpl w:val="49024192"/>
    <w:lvl w:ilvl="0">
      <w:start w:val="1"/>
      <w:numFmt w:val="bullet"/>
      <w:lvlText w:val="●"/>
      <w:lvlJc w:val="left"/>
      <w:pPr>
        <w:ind w:left="566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ADC"/>
    <w:rsid w:val="001D2ADC"/>
    <w:rsid w:val="006C26E6"/>
    <w:rsid w:val="0086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2ADC"/>
  </w:style>
  <w:style w:type="paragraph" w:styleId="Nadpis1">
    <w:name w:val="heading 1"/>
    <w:basedOn w:val="Normln"/>
    <w:next w:val="Normln"/>
    <w:uiPriority w:val="9"/>
    <w:qFormat/>
    <w:rsid w:val="001D2ADC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1D2A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1D2A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1D2ADC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1D2A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1D2A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1D2ADC"/>
  </w:style>
  <w:style w:type="table" w:customStyle="1" w:styleId="TableNormal">
    <w:name w:val="Table Normal"/>
    <w:rsid w:val="001D2A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1D2AD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1D2ADC"/>
  </w:style>
  <w:style w:type="table" w:customStyle="1" w:styleId="TableNormal0">
    <w:name w:val="Table Normal"/>
    <w:rsid w:val="001D2AD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D2AD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1D2AD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1D2A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al0"/>
    <w:next w:val="normal0"/>
    <w:rsid w:val="001D2AD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1D2A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rsid w:val="001D2A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9F3972"/>
    <w:pPr>
      <w:ind w:firstLine="0"/>
    </w:pPr>
  </w:style>
  <w:style w:type="paragraph" w:styleId="Odstavecseseznamem">
    <w:name w:val="List Paragraph"/>
    <w:basedOn w:val="Normln"/>
    <w:uiPriority w:val="34"/>
    <w:qFormat/>
    <w:rsid w:val="00314033"/>
    <w:pPr>
      <w:ind w:left="720"/>
      <w:contextualSpacing/>
    </w:pPr>
  </w:style>
  <w:style w:type="table" w:customStyle="1" w:styleId="a1">
    <w:basedOn w:val="TableNormal2"/>
    <w:rsid w:val="001D2A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unhideWhenUsed/>
    <w:rsid w:val="001D2A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D2AD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D2AD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D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D20"/>
    <w:rPr>
      <w:b/>
      <w:bCs/>
      <w:sz w:val="20"/>
      <w:szCs w:val="20"/>
    </w:rPr>
  </w:style>
  <w:style w:type="table" w:customStyle="1" w:styleId="a2">
    <w:basedOn w:val="TableNormal1"/>
    <w:rsid w:val="001D2A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1D2A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VMSWTH08egqutaJt9f1Bsq2aUA==">CgMxLjAyCGguZ2pkZ3hzOAByITFGNFNVMG9fWFBGNGlraFpkVlhmSWl1QzBIbnNIekliZA==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2097</Words>
  <Characters>12373</Characters>
  <Application>Microsoft Office Word</Application>
  <DocSecurity>0</DocSecurity>
  <Lines>103</Lines>
  <Paragraphs>28</Paragraphs>
  <ScaleCrop>false</ScaleCrop>
  <Company/>
  <LinksUpToDate>false</LinksUpToDate>
  <CharactersWithSpaces>14442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Lejčarová Jana</dc:creator>
  <cp:lastModifiedBy>Stastna</cp:lastModifiedBy>
  <cp:revision>2</cp:revision>
  <dcterms:created xsi:type="dcterms:W3CDTF">2024-12-27T11:57:00Z</dcterms:created>
  <dcterms:modified xsi:type="dcterms:W3CDTF">2025-01-07T09:49:00Z</dcterms:modified>
</cp:coreProperties>
</file>