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Dohoda smluvních stran o narovnání smluvního vztahu, vzájemném vypořádání a</w:t>
        <w:br/>
        <w:t>ukončení SOD v rozpracovanosti</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uzavřením dodatku č. 3 k SOD č. 152/2019 pro akci</w:t>
      </w:r>
    </w:p>
    <w:p>
      <w:pPr>
        <w:pStyle w:val="Style2"/>
        <w:keepNext w:val="0"/>
        <w:keepLines w:val="0"/>
        <w:widowControl w:val="0"/>
        <w:shd w:val="clear" w:color="auto" w:fill="auto"/>
        <w:bidi w:val="0"/>
        <w:spacing w:before="0" w:after="0" w:line="240" w:lineRule="auto"/>
        <w:ind w:left="0" w:right="0" w:firstLine="0"/>
        <w:jc w:val="center"/>
      </w:pPr>
      <w:bookmarkStart w:id="0" w:name="bookmark0"/>
      <w:bookmarkStart w:id="1" w:name="bookmark1"/>
      <w:r>
        <w:rPr>
          <w:b/>
          <w:bCs/>
          <w:color w:val="000000"/>
          <w:spacing w:val="0"/>
          <w:w w:val="100"/>
          <w:position w:val="0"/>
          <w:shd w:val="clear" w:color="auto" w:fill="auto"/>
          <w:lang w:val="cs-CZ" w:eastAsia="cs-CZ" w:bidi="cs-CZ"/>
        </w:rPr>
        <w:t>“Suchá nádrž Dubnice - Ještědský potok - aktualizace DÚR”</w:t>
        <w:br/>
        <w:t>projektová dokumentace “</w:t>
      </w:r>
      <w:bookmarkEnd w:id="0"/>
      <w:bookmarkEnd w:id="1"/>
    </w:p>
    <w:p>
      <w:pPr>
        <w:widowControl w:val="0"/>
        <w:spacing w:line="1" w:lineRule="exact"/>
      </w:pPr>
      <w:r>
        <mc:AlternateContent>
          <mc:Choice Requires="wps">
            <w:drawing>
              <wp:anchor distT="342900" distB="0" distL="0" distR="0" simplePos="0" relativeHeight="125829378" behindDoc="0" locked="0" layoutInCell="1" allowOverlap="1">
                <wp:simplePos x="0" y="0"/>
                <wp:positionH relativeFrom="page">
                  <wp:posOffset>885190</wp:posOffset>
                </wp:positionH>
                <wp:positionV relativeFrom="paragraph">
                  <wp:posOffset>342900</wp:posOffset>
                </wp:positionV>
                <wp:extent cx="2231390" cy="2810510"/>
                <wp:wrapTopAndBottom/>
                <wp:docPr id="1" name="Shape 1"/>
                <a:graphic xmlns:a="http://schemas.openxmlformats.org/drawingml/2006/main">
                  <a:graphicData uri="http://schemas.microsoft.com/office/word/2010/wordprocessingShape">
                    <wps:wsp>
                      <wps:cNvSpPr txBox="1"/>
                      <wps:spPr>
                        <a:xfrm>
                          <a:ext cx="2231390" cy="2810510"/>
                        </a:xfrm>
                        <a:prstGeom prst="rect"/>
                        <a:noFill/>
                      </wps:spPr>
                      <wps:txbx>
                        <w:txbxContent>
                          <w:p>
                            <w:pPr>
                              <w:pStyle w:val="Style2"/>
                              <w:keepNext w:val="0"/>
                              <w:keepLines w:val="0"/>
                              <w:widowControl w:val="0"/>
                              <w:shd w:val="clear" w:color="auto" w:fill="auto"/>
                              <w:bidi w:val="0"/>
                              <w:spacing w:before="0" w:after="260" w:line="276" w:lineRule="auto"/>
                              <w:ind w:left="0" w:right="0" w:firstLine="0"/>
                              <w:jc w:val="both"/>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76" w:lineRule="auto"/>
                              <w:ind w:left="0" w:right="0" w:firstLine="0"/>
                              <w:jc w:val="both"/>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260" w:line="276" w:lineRule="auto"/>
                              <w:ind w:left="0" w:right="0" w:firstLine="0"/>
                              <w:jc w:val="both"/>
                            </w:pPr>
                            <w:r>
                              <w:rPr>
                                <w:b/>
                                <w:bCs/>
                                <w:color w:val="000000"/>
                                <w:spacing w:val="0"/>
                                <w:w w:val="100"/>
                                <w:position w:val="0"/>
                                <w:shd w:val="clear" w:color="auto" w:fill="auto"/>
                                <w:lang w:val="cs-CZ" w:eastAsia="cs-CZ" w:bidi="cs-CZ"/>
                              </w:rPr>
                              <w:t>DIČ: statutární orgán: zástupce ve věcech smluvních: zástupce ve věcech technických:</w:t>
                            </w:r>
                          </w:p>
                          <w:p>
                            <w:pPr>
                              <w:pStyle w:val="Style2"/>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260" w:line="276" w:lineRule="auto"/>
                              <w:ind w:left="0" w:right="0" w:firstLine="0"/>
                              <w:jc w:val="both"/>
                            </w:pPr>
                            <w:r>
                              <w:rPr>
                                <w:color w:val="000000"/>
                                <w:spacing w:val="0"/>
                                <w:w w:val="100"/>
                                <w:position w:val="0"/>
                                <w:shd w:val="clear" w:color="auto" w:fill="auto"/>
                                <w:lang w:val="cs-CZ" w:eastAsia="cs-CZ" w:bidi="cs-CZ"/>
                              </w:rPr>
                              <w:t>DIČ: bankovní spojení: číslo účtu: zápis v obchodním rejstříku:</w:t>
                            </w:r>
                          </w:p>
                          <w:p>
                            <w:pPr>
                              <w:pStyle w:val="Style2"/>
                              <w:keepNext w:val="0"/>
                              <w:keepLines w:val="0"/>
                              <w:widowControl w:val="0"/>
                              <w:shd w:val="clear" w:color="auto" w:fill="auto"/>
                              <w:bidi w:val="0"/>
                              <w:spacing w:before="0" w:after="260" w:line="276" w:lineRule="auto"/>
                              <w:ind w:left="0" w:right="0" w:firstLine="0"/>
                              <w:jc w:val="both"/>
                            </w:pPr>
                            <w:r>
                              <w:rPr>
                                <w:color w:val="000000"/>
                                <w:spacing w:val="0"/>
                                <w:w w:val="100"/>
                                <w:position w:val="0"/>
                                <w:shd w:val="clear" w:color="auto" w:fill="auto"/>
                                <w:lang w:val="cs-CZ" w:eastAsia="cs-CZ" w:bidi="cs-CZ"/>
                              </w:rPr>
                              <w:t>zástupce objednatele: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27.pt;width:175.70000000000002pt;height:221.30000000000001pt;z-index:-125829375;mso-wrap-distance-left:0;mso-wrap-distance-top:27.pt;mso-wrap-distance-right:0;mso-position-horizontal-relative:page" filled="f" stroked="f">
                <v:textbox inset="0,0,0,0">
                  <w:txbxContent>
                    <w:p>
                      <w:pPr>
                        <w:pStyle w:val="Style2"/>
                        <w:keepNext w:val="0"/>
                        <w:keepLines w:val="0"/>
                        <w:widowControl w:val="0"/>
                        <w:shd w:val="clear" w:color="auto" w:fill="auto"/>
                        <w:bidi w:val="0"/>
                        <w:spacing w:before="0" w:after="260" w:line="276" w:lineRule="auto"/>
                        <w:ind w:left="0" w:right="0" w:firstLine="0"/>
                        <w:jc w:val="both"/>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76" w:lineRule="auto"/>
                        <w:ind w:left="0" w:right="0" w:firstLine="0"/>
                        <w:jc w:val="both"/>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260" w:line="276" w:lineRule="auto"/>
                        <w:ind w:left="0" w:right="0" w:firstLine="0"/>
                        <w:jc w:val="both"/>
                      </w:pPr>
                      <w:r>
                        <w:rPr>
                          <w:b/>
                          <w:bCs/>
                          <w:color w:val="000000"/>
                          <w:spacing w:val="0"/>
                          <w:w w:val="100"/>
                          <w:position w:val="0"/>
                          <w:shd w:val="clear" w:color="auto" w:fill="auto"/>
                          <w:lang w:val="cs-CZ" w:eastAsia="cs-CZ" w:bidi="cs-CZ"/>
                        </w:rPr>
                        <w:t>DIČ: statutární orgán: zástupce ve věcech smluvních: zástupce ve věcech technických:</w:t>
                      </w:r>
                    </w:p>
                    <w:p>
                      <w:pPr>
                        <w:pStyle w:val="Style2"/>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260" w:line="276" w:lineRule="auto"/>
                        <w:ind w:left="0" w:right="0" w:firstLine="0"/>
                        <w:jc w:val="both"/>
                      </w:pPr>
                      <w:r>
                        <w:rPr>
                          <w:color w:val="000000"/>
                          <w:spacing w:val="0"/>
                          <w:w w:val="100"/>
                          <w:position w:val="0"/>
                          <w:shd w:val="clear" w:color="auto" w:fill="auto"/>
                          <w:lang w:val="cs-CZ" w:eastAsia="cs-CZ" w:bidi="cs-CZ"/>
                        </w:rPr>
                        <w:t>DIČ: bankovní spojení: číslo účtu: zápis v obchodním rejstříku:</w:t>
                      </w:r>
                    </w:p>
                    <w:p>
                      <w:pPr>
                        <w:pStyle w:val="Style2"/>
                        <w:keepNext w:val="0"/>
                        <w:keepLines w:val="0"/>
                        <w:widowControl w:val="0"/>
                        <w:shd w:val="clear" w:color="auto" w:fill="auto"/>
                        <w:bidi w:val="0"/>
                        <w:spacing w:before="0" w:after="260" w:line="276" w:lineRule="auto"/>
                        <w:ind w:left="0" w:right="0" w:firstLine="0"/>
                        <w:jc w:val="both"/>
                      </w:pPr>
                      <w:r>
                        <w:rPr>
                          <w:color w:val="000000"/>
                          <w:spacing w:val="0"/>
                          <w:w w:val="100"/>
                          <w:position w:val="0"/>
                          <w:shd w:val="clear" w:color="auto" w:fill="auto"/>
                          <w:lang w:val="cs-CZ" w:eastAsia="cs-CZ" w:bidi="cs-CZ"/>
                        </w:rPr>
                        <w:t>zástupce objednatele:</w:t>
                      </w:r>
                    </w:p>
                  </w:txbxContent>
                </v:textbox>
                <w10:wrap type="topAndBottom" anchorx="page"/>
              </v:shape>
            </w:pict>
          </mc:Fallback>
        </mc:AlternateContent>
      </w:r>
      <w:r>
        <mc:AlternateContent>
          <mc:Choice Requires="wps">
            <w:drawing>
              <wp:anchor distT="342900" distB="2026920" distL="0" distR="0" simplePos="0" relativeHeight="125829380" behindDoc="0" locked="0" layoutInCell="1" allowOverlap="1">
                <wp:simplePos x="0" y="0"/>
                <wp:positionH relativeFrom="page">
                  <wp:posOffset>3399790</wp:posOffset>
                </wp:positionH>
                <wp:positionV relativeFrom="paragraph">
                  <wp:posOffset>342900</wp:posOffset>
                </wp:positionV>
                <wp:extent cx="2225040" cy="783590"/>
                <wp:wrapTopAndBottom/>
                <wp:docPr id="3" name="Shape 3"/>
                <a:graphic xmlns:a="http://schemas.openxmlformats.org/drawingml/2006/main">
                  <a:graphicData uri="http://schemas.microsoft.com/office/word/2010/wordprocessingShape">
                    <wps:wsp>
                      <wps:cNvSpPr txBox="1"/>
                      <wps:spPr>
                        <a:xfrm>
                          <a:ext cx="2225040" cy="783590"/>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29" type="#_x0000_t202" style="position:absolute;margin-left:267.69999999999999pt;margin-top:27.pt;width:175.20000000000002pt;height:61.700000000000003pt;z-index:-125829373;mso-wrap-distance-left:0;mso-wrap-distance-top:27.pt;mso-wrap-distance-right:0;mso-wrap-distance-bottom:159.59999999999999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r>
        <mc:AlternateContent>
          <mc:Choice Requires="wps">
            <w:drawing>
              <wp:anchor distT="1836420" distB="929640" distL="0" distR="0" simplePos="0" relativeHeight="125829382" behindDoc="0" locked="0" layoutInCell="1" allowOverlap="1">
                <wp:simplePos x="0" y="0"/>
                <wp:positionH relativeFrom="page">
                  <wp:posOffset>3418205</wp:posOffset>
                </wp:positionH>
                <wp:positionV relativeFrom="paragraph">
                  <wp:posOffset>1836420</wp:posOffset>
                </wp:positionV>
                <wp:extent cx="816610" cy="387350"/>
                <wp:wrapTopAndBottom/>
                <wp:docPr id="5" name="Shape 5"/>
                <a:graphic xmlns:a="http://schemas.openxmlformats.org/drawingml/2006/main">
                  <a:graphicData uri="http://schemas.microsoft.com/office/word/2010/wordprocessingShape">
                    <wps:wsp>
                      <wps:cNvSpPr txBox="1"/>
                      <wps:spPr>
                        <a:xfrm>
                          <a:ext cx="816610"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wps:txbx>
                      <wps:bodyPr lIns="0" tIns="0" rIns="0" bIns="0">
                        <a:noAutoFit/>
                      </wps:bodyPr>
                    </wps:wsp>
                  </a:graphicData>
                </a:graphic>
              </wp:anchor>
            </w:drawing>
          </mc:Choice>
          <mc:Fallback>
            <w:pict>
              <v:shape id="_x0000_s1031" type="#_x0000_t202" style="position:absolute;margin-left:269.14999999999998pt;margin-top:144.59999999999999pt;width:64.299999999999997pt;height:30.5pt;z-index:-125829371;mso-wrap-distance-left:0;mso-wrap-distance-top:144.59999999999999pt;mso-wrap-distance-right:0;mso-wrap-distance-bottom:73.2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txbxContent>
                </v:textbox>
                <w10:wrap type="topAndBottom" anchorx="page"/>
              </v:shape>
            </w:pict>
          </mc:Fallback>
        </mc:AlternateContent>
      </w:r>
      <w:r>
        <mc:AlternateContent>
          <mc:Choice Requires="wps">
            <w:drawing>
              <wp:anchor distT="2552700" distB="186055" distL="0" distR="0" simplePos="0" relativeHeight="125829384" behindDoc="0" locked="0" layoutInCell="1" allowOverlap="1">
                <wp:simplePos x="0" y="0"/>
                <wp:positionH relativeFrom="page">
                  <wp:posOffset>3399790</wp:posOffset>
                </wp:positionH>
                <wp:positionV relativeFrom="paragraph">
                  <wp:posOffset>2552700</wp:posOffset>
                </wp:positionV>
                <wp:extent cx="2953385" cy="414655"/>
                <wp:wrapTopAndBottom/>
                <wp:docPr id="7" name="Shape 7"/>
                <a:graphic xmlns:a="http://schemas.openxmlformats.org/drawingml/2006/main">
                  <a:graphicData uri="http://schemas.microsoft.com/office/word/2010/wordprocessingShape">
                    <wps:wsp>
                      <wps:cNvSpPr txBox="1"/>
                      <wps:spPr>
                        <a:xfrm>
                          <a:ext cx="2953385" cy="414655"/>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wps:txbx>
                      <wps:bodyPr lIns="0" tIns="0" rIns="0" bIns="0">
                        <a:noAutoFit/>
                      </wps:bodyPr>
                    </wps:wsp>
                  </a:graphicData>
                </a:graphic>
              </wp:anchor>
            </w:drawing>
          </mc:Choice>
          <mc:Fallback>
            <w:pict>
              <v:shape id="_x0000_s1033" type="#_x0000_t202" style="position:absolute;margin-left:267.69999999999999pt;margin-top:201.pt;width:232.55000000000001pt;height:32.649999999999999pt;z-index:-125829369;mso-wrap-distance-left:0;mso-wrap-distance-top:201.pt;mso-wrap-distance-right:0;mso-wrap-distance-bottom:14.65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Krajský soud v Ústí nad Labem, oddíl A, vložka 13052.</w:t>
                      </w:r>
                    </w:p>
                  </w:txbxContent>
                </v:textbox>
                <w10:wrap type="topAndBottom" anchorx="page"/>
              </v:shape>
            </w:pict>
          </mc:Fallback>
        </mc:AlternateContent>
      </w:r>
    </w:p>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(dále jen „objednatel“) na straně jedné a</w:t>
      </w:r>
    </w:p>
    <w:tbl>
      <w:tblPr>
        <w:tblOverlap w:val="never"/>
        <w:jc w:val="center"/>
        <w:tblLayout w:type="fixed"/>
      </w:tblPr>
      <w:tblGrid>
        <w:gridCol w:w="3734"/>
        <w:gridCol w:w="5395"/>
      </w:tblGrid>
      <w:tr>
        <w:trPr>
          <w:trHeight w:val="595"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Vodohospodářský rozvoj a výstavba a.s.</w:t>
            </w:r>
          </w:p>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150 56 Praha 5 – Smíchov, Nábřežní 4</w:t>
            </w:r>
          </w:p>
        </w:tc>
      </w:tr>
      <w:tr>
        <w:trPr>
          <w:trHeight w:val="2462"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11"/>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cs-CZ" w:eastAsia="cs-CZ" w:bidi="cs-CZ"/>
              </w:rPr>
              <w:t>DIČ: statutární orgán:</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47 11 69 01</w:t>
            </w:r>
          </w:p>
          <w:p>
            <w:pPr>
              <w:pStyle w:val="Style11"/>
              <w:keepNext w:val="0"/>
              <w:keepLines w:val="0"/>
              <w:widowControl w:val="0"/>
              <w:shd w:val="clear" w:color="auto" w:fill="auto"/>
              <w:bidi w:val="0"/>
              <w:spacing w:before="0" w:after="560" w:line="240" w:lineRule="auto"/>
              <w:ind w:left="0" w:right="0" w:firstLine="240"/>
              <w:jc w:val="left"/>
            </w:pPr>
            <w:r>
              <w:rPr>
                <w:color w:val="000000"/>
                <w:spacing w:val="0"/>
                <w:w w:val="100"/>
                <w:position w:val="0"/>
                <w:shd w:val="clear" w:color="auto" w:fill="auto"/>
                <w:lang w:val="cs-CZ" w:eastAsia="cs-CZ" w:bidi="cs-CZ"/>
              </w:rPr>
              <w:t>CZ47116901</w:t>
            </w:r>
          </w:p>
          <w:p>
            <w:pPr>
              <w:pStyle w:val="Style11"/>
              <w:keepNext w:val="0"/>
              <w:keepLines w:val="0"/>
              <w:widowControl w:val="0"/>
              <w:shd w:val="clear" w:color="auto" w:fill="auto"/>
              <w:bidi w:val="0"/>
              <w:spacing w:before="0" w:after="0" w:line="276" w:lineRule="auto"/>
              <w:ind w:left="240" w:right="0" w:firstLine="0"/>
              <w:jc w:val="both"/>
            </w:pPr>
            <w:r>
              <w:rPr>
                <w:color w:val="2F2F2F"/>
                <w:spacing w:val="0"/>
                <w:w w:val="100"/>
                <w:position w:val="0"/>
                <w:shd w:val="clear" w:color="auto" w:fill="auto"/>
                <w:lang w:val="cs-CZ" w:eastAsia="cs-CZ" w:bidi="cs-CZ"/>
              </w:rPr>
              <w:t>Za společnost jednají vždy dva členové představenstva společně. Kdo za společnost podepisuje, připojí k obchodní firmě společnosti svůj podpis, popřípadě i údaj o své funkci</w:t>
            </w:r>
          </w:p>
        </w:tc>
      </w:tr>
    </w:tbl>
    <w:p>
      <w:pPr>
        <w:widowControl w:val="0"/>
        <w:spacing w:after="9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zástupce ve věcech smluvních:</w:t>
      </w:r>
    </w:p>
    <w:tbl>
      <w:tblPr>
        <w:tblOverlap w:val="never"/>
        <w:jc w:val="center"/>
        <w:tblLayout w:type="fixed"/>
      </w:tblPr>
      <w:tblGrid>
        <w:gridCol w:w="3734"/>
        <w:gridCol w:w="5390"/>
      </w:tblGrid>
      <w:tr>
        <w:trPr>
          <w:trHeight w:val="830" w:hRule="exact"/>
        </w:trPr>
        <w:tc>
          <w:tcPr>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zástupce ve věcech technických:</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ředitel divize 06</w:t>
            </w:r>
          </w:p>
        </w:tc>
      </w:tr>
    </w:tbl>
    <w:p>
      <w:pPr>
        <w:widowControl w:val="0"/>
        <w:spacing w:after="539" w:line="1" w:lineRule="exact"/>
      </w:pPr>
    </w:p>
    <w:p>
      <w:pPr>
        <w:pStyle w:val="Style2"/>
        <w:keepNext w:val="0"/>
        <w:keepLines w:val="0"/>
        <w:widowControl w:val="0"/>
        <w:shd w:val="clear" w:color="auto" w:fill="auto"/>
        <w:bidi w:val="0"/>
        <w:spacing w:before="0" w:after="320" w:line="276" w:lineRule="auto"/>
        <w:ind w:left="0" w:right="0" w:firstLine="0"/>
        <w:jc w:val="left"/>
        <w:sectPr>
          <w:headerReference w:type="default" r:id="rId5"/>
          <w:footerReference w:type="default" r:id="rId6"/>
          <w:footnotePr>
            <w:pos w:val="pageBottom"/>
            <w:numFmt w:val="decimal"/>
            <w:numRestart w:val="continuous"/>
          </w:footnotePr>
          <w:pgSz w:w="11909" w:h="16838"/>
          <w:pgMar w:top="1387" w:left="1394" w:right="1384" w:bottom="2131" w:header="0" w:footer="3" w:gutter="0"/>
          <w:pgNumType w:start="1"/>
          <w:cols w:space="720"/>
          <w:noEndnote/>
          <w:rtlGutter w:val="0"/>
          <w:docGrid w:linePitch="360"/>
        </w:sectPr>
      </w:pPr>
      <w:r>
        <w:rPr>
          <w:b/>
          <w:bCs/>
          <w:color w:val="000000"/>
          <w:spacing w:val="0"/>
          <w:w w:val="100"/>
          <w:position w:val="0"/>
          <w:shd w:val="clear" w:color="auto" w:fill="auto"/>
          <w:lang w:val="cs-CZ" w:eastAsia="cs-CZ" w:bidi="cs-CZ"/>
        </w:rPr>
        <w:t>bankovní spojení: číslo účtu:</w:t>
      </w:r>
    </w:p>
    <w:p>
      <w:pPr>
        <w:pStyle w:val="Style2"/>
        <w:keepNext w:val="0"/>
        <w:keepLines w:val="0"/>
        <w:widowControl w:val="0"/>
        <w:shd w:val="clear" w:color="auto" w:fill="auto"/>
        <w:bidi w:val="0"/>
        <w:spacing w:before="0" w:after="0" w:line="331" w:lineRule="auto"/>
        <w:ind w:left="0" w:right="0" w:firstLine="8600"/>
        <w:jc w:val="both"/>
      </w:pPr>
      <w:r>
        <w:rPr>
          <w:color w:val="000000"/>
          <w:spacing w:val="0"/>
          <w:w w:val="100"/>
          <w:position w:val="0"/>
          <w:sz w:val="20"/>
          <w:szCs w:val="20"/>
          <w:shd w:val="clear" w:color="auto" w:fill="auto"/>
          <w:lang w:val="cs-CZ" w:eastAsia="cs-CZ" w:bidi="cs-CZ"/>
        </w:rPr>
        <w:t xml:space="preserve">dodat ek č. 3 k SOD č. 152/2019 </w:t>
      </w:r>
      <w:r>
        <w:rPr>
          <w:color w:val="000000"/>
          <w:spacing w:val="0"/>
          <w:w w:val="100"/>
          <w:position w:val="0"/>
          <w:shd w:val="clear" w:color="auto" w:fill="auto"/>
          <w:lang w:val="cs-CZ" w:eastAsia="cs-CZ" w:bidi="cs-CZ"/>
        </w:rPr>
        <w:t>Zhotovitel je zapsán v Obchodním rejstříku Městského soudu v Praze, v oddílu B, vložce č. 1930</w:t>
      </w:r>
    </w:p>
    <w:p>
      <w:pPr>
        <w:pStyle w:val="Style2"/>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cs-CZ" w:eastAsia="cs-CZ" w:bidi="cs-CZ"/>
        </w:rPr>
        <w:t xml:space="preserve">zástupce ve věcech technických: </w:t>
      </w: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uzavírají tuto dohodu o vypořádání smluvního vztahu.</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1.</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Na základě výzvy Povodí Ohře, s. p. k podání nabídky na akci: „</w:t>
      </w:r>
      <w:r>
        <w:rPr>
          <w:b/>
          <w:bCs/>
          <w:color w:val="000000"/>
          <w:spacing w:val="0"/>
          <w:w w:val="100"/>
          <w:position w:val="0"/>
          <w:shd w:val="clear" w:color="auto" w:fill="auto"/>
          <w:lang w:val="cs-CZ" w:eastAsia="cs-CZ" w:bidi="cs-CZ"/>
        </w:rPr>
        <w:t xml:space="preserve">Suchá nádrž Dubnice – Ještědský potok – aktualizace DÚR” </w:t>
      </w:r>
      <w:r>
        <w:rPr>
          <w:color w:val="000000"/>
          <w:spacing w:val="0"/>
          <w:w w:val="100"/>
          <w:position w:val="0"/>
          <w:shd w:val="clear" w:color="auto" w:fill="auto"/>
          <w:lang w:val="cs-CZ" w:eastAsia="cs-CZ" w:bidi="cs-CZ"/>
        </w:rPr>
        <w:t>byla na základě nabídky zhotovitele uzavřena mezi shora uvedenými smluvními stranami smlouva o dílo č. 152/2019, a to dne 11.03.2019, jejímž předmětem byla:</w:t>
      </w:r>
    </w:p>
    <w:p>
      <w:pPr>
        <w:pStyle w:val="Style2"/>
        <w:keepNext w:val="0"/>
        <w:keepLines w:val="0"/>
        <w:widowControl w:val="0"/>
        <w:numPr>
          <w:ilvl w:val="0"/>
          <w:numId w:val="1"/>
        </w:numPr>
        <w:shd w:val="clear" w:color="auto" w:fill="auto"/>
        <w:tabs>
          <w:tab w:pos="382" w:val="left"/>
        </w:tabs>
        <w:bidi w:val="0"/>
        <w:spacing w:before="0" w:after="0" w:line="240" w:lineRule="auto"/>
        <w:ind w:left="300" w:right="0" w:hanging="300"/>
        <w:jc w:val="left"/>
      </w:pPr>
      <w:bookmarkStart w:id="2" w:name="bookmark2"/>
      <w:bookmarkEnd w:id="2"/>
      <w:r>
        <w:rPr>
          <w:color w:val="000000"/>
          <w:spacing w:val="0"/>
          <w:w w:val="100"/>
          <w:position w:val="0"/>
          <w:shd w:val="clear" w:color="auto" w:fill="auto"/>
          <w:lang w:val="cs-CZ" w:eastAsia="cs-CZ" w:bidi="cs-CZ"/>
        </w:rPr>
        <w:t>Aktualizace dokumentace pro vydání rozhodnutí o umístění stavby (dále jen DUR) včetně aktualizace dokladové části a prověření pozemkové držby.</w:t>
      </w:r>
    </w:p>
    <w:p>
      <w:pPr>
        <w:pStyle w:val="Style2"/>
        <w:keepNext w:val="0"/>
        <w:keepLines w:val="0"/>
        <w:widowControl w:val="0"/>
        <w:numPr>
          <w:ilvl w:val="0"/>
          <w:numId w:val="1"/>
        </w:numPr>
        <w:shd w:val="clear" w:color="auto" w:fill="auto"/>
        <w:tabs>
          <w:tab w:pos="382" w:val="left"/>
        </w:tabs>
        <w:bidi w:val="0"/>
        <w:spacing w:before="0" w:after="700" w:line="240" w:lineRule="auto"/>
        <w:ind w:left="0" w:right="0" w:firstLine="0"/>
        <w:jc w:val="left"/>
      </w:pPr>
      <w:bookmarkStart w:id="3" w:name="bookmark3"/>
      <w:bookmarkEnd w:id="3"/>
      <w:r>
        <w:rPr>
          <w:color w:val="000000"/>
          <w:spacing w:val="0"/>
          <w:w w:val="100"/>
          <w:position w:val="0"/>
          <w:shd w:val="clear" w:color="auto" w:fill="auto"/>
          <w:lang w:val="cs-CZ" w:eastAsia="cs-CZ" w:bidi="cs-CZ"/>
        </w:rPr>
        <w:t>Hydrotechnické posouzení bezvývarového řešení spodní výpusti.</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dílo č. 152/2019 uzavřená dne 11.3.2019, ve znění dodatku č. 1, uzavřeného dne</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24.1.20244 a č. 2, uzavřeného dne 20.12.2022 (dále jen jako Smlouva), upravovala termíny plnění následovně:</w:t>
      </w:r>
    </w:p>
    <w:p>
      <w:pPr>
        <w:pStyle w:val="Style2"/>
        <w:keepNext w:val="0"/>
        <w:keepLines w:val="0"/>
        <w:widowControl w:val="0"/>
        <w:shd w:val="clear" w:color="auto" w:fill="auto"/>
        <w:tabs>
          <w:tab w:pos="353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Zahájení díla:</w:t>
        <w:tab/>
      </w:r>
      <w:r>
        <w:rPr>
          <w:color w:val="000000"/>
          <w:spacing w:val="0"/>
          <w:w w:val="100"/>
          <w:position w:val="0"/>
          <w:shd w:val="clear" w:color="auto" w:fill="auto"/>
          <w:lang w:val="cs-CZ" w:eastAsia="cs-CZ" w:bidi="cs-CZ"/>
        </w:rPr>
        <w:t>bez zbytečného odkladu po nabytí účinnosti smlouvy.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Termín předání kompletní PD (2 x tištěné + 1 x elektronicky) ke kontrole:</w:t>
      </w:r>
    </w:p>
    <w:p>
      <w:pPr>
        <w:pStyle w:val="Style2"/>
        <w:keepNext w:val="0"/>
        <w:keepLines w:val="0"/>
        <w:widowControl w:val="0"/>
        <w:shd w:val="clear" w:color="auto" w:fill="auto"/>
        <w:bidi w:val="0"/>
        <w:spacing w:before="0" w:after="180" w:line="240" w:lineRule="auto"/>
        <w:ind w:left="0" w:right="680" w:firstLine="0"/>
        <w:jc w:val="right"/>
      </w:pPr>
      <w:r>
        <w:rPr>
          <w:color w:val="000000"/>
          <w:spacing w:val="0"/>
          <w:w w:val="100"/>
          <w:position w:val="0"/>
          <w:shd w:val="clear" w:color="auto" w:fill="auto"/>
          <w:lang w:val="cs-CZ" w:eastAsia="cs-CZ" w:bidi="cs-CZ"/>
        </w:rPr>
        <w:t>do 2 měsíců od předání závěrů EIA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Dílčí termín – předání kompletní PD (2 x tištěné + 1 x elektronicky) po projednání na ZVV:</w:t>
      </w:r>
    </w:p>
    <w:p>
      <w:pPr>
        <w:pStyle w:val="Style2"/>
        <w:keepNext w:val="0"/>
        <w:keepLines w:val="0"/>
        <w:widowControl w:val="0"/>
        <w:shd w:val="clear" w:color="auto" w:fill="auto"/>
        <w:tabs>
          <w:tab w:pos="6365" w:val="left"/>
        </w:tabs>
        <w:bidi w:val="0"/>
        <w:spacing w:before="0" w:after="440" w:line="240" w:lineRule="auto"/>
        <w:ind w:left="0" w:right="0" w:firstLine="4980"/>
        <w:jc w:val="left"/>
      </w:pPr>
      <w:r>
        <w:rPr>
          <w:color w:val="000000"/>
          <w:spacing w:val="0"/>
          <w:w w:val="100"/>
          <w:position w:val="0"/>
          <w:shd w:val="clear" w:color="auto" w:fill="auto"/>
          <w:lang w:val="cs-CZ" w:eastAsia="cs-CZ" w:bidi="cs-CZ"/>
        </w:rPr>
        <w:t xml:space="preserve">do 3 měsíců od předání závěrů EIA </w:t>
      </w:r>
      <w:r>
        <w:rPr>
          <w:b/>
          <w:bCs/>
          <w:color w:val="000000"/>
          <w:spacing w:val="0"/>
          <w:w w:val="100"/>
          <w:position w:val="0"/>
          <w:shd w:val="clear" w:color="auto" w:fill="auto"/>
          <w:lang w:val="cs-CZ" w:eastAsia="cs-CZ" w:bidi="cs-CZ"/>
        </w:rPr>
        <w:t>Ukončení díla – předání a převzetí kompletní PD (4 x tištěné + 2 x elektronicky) po schválení v IK PŘ:</w:t>
        <w:tab/>
      </w:r>
      <w:r>
        <w:rPr>
          <w:color w:val="000000"/>
          <w:spacing w:val="0"/>
          <w:w w:val="100"/>
          <w:position w:val="0"/>
          <w:shd w:val="clear" w:color="auto" w:fill="auto"/>
          <w:lang w:val="cs-CZ" w:eastAsia="cs-CZ" w:bidi="cs-CZ"/>
        </w:rPr>
        <w:t>do 31.12.2023</w:t>
      </w:r>
    </w:p>
    <w:p>
      <w:pPr>
        <w:pStyle w:val="Style2"/>
        <w:keepNext w:val="0"/>
        <w:keepLines w:val="0"/>
        <w:widowControl w:val="0"/>
        <w:shd w:val="clear" w:color="auto" w:fill="auto"/>
        <w:bidi w:val="0"/>
        <w:spacing w:before="0" w:after="180" w:line="240" w:lineRule="auto"/>
        <w:ind w:left="4260" w:right="0" w:firstLine="0"/>
        <w:jc w:val="left"/>
      </w:pPr>
      <w:r>
        <w:rPr>
          <w:b/>
          <w:bCs/>
          <w:color w:val="000000"/>
          <w:spacing w:val="0"/>
          <w:w w:val="100"/>
          <w:position w:val="0"/>
          <w:shd w:val="clear" w:color="auto" w:fill="auto"/>
          <w:lang w:val="cs-CZ" w:eastAsia="cs-CZ" w:bidi="cs-CZ"/>
        </w:rPr>
        <w:t>3.</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Zdůvodnění ukončení smlouvy</w:t>
      </w:r>
    </w:p>
    <w:p>
      <w:pPr>
        <w:pStyle w:val="Style2"/>
        <w:keepNext w:val="0"/>
        <w:keepLines w:val="0"/>
        <w:widowControl w:val="0"/>
        <w:shd w:val="clear" w:color="auto" w:fill="auto"/>
        <w:bidi w:val="0"/>
        <w:spacing w:before="0" w:after="580" w:line="240" w:lineRule="auto"/>
        <w:ind w:left="0" w:right="0" w:firstLine="0"/>
        <w:jc w:val="left"/>
      </w:pPr>
      <w:r>
        <w:rPr>
          <w:color w:val="000000"/>
          <w:spacing w:val="0"/>
          <w:w w:val="100"/>
          <w:position w:val="0"/>
          <w:shd w:val="clear" w:color="auto" w:fill="auto"/>
          <w:lang w:val="cs-CZ" w:eastAsia="cs-CZ" w:bidi="cs-CZ"/>
        </w:rPr>
        <w:t>V souladu s ustanoveními Čl. X. OSTATNÍ USTANOVENÍ bude smlouva ukončena dohodou smluvních stran. Důvodem ukončení smlouvy je situace, kdy se do dnešního dne nepodařilo zajistit závěry EIA, na které je předmět plnění smlouvy vázaný.</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Rozpis rozpracovanosti</w:t>
      </w:r>
    </w:p>
    <w:p>
      <w:pPr>
        <w:pStyle w:val="Style2"/>
        <w:keepNext w:val="0"/>
        <w:keepLines w:val="0"/>
        <w:widowControl w:val="0"/>
        <w:shd w:val="clear" w:color="auto" w:fill="auto"/>
        <w:bidi w:val="0"/>
        <w:spacing w:before="0" w:after="180" w:line="240" w:lineRule="auto"/>
        <w:ind w:left="0" w:right="0" w:firstLine="380"/>
        <w:jc w:val="left"/>
      </w:pPr>
      <w:r>
        <w:rPr>
          <w:color w:val="000000"/>
          <w:spacing w:val="0"/>
          <w:w w:val="100"/>
          <w:position w:val="0"/>
          <w:shd w:val="clear" w:color="auto" w:fill="auto"/>
          <w:lang w:val="cs-CZ" w:eastAsia="cs-CZ" w:bidi="cs-CZ"/>
        </w:rPr>
        <w:t>1 a. Aktualizace dokumentace pro vydání rozhodnutí o umístění stavby</w:t>
      </w:r>
    </w:p>
    <w:p>
      <w:pPr>
        <w:pStyle w:val="Style2"/>
        <w:keepNext w:val="0"/>
        <w:keepLines w:val="0"/>
        <w:widowControl w:val="0"/>
        <w:shd w:val="clear" w:color="auto" w:fill="auto"/>
        <w:bidi w:val="0"/>
        <w:spacing w:before="0" w:after="180" w:line="240" w:lineRule="auto"/>
        <w:ind w:left="0" w:right="0" w:firstLine="0"/>
        <w:jc w:val="left"/>
        <w:sectPr>
          <w:headerReference w:type="default" r:id="rId7"/>
          <w:footerReference w:type="default" r:id="rId8"/>
          <w:footnotePr>
            <w:pos w:val="pageBottom"/>
            <w:numFmt w:val="decimal"/>
            <w:numRestart w:val="continuous"/>
          </w:footnotePr>
          <w:pgSz w:w="11909" w:h="16838"/>
          <w:pgMar w:top="657" w:left="1394" w:right="1384" w:bottom="1732" w:header="229" w:footer="3" w:gutter="0"/>
          <w:cols w:space="720"/>
          <w:noEndnote/>
          <w:rtlGutter w:val="0"/>
          <w:docGrid w:linePitch="360"/>
        </w:sectPr>
      </w:pPr>
      <w:r>
        <w:rPr>
          <w:color w:val="000000"/>
          <w:spacing w:val="0"/>
          <w:w w:val="100"/>
          <w:position w:val="0"/>
          <w:shd w:val="clear" w:color="auto" w:fill="auto"/>
          <w:lang w:val="cs-CZ" w:eastAsia="cs-CZ" w:bidi="cs-CZ"/>
        </w:rPr>
        <w:t>Na základě výstupů z projednání EIA byla provedena úprava PD v následujícím rozsahu:</w:t>
      </w:r>
    </w:p>
    <w:p>
      <w:pPr>
        <w:pStyle w:val="Style2"/>
        <w:keepNext w:val="0"/>
        <w:keepLines w:val="0"/>
        <w:widowControl w:val="0"/>
        <w:numPr>
          <w:ilvl w:val="0"/>
          <w:numId w:val="3"/>
        </w:numPr>
        <w:shd w:val="clear" w:color="auto" w:fill="auto"/>
        <w:tabs>
          <w:tab w:pos="272" w:val="left"/>
        </w:tabs>
        <w:bidi w:val="0"/>
        <w:spacing w:before="0" w:after="0" w:line="240" w:lineRule="auto"/>
        <w:ind w:left="0" w:right="0" w:firstLine="0"/>
        <w:jc w:val="left"/>
      </w:pPr>
      <w:bookmarkStart w:id="4" w:name="bookmark4"/>
      <w:bookmarkEnd w:id="4"/>
      <w:r>
        <w:rPr>
          <w:color w:val="000000"/>
          <w:spacing w:val="0"/>
          <w:w w:val="100"/>
          <w:position w:val="0"/>
          <w:shd w:val="clear" w:color="auto" w:fill="auto"/>
          <w:lang w:val="cs-CZ" w:eastAsia="cs-CZ" w:bidi="cs-CZ"/>
        </w:rPr>
        <w:t>úprava dna migračního koridoru – doplnění balvanitých přepážek s vytvořením tůní, doplnění rastru balvanů a dnového substrátu</w:t>
      </w:r>
    </w:p>
    <w:p>
      <w:pPr>
        <w:pStyle w:val="Style2"/>
        <w:keepNext w:val="0"/>
        <w:keepLines w:val="0"/>
        <w:widowControl w:val="0"/>
        <w:numPr>
          <w:ilvl w:val="0"/>
          <w:numId w:val="3"/>
        </w:numPr>
        <w:shd w:val="clear" w:color="auto" w:fill="auto"/>
        <w:tabs>
          <w:tab w:pos="272" w:val="left"/>
        </w:tabs>
        <w:bidi w:val="0"/>
        <w:spacing w:before="0" w:after="0" w:line="240" w:lineRule="auto"/>
        <w:ind w:left="0" w:right="0" w:firstLine="0"/>
        <w:jc w:val="left"/>
      </w:pPr>
      <w:bookmarkStart w:id="5" w:name="bookmark5"/>
      <w:bookmarkEnd w:id="5"/>
      <w:r>
        <w:rPr>
          <w:color w:val="000000"/>
          <w:spacing w:val="0"/>
          <w:w w:val="100"/>
          <w:position w:val="0"/>
          <w:shd w:val="clear" w:color="auto" w:fill="auto"/>
          <w:lang w:val="cs-CZ" w:eastAsia="cs-CZ" w:bidi="cs-CZ"/>
        </w:rPr>
        <w:t>nahrazení vývaru spodní výpusti bezvývarovým řešením</w:t>
      </w:r>
    </w:p>
    <w:p>
      <w:pPr>
        <w:pStyle w:val="Style2"/>
        <w:keepNext w:val="0"/>
        <w:keepLines w:val="0"/>
        <w:widowControl w:val="0"/>
        <w:numPr>
          <w:ilvl w:val="0"/>
          <w:numId w:val="3"/>
        </w:numPr>
        <w:shd w:val="clear" w:color="auto" w:fill="auto"/>
        <w:tabs>
          <w:tab w:pos="272" w:val="left"/>
        </w:tabs>
        <w:bidi w:val="0"/>
        <w:spacing w:before="0" w:after="200" w:line="240" w:lineRule="auto"/>
        <w:ind w:left="0" w:right="0" w:firstLine="0"/>
        <w:jc w:val="left"/>
      </w:pPr>
      <w:bookmarkStart w:id="6" w:name="bookmark6"/>
      <w:bookmarkEnd w:id="6"/>
      <w:r>
        <w:rPr>
          <w:color w:val="000000"/>
          <w:spacing w:val="0"/>
          <w:w w:val="100"/>
          <w:position w:val="0"/>
          <w:shd w:val="clear" w:color="auto" w:fill="auto"/>
          <w:lang w:val="cs-CZ" w:eastAsia="cs-CZ" w:bidi="cs-CZ"/>
        </w:rPr>
        <w:t>vypuštění tůně u napojení na původní koryto</w:t>
      </w:r>
    </w:p>
    <w:p>
      <w:pPr>
        <w:pStyle w:val="Style2"/>
        <w:keepNext w:val="0"/>
        <w:keepLines w:val="0"/>
        <w:widowControl w:val="0"/>
        <w:shd w:val="clear" w:color="auto" w:fill="auto"/>
        <w:bidi w:val="0"/>
        <w:spacing w:before="0" w:after="200" w:line="240" w:lineRule="auto"/>
        <w:ind w:left="0" w:right="0" w:firstLine="380"/>
        <w:jc w:val="left"/>
      </w:pPr>
      <w:r>
        <w:rPr>
          <w:color w:val="000000"/>
          <w:spacing w:val="0"/>
          <w:w w:val="100"/>
          <w:position w:val="0"/>
          <w:shd w:val="clear" w:color="auto" w:fill="auto"/>
          <w:lang w:val="cs-CZ" w:eastAsia="cs-CZ" w:bidi="cs-CZ"/>
        </w:rPr>
        <w:t>1 b. Aktualizace dokladové části a prověření pozemkové držby</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Po uzavření smlouvy byla provedena aktualizace dokladové části v následujícím rozsahu.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SUCHÁ NÁDRŽ</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aktualizace vlastnictví stavbou dotčených pozemků</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Dle novely SZ: Žádost o závazné stanovisko dle § 96b</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Dle novely SZ: Žádost o závazné stanovisko – odpady</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Žádost o VKP (MěÚ Česká Lípa) – až po EIA</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Žádost o vynětí ze ZPF (KÚLK – podle výměry) – doplnit DUR, výpočet</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Žádost MěÚ Česká Lípa z hlediska životního prostředí – až po EIA</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SČVK – přeložka vodovodu + zrušení vrtů</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Stanoviska správců inženýrských sítí (vč. poplatků)</w:t>
      </w:r>
    </w:p>
    <w:p>
      <w:pPr>
        <w:pStyle w:val="Style2"/>
        <w:keepNext w:val="0"/>
        <w:keepLines w:val="0"/>
        <w:widowControl w:val="0"/>
        <w:shd w:val="clear" w:color="auto" w:fill="auto"/>
        <w:bidi w:val="0"/>
        <w:spacing w:before="0" w:after="0" w:line="221" w:lineRule="auto"/>
        <w:ind w:left="0" w:right="0" w:firstLine="38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ČEZ smlouva o připojení k distribuční soustavě NN</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LIMNIGRAF</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Dle novely SZ: Žádost o závazné stanovisko dle § 96 b</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Dle novely SZ: Žádost o závazné stanovisko – odpady</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Žádost o vynětí ze ZPF, výpočet</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Stanoviska správců inženýrských sítí (vč. poplatků)</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ČEZ činnost v ochranném pásmu</w:t>
      </w:r>
    </w:p>
    <w:p>
      <w:pPr>
        <w:pStyle w:val="Style2"/>
        <w:keepNext w:val="0"/>
        <w:keepLines w:val="0"/>
        <w:widowControl w:val="0"/>
        <w:shd w:val="clear" w:color="auto" w:fill="auto"/>
        <w:bidi w:val="0"/>
        <w:spacing w:before="0" w:after="200" w:line="240" w:lineRule="auto"/>
        <w:ind w:left="380" w:right="0" w:firstLine="0"/>
        <w:jc w:val="left"/>
      </w:pPr>
      <w:r>
        <w:rPr>
          <w:color w:val="000000"/>
          <w:spacing w:val="0"/>
          <w:w w:val="100"/>
          <w:position w:val="0"/>
          <w:shd w:val="clear" w:color="auto" w:fill="auto"/>
          <w:lang w:val="cs-CZ" w:eastAsia="cs-CZ" w:bidi="cs-CZ"/>
        </w:rPr>
        <w:t>ČEZ smlouva o připojení k distribuční soustavě NN</w:t>
      </w:r>
    </w:p>
    <w:p>
      <w:pPr>
        <w:pStyle w:val="Style2"/>
        <w:keepNext w:val="0"/>
        <w:keepLines w:val="0"/>
        <w:widowControl w:val="0"/>
        <w:numPr>
          <w:ilvl w:val="0"/>
          <w:numId w:val="5"/>
        </w:numPr>
        <w:shd w:val="clear" w:color="auto" w:fill="auto"/>
        <w:tabs>
          <w:tab w:pos="762" w:val="left"/>
        </w:tabs>
        <w:bidi w:val="0"/>
        <w:spacing w:before="0" w:after="200" w:line="240" w:lineRule="auto"/>
        <w:ind w:left="380" w:right="0" w:firstLine="0"/>
        <w:jc w:val="left"/>
      </w:pPr>
      <w:bookmarkStart w:id="7" w:name="bookmark7"/>
      <w:bookmarkEnd w:id="7"/>
      <w:r>
        <w:rPr>
          <w:color w:val="000000"/>
          <w:spacing w:val="0"/>
          <w:w w:val="100"/>
          <w:position w:val="0"/>
          <w:shd w:val="clear" w:color="auto" w:fill="auto"/>
          <w:lang w:val="cs-CZ" w:eastAsia="cs-CZ" w:bidi="cs-CZ"/>
        </w:rPr>
        <w:t>Hydrotechnické posouzení bezvývarového řešení spodní výpusti</w:t>
      </w:r>
    </w:p>
    <w:p>
      <w:pPr>
        <w:pStyle w:val="Style2"/>
        <w:keepNext w:val="0"/>
        <w:keepLines w:val="0"/>
        <w:widowControl w:val="0"/>
        <w:shd w:val="clear" w:color="auto" w:fill="auto"/>
        <w:bidi w:val="0"/>
        <w:spacing w:before="0" w:after="0" w:line="240" w:lineRule="auto"/>
        <w:ind w:left="380" w:right="0" w:firstLine="0"/>
        <w:jc w:val="left"/>
      </w:pPr>
      <w:r>
        <w:rPr>
          <w:color w:val="000000"/>
          <w:spacing w:val="0"/>
          <w:w w:val="100"/>
          <w:position w:val="0"/>
          <w:shd w:val="clear" w:color="auto" w:fill="auto"/>
          <w:lang w:val="cs-CZ" w:eastAsia="cs-CZ" w:bidi="cs-CZ"/>
        </w:rPr>
        <w:t>V rámci zpracování HT posouzení byly provedeny následující činnosti terénní šetření geodetické zaměření zajištění a analýza podkladů</w:t>
      </w:r>
    </w:p>
    <w:p>
      <w:pPr>
        <w:pStyle w:val="Style2"/>
        <w:keepNext w:val="0"/>
        <w:keepLines w:val="0"/>
        <w:widowControl w:val="0"/>
        <w:shd w:val="clear" w:color="auto" w:fill="auto"/>
        <w:bidi w:val="0"/>
        <w:spacing w:before="0" w:after="320" w:line="240" w:lineRule="auto"/>
        <w:ind w:left="380" w:right="0" w:firstLine="0"/>
        <w:jc w:val="left"/>
      </w:pPr>
      <w:r>
        <w:rPr>
          <w:color w:val="000000"/>
          <w:spacing w:val="0"/>
          <w:w w:val="100"/>
          <w:position w:val="0"/>
          <w:shd w:val="clear" w:color="auto" w:fill="auto"/>
          <w:lang w:val="cs-CZ" w:eastAsia="cs-CZ" w:bidi="cs-CZ"/>
        </w:rPr>
        <w:t>na základě pozemního geodetického zaměření a podkladu DMR5g byl vyhotoven digitální model terénu (DMT), jakožto základní topologický podklad pro sestavení hydrodynamického modelu. DMT je vyhotoven v rozlišení 0.5 x 0.5 m.</w:t>
      </w:r>
    </w:p>
    <w:p>
      <w:pPr>
        <w:pStyle w:val="Style18"/>
        <w:keepNext/>
        <w:keepLines/>
        <w:widowControl w:val="0"/>
        <w:shd w:val="clear" w:color="auto" w:fill="auto"/>
        <w:bidi w:val="0"/>
        <w:spacing w:before="0" w:after="200" w:line="240" w:lineRule="auto"/>
        <w:ind w:left="0" w:right="0" w:firstLine="0"/>
        <w:jc w:val="left"/>
      </w:pPr>
      <w:bookmarkStart w:id="10" w:name="bookmark10"/>
      <w:bookmarkStart w:id="8" w:name="bookmark8"/>
      <w:bookmarkStart w:id="9" w:name="bookmark9"/>
      <w:r>
        <w:rPr>
          <w:b/>
          <w:bCs/>
          <w:color w:val="000000"/>
          <w:spacing w:val="0"/>
          <w:w w:val="100"/>
          <w:position w:val="0"/>
          <w:shd w:val="clear" w:color="auto" w:fill="auto"/>
          <w:lang w:val="cs-CZ" w:eastAsia="cs-CZ" w:bidi="cs-CZ"/>
        </w:rPr>
        <w:t>Odevzdávané dokumenty elektronicky potvrzené předávacím protokolem:</w:t>
      </w:r>
      <w:bookmarkEnd w:id="10"/>
      <w:bookmarkEnd w:id="8"/>
      <w:bookmarkEnd w:id="9"/>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left"/>
      </w:pPr>
      <w:bookmarkStart w:id="11" w:name="bookmark11"/>
      <w:bookmarkEnd w:id="11"/>
      <w:r>
        <w:rPr>
          <w:color w:val="000000"/>
          <w:spacing w:val="0"/>
          <w:w w:val="100"/>
          <w:position w:val="0"/>
          <w:shd w:val="clear" w:color="auto" w:fill="auto"/>
          <w:lang w:val="cs-CZ" w:eastAsia="cs-CZ" w:bidi="cs-CZ"/>
        </w:rPr>
        <w:t>Upravená dokumentace dle požadavků EIA</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left"/>
      </w:pPr>
      <w:bookmarkStart w:id="12" w:name="bookmark12"/>
      <w:bookmarkEnd w:id="12"/>
      <w:r>
        <w:rPr>
          <w:color w:val="000000"/>
          <w:spacing w:val="0"/>
          <w:w w:val="100"/>
          <w:position w:val="0"/>
          <w:shd w:val="clear" w:color="auto" w:fill="auto"/>
          <w:lang w:val="cs-CZ" w:eastAsia="cs-CZ" w:bidi="cs-CZ"/>
        </w:rPr>
        <w:t>Tabulka vlastníků aktualizace 13.3.2019</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left"/>
      </w:pPr>
      <w:bookmarkStart w:id="13" w:name="bookmark13"/>
      <w:bookmarkEnd w:id="13"/>
      <w:r>
        <w:rPr>
          <w:color w:val="000000"/>
          <w:spacing w:val="0"/>
          <w:w w:val="100"/>
          <w:position w:val="0"/>
          <w:shd w:val="clear" w:color="auto" w:fill="auto"/>
          <w:lang w:val="cs-CZ" w:eastAsia="cs-CZ" w:bidi="cs-CZ"/>
        </w:rPr>
        <w:t>Přehled projednání duben 2019</w:t>
      </w:r>
    </w:p>
    <w:p>
      <w:pPr>
        <w:pStyle w:val="Style2"/>
        <w:keepNext w:val="0"/>
        <w:keepLines w:val="0"/>
        <w:widowControl w:val="0"/>
        <w:numPr>
          <w:ilvl w:val="0"/>
          <w:numId w:val="7"/>
        </w:numPr>
        <w:shd w:val="clear" w:color="auto" w:fill="auto"/>
        <w:tabs>
          <w:tab w:pos="777" w:val="left"/>
        </w:tabs>
        <w:bidi w:val="0"/>
        <w:spacing w:before="0" w:after="0" w:line="240" w:lineRule="auto"/>
        <w:ind w:left="0" w:right="0" w:firstLine="380"/>
        <w:jc w:val="left"/>
      </w:pPr>
      <w:bookmarkStart w:id="14" w:name="bookmark14"/>
      <w:bookmarkEnd w:id="14"/>
      <w:r>
        <w:rPr>
          <w:color w:val="000000"/>
          <w:spacing w:val="0"/>
          <w:w w:val="100"/>
          <w:position w:val="0"/>
          <w:shd w:val="clear" w:color="auto" w:fill="auto"/>
          <w:lang w:val="cs-CZ" w:eastAsia="cs-CZ" w:bidi="cs-CZ"/>
        </w:rPr>
        <w:t>Přehled projednání květen 2019</w:t>
      </w:r>
    </w:p>
    <w:p>
      <w:pPr>
        <w:pStyle w:val="Style2"/>
        <w:keepNext w:val="0"/>
        <w:keepLines w:val="0"/>
        <w:widowControl w:val="0"/>
        <w:numPr>
          <w:ilvl w:val="0"/>
          <w:numId w:val="7"/>
        </w:numPr>
        <w:shd w:val="clear" w:color="auto" w:fill="auto"/>
        <w:tabs>
          <w:tab w:pos="777" w:val="left"/>
        </w:tabs>
        <w:bidi w:val="0"/>
        <w:spacing w:before="0" w:after="0" w:line="240" w:lineRule="auto"/>
        <w:ind w:left="740" w:right="0" w:hanging="360"/>
        <w:jc w:val="left"/>
      </w:pPr>
      <w:bookmarkStart w:id="15" w:name="bookmark15"/>
      <w:bookmarkEnd w:id="15"/>
      <w:r>
        <w:rPr>
          <w:color w:val="000000"/>
          <w:spacing w:val="0"/>
          <w:w w:val="100"/>
          <w:position w:val="0"/>
          <w:shd w:val="clear" w:color="auto" w:fill="auto"/>
          <w:lang w:val="cs-CZ" w:eastAsia="cs-CZ" w:bidi="cs-CZ"/>
        </w:rPr>
        <w:t>Polohopisné a výškopisné zaměření Ještědského potoka nedaleko Dubnice, okr. Česká Lípa akce: „SN Dubnice“zajištění podkladů, Geodex, 25. 4. 2019</w:t>
      </w:r>
    </w:p>
    <w:p>
      <w:pPr>
        <w:pStyle w:val="Style2"/>
        <w:keepNext w:val="0"/>
        <w:keepLines w:val="0"/>
        <w:widowControl w:val="0"/>
        <w:numPr>
          <w:ilvl w:val="0"/>
          <w:numId w:val="7"/>
        </w:numPr>
        <w:shd w:val="clear" w:color="auto" w:fill="auto"/>
        <w:tabs>
          <w:tab w:pos="777" w:val="left"/>
        </w:tabs>
        <w:bidi w:val="0"/>
        <w:spacing w:before="0" w:after="200" w:line="240" w:lineRule="auto"/>
        <w:ind w:left="0" w:right="0" w:firstLine="380"/>
        <w:jc w:val="left"/>
      </w:pPr>
      <w:bookmarkStart w:id="16" w:name="bookmark16"/>
      <w:bookmarkEnd w:id="16"/>
      <w:r>
        <w:rPr>
          <w:color w:val="000000"/>
          <w:spacing w:val="0"/>
          <w:w w:val="100"/>
          <w:position w:val="0"/>
          <w:shd w:val="clear" w:color="auto" w:fill="auto"/>
          <w:lang w:val="cs-CZ" w:eastAsia="cs-CZ" w:bidi="cs-CZ"/>
        </w:rPr>
        <w:t>Sestavený DMT</w:t>
      </w:r>
    </w:p>
    <w:p>
      <w:pPr>
        <w:pStyle w:val="Style2"/>
        <w:keepNext w:val="0"/>
        <w:keepLines w:val="0"/>
        <w:widowControl w:val="0"/>
        <w:shd w:val="clear" w:color="auto" w:fill="auto"/>
        <w:bidi w:val="0"/>
        <w:spacing w:before="0" w:after="420" w:line="240" w:lineRule="auto"/>
        <w:ind w:left="0" w:right="0" w:firstLine="740"/>
        <w:jc w:val="left"/>
      </w:pPr>
      <w:r>
        <w:rPr>
          <w:b/>
          <w:bCs/>
          <w:color w:val="000000"/>
          <w:spacing w:val="0"/>
          <w:w w:val="100"/>
          <w:position w:val="0"/>
          <w:shd w:val="clear" w:color="auto" w:fill="auto"/>
          <w:lang w:val="cs-CZ" w:eastAsia="cs-CZ" w:bidi="cs-CZ"/>
        </w:rPr>
        <w:t>Hodnota zpracovaných a odevzdávaných částí předmětu smlouvy: 219 400 Kč</w:t>
      </w:r>
    </w:p>
    <w:p>
      <w:pPr>
        <w:pStyle w:val="Style18"/>
        <w:keepNext/>
        <w:keepLines/>
        <w:widowControl w:val="0"/>
        <w:shd w:val="clear" w:color="auto" w:fill="auto"/>
        <w:bidi w:val="0"/>
        <w:spacing w:before="0" w:after="200" w:line="240" w:lineRule="auto"/>
        <w:ind w:left="0" w:right="0" w:firstLine="0"/>
        <w:jc w:val="left"/>
      </w:pPr>
      <w:bookmarkStart w:id="17" w:name="bookmark17"/>
      <w:bookmarkStart w:id="18" w:name="bookmark18"/>
      <w:bookmarkStart w:id="19" w:name="bookmark19"/>
      <w:r>
        <w:rPr>
          <w:color w:val="000000"/>
          <w:spacing w:val="0"/>
          <w:w w:val="100"/>
          <w:position w:val="0"/>
          <w:shd w:val="clear" w:color="auto" w:fill="auto"/>
          <w:lang w:val="cs-CZ" w:eastAsia="cs-CZ" w:bidi="cs-CZ"/>
        </w:rPr>
        <w:t>Do dnešního dne nebyly a nebudou dokončeny následující části předmětu plnění dle Smlouvy:</w:t>
      </w:r>
      <w:bookmarkEnd w:id="17"/>
      <w:bookmarkEnd w:id="18"/>
      <w:bookmarkEnd w:id="19"/>
      <w:r>
        <w:br w:type="page"/>
      </w:r>
    </w:p>
    <w:p>
      <w:pPr>
        <w:pStyle w:val="Style18"/>
        <w:keepNext/>
        <w:keepLines/>
        <w:widowControl w:val="0"/>
        <w:numPr>
          <w:ilvl w:val="0"/>
          <w:numId w:val="9"/>
        </w:numPr>
        <w:shd w:val="clear" w:color="auto" w:fill="auto"/>
        <w:tabs>
          <w:tab w:pos="697" w:val="left"/>
        </w:tabs>
        <w:bidi w:val="0"/>
        <w:spacing w:before="0" w:after="60" w:line="240" w:lineRule="auto"/>
        <w:ind w:left="0" w:right="0" w:firstLine="300"/>
        <w:jc w:val="both"/>
      </w:pPr>
      <w:r>
        <mc:AlternateContent>
          <mc:Choice Requires="wps">
            <w:drawing>
              <wp:anchor distT="0" distB="405130" distL="114300" distR="431165" simplePos="0" relativeHeight="125829386" behindDoc="0" locked="0" layoutInCell="1" allowOverlap="1">
                <wp:simplePos x="0" y="0"/>
                <wp:positionH relativeFrom="page">
                  <wp:posOffset>4930140</wp:posOffset>
                </wp:positionH>
                <wp:positionV relativeFrom="paragraph">
                  <wp:posOffset>12700</wp:posOffset>
                </wp:positionV>
                <wp:extent cx="1264920" cy="701040"/>
                <wp:wrapSquare wrapText="left"/>
                <wp:docPr id="15" name="Shape 15"/>
                <a:graphic xmlns:a="http://schemas.openxmlformats.org/drawingml/2006/main">
                  <a:graphicData uri="http://schemas.microsoft.com/office/word/2010/wordprocessingShape">
                    <wps:wsp>
                      <wps:cNvSpPr txBox="1"/>
                      <wps:spPr>
                        <a:xfrm>
                          <a:ext cx="1264920" cy="70104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36 100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10 000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10 000 Kč bez DPH</w:t>
                            </w:r>
                          </w:p>
                        </w:txbxContent>
                      </wps:txbx>
                      <wps:bodyPr lIns="0" tIns="0" rIns="0" bIns="0">
                        <a:noAutoFit/>
                      </wps:bodyPr>
                    </wps:wsp>
                  </a:graphicData>
                </a:graphic>
              </wp:anchor>
            </w:drawing>
          </mc:Choice>
          <mc:Fallback>
            <w:pict>
              <v:shape id="_x0000_s1041" type="#_x0000_t202" style="position:absolute;margin-left:388.19999999999999pt;margin-top:1.pt;width:99.600000000000009pt;height:55.200000000000003pt;z-index:-125829367;mso-wrap-distance-left:9.pt;mso-wrap-distance-right:33.950000000000003pt;mso-wrap-distance-bottom:31.900000000000002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36 100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10 000 Kč bez DPH</w:t>
                      </w:r>
                    </w:p>
                    <w:p>
                      <w:pPr>
                        <w:pStyle w:val="Style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10 000 Kč bez DPH</w:t>
                      </w:r>
                    </w:p>
                  </w:txbxContent>
                </v:textbox>
                <w10:wrap type="square" side="left" anchorx="page"/>
              </v:shape>
            </w:pict>
          </mc:Fallback>
        </mc:AlternateContent>
      </w:r>
      <w:r>
        <mc:AlternateContent>
          <mc:Choice Requires="wps">
            <w:drawing>
              <wp:anchor distT="868680" distB="0" distL="1013460" distR="114300" simplePos="0" relativeHeight="125829388" behindDoc="0" locked="0" layoutInCell="1" allowOverlap="1">
                <wp:simplePos x="0" y="0"/>
                <wp:positionH relativeFrom="page">
                  <wp:posOffset>5829300</wp:posOffset>
                </wp:positionH>
                <wp:positionV relativeFrom="paragraph">
                  <wp:posOffset>881380</wp:posOffset>
                </wp:positionV>
                <wp:extent cx="682625" cy="237490"/>
                <wp:wrapSquare wrapText="left"/>
                <wp:docPr id="17" name="Shape 17"/>
                <a:graphic xmlns:a="http://schemas.openxmlformats.org/drawingml/2006/main">
                  <a:graphicData uri="http://schemas.microsoft.com/office/word/2010/wordprocessingShape">
                    <wps:wsp>
                      <wps:cNvSpPr txBox="1"/>
                      <wps:spPr>
                        <a:xfrm>
                          <a:ext cx="68262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56 100 Kč</w:t>
                            </w:r>
                          </w:p>
                        </w:txbxContent>
                      </wps:txbx>
                      <wps:bodyPr wrap="none" lIns="0" tIns="0" rIns="0" bIns="0">
                        <a:noAutoFit/>
                      </wps:bodyPr>
                    </wps:wsp>
                  </a:graphicData>
                </a:graphic>
              </wp:anchor>
            </w:drawing>
          </mc:Choice>
          <mc:Fallback>
            <w:pict>
              <v:shape id="_x0000_s1043" type="#_x0000_t202" style="position:absolute;margin-left:459.pt;margin-top:69.400000000000006pt;width:53.75pt;height:18.699999999999999pt;z-index:-125829365;mso-wrap-distance-left:79.799999999999997pt;mso-wrap-distance-top:68.400000000000006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56 100 Kč</w:t>
                      </w:r>
                    </w:p>
                  </w:txbxContent>
                </v:textbox>
                <w10:wrap type="square" side="left" anchorx="page"/>
              </v:shape>
            </w:pict>
          </mc:Fallback>
        </mc:AlternateContent>
      </w: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Vyhodnocení výstupů z HD model</w:t>
      </w:r>
      <w:bookmarkEnd w:id="20"/>
      <w:bookmarkEnd w:id="21"/>
      <w:bookmarkEnd w:id="23"/>
    </w:p>
    <w:p>
      <w:pPr>
        <w:pStyle w:val="Style18"/>
        <w:keepNext/>
        <w:keepLines/>
        <w:widowControl w:val="0"/>
        <w:numPr>
          <w:ilvl w:val="0"/>
          <w:numId w:val="9"/>
        </w:numPr>
        <w:shd w:val="clear" w:color="auto" w:fill="auto"/>
        <w:tabs>
          <w:tab w:pos="697" w:val="left"/>
        </w:tabs>
        <w:bidi w:val="0"/>
        <w:spacing w:before="0" w:after="60" w:line="240" w:lineRule="auto"/>
        <w:ind w:left="0" w:right="0" w:firstLine="300"/>
        <w:jc w:val="both"/>
      </w:pPr>
      <w:bookmarkStart w:id="24" w:name="bookmark24"/>
      <w:bookmarkStart w:id="25" w:name="bookmark25"/>
      <w:bookmarkStart w:id="26" w:name="bookmark26"/>
      <w:bookmarkStart w:id="27" w:name="bookmark27"/>
      <w:bookmarkStart w:id="28" w:name="bookmark28"/>
      <w:bookmarkStart w:id="29" w:name="bookmark29"/>
      <w:bookmarkEnd w:id="26"/>
      <w:r>
        <w:rPr>
          <w:color w:val="000000"/>
          <w:spacing w:val="0"/>
          <w:w w:val="100"/>
          <w:position w:val="0"/>
          <w:shd w:val="clear" w:color="auto" w:fill="auto"/>
          <w:lang w:val="cs-CZ" w:eastAsia="cs-CZ" w:bidi="cs-CZ"/>
        </w:rPr>
        <w:t>Návrhy opatření</w:t>
      </w:r>
      <w:bookmarkEnd w:id="24"/>
      <w:bookmarkEnd w:id="25"/>
      <w:bookmarkEnd w:id="27"/>
      <w:bookmarkEnd w:id="28"/>
      <w:bookmarkEnd w:id="29"/>
    </w:p>
    <w:p>
      <w:pPr>
        <w:pStyle w:val="Style2"/>
        <w:keepNext w:val="0"/>
        <w:keepLines w:val="0"/>
        <w:widowControl w:val="0"/>
        <w:numPr>
          <w:ilvl w:val="0"/>
          <w:numId w:val="9"/>
        </w:numPr>
        <w:shd w:val="clear" w:color="auto" w:fill="auto"/>
        <w:tabs>
          <w:tab w:pos="697" w:val="left"/>
        </w:tabs>
        <w:bidi w:val="0"/>
        <w:spacing w:before="0" w:after="300" w:line="240" w:lineRule="auto"/>
        <w:ind w:left="0" w:right="0" w:firstLine="300"/>
        <w:jc w:val="both"/>
      </w:pPr>
      <w:bookmarkStart w:id="30" w:name="bookmark30"/>
      <w:bookmarkStart w:id="31" w:name="bookmark31"/>
      <w:bookmarkStart w:id="32" w:name="bookmark32"/>
      <w:bookmarkEnd w:id="30"/>
      <w:r>
        <w:rPr>
          <w:color w:val="000000"/>
          <w:spacing w:val="0"/>
          <w:w w:val="100"/>
          <w:position w:val="0"/>
          <w:shd w:val="clear" w:color="auto" w:fill="auto"/>
          <w:lang w:val="cs-CZ" w:eastAsia="cs-CZ" w:bidi="cs-CZ"/>
        </w:rPr>
        <w:t>Závěry a doporučení</w:t>
      </w:r>
      <w:bookmarkEnd w:id="31"/>
      <w:bookmarkEnd w:id="32"/>
    </w:p>
    <w:p>
      <w:pPr>
        <w:pStyle w:val="Style2"/>
        <w:keepNext w:val="0"/>
        <w:keepLines w:val="0"/>
        <w:widowControl w:val="0"/>
        <w:shd w:val="clear" w:color="auto" w:fill="auto"/>
        <w:bidi w:val="0"/>
        <w:spacing w:before="0" w:after="440" w:line="240" w:lineRule="auto"/>
        <w:ind w:left="0" w:right="0" w:firstLine="740"/>
        <w:jc w:val="both"/>
      </w:pPr>
      <w:r>
        <w:rPr>
          <w:b/>
          <w:bCs/>
          <w:color w:val="000000"/>
          <w:spacing w:val="0"/>
          <w:w w:val="100"/>
          <w:position w:val="0"/>
          <w:shd w:val="clear" w:color="auto" w:fill="auto"/>
          <w:lang w:val="cs-CZ" w:eastAsia="cs-CZ" w:bidi="cs-CZ"/>
        </w:rPr>
        <w:t>Hodnota nedokončených částí předmětu smlouvy:</w:t>
      </w:r>
    </w:p>
    <w:p>
      <w:pPr>
        <w:pStyle w:val="Style18"/>
        <w:keepNext/>
        <w:keepLines/>
        <w:widowControl w:val="0"/>
        <w:shd w:val="clear" w:color="auto" w:fill="auto"/>
        <w:bidi w:val="0"/>
        <w:spacing w:before="0" w:after="300" w:line="240" w:lineRule="auto"/>
        <w:ind w:left="0" w:right="0" w:firstLine="0"/>
        <w:jc w:val="center"/>
      </w:pPr>
      <w:bookmarkStart w:id="33" w:name="bookmark33"/>
      <w:bookmarkStart w:id="34" w:name="bookmark34"/>
      <w:bookmarkStart w:id="35" w:name="bookmark35"/>
      <w:r>
        <w:rPr>
          <w:b/>
          <w:bCs/>
          <w:color w:val="000000"/>
          <w:spacing w:val="0"/>
          <w:w w:val="100"/>
          <w:position w:val="0"/>
          <w:shd w:val="clear" w:color="auto" w:fill="auto"/>
          <w:lang w:val="cs-CZ" w:eastAsia="cs-CZ" w:bidi="cs-CZ"/>
        </w:rPr>
        <w:t>Čl. III. TERMÍNY PLNĚNÍ</w:t>
      </w:r>
      <w:bookmarkEnd w:id="33"/>
      <w:bookmarkEnd w:id="34"/>
      <w:bookmarkEnd w:id="35"/>
    </w:p>
    <w:p>
      <w:pPr>
        <w:pStyle w:val="Style2"/>
        <w:keepNext w:val="0"/>
        <w:keepLines w:val="0"/>
        <w:widowControl w:val="0"/>
        <w:shd w:val="clear" w:color="auto" w:fill="auto"/>
        <w:bidi w:val="0"/>
        <w:spacing w:before="0" w:after="680" w:line="240" w:lineRule="auto"/>
        <w:ind w:left="0" w:right="0" w:firstLine="0"/>
        <w:jc w:val="left"/>
      </w:pPr>
      <w:r>
        <w:rPr>
          <w:color w:val="000000"/>
          <w:spacing w:val="0"/>
          <w:w w:val="100"/>
          <w:position w:val="0"/>
          <w:shd w:val="clear" w:color="auto" w:fill="auto"/>
          <w:lang w:val="cs-CZ" w:eastAsia="cs-CZ" w:bidi="cs-CZ"/>
        </w:rPr>
        <w:t xml:space="preserve">Termín předání odevzdávaných dokumentů: do </w:t>
      </w:r>
      <w:r>
        <w:rPr>
          <w:b/>
          <w:bCs/>
          <w:color w:val="000000"/>
          <w:spacing w:val="0"/>
          <w:w w:val="100"/>
          <w:position w:val="0"/>
          <w:shd w:val="clear" w:color="auto" w:fill="auto"/>
          <w:lang w:val="cs-CZ" w:eastAsia="cs-CZ" w:bidi="cs-CZ"/>
        </w:rPr>
        <w:t>20.12.2024</w:t>
      </w:r>
    </w:p>
    <w:p>
      <w:pPr>
        <w:pStyle w:val="Style18"/>
        <w:keepNext/>
        <w:keepLines/>
        <w:widowControl w:val="0"/>
        <w:shd w:val="clear" w:color="auto" w:fill="auto"/>
        <w:bidi w:val="0"/>
        <w:spacing w:before="0" w:after="180" w:line="240" w:lineRule="auto"/>
        <w:ind w:left="0" w:right="0" w:firstLine="0"/>
        <w:jc w:val="center"/>
      </w:pPr>
      <w:bookmarkStart w:id="36" w:name="bookmark36"/>
      <w:bookmarkStart w:id="37" w:name="bookmark37"/>
      <w:bookmarkStart w:id="38" w:name="bookmark38"/>
      <w:r>
        <w:rPr>
          <w:b/>
          <w:bCs/>
          <w:color w:val="000000"/>
          <w:spacing w:val="0"/>
          <w:w w:val="100"/>
          <w:position w:val="0"/>
          <w:shd w:val="clear" w:color="auto" w:fill="auto"/>
          <w:lang w:val="cs-CZ" w:eastAsia="cs-CZ" w:bidi="cs-CZ"/>
        </w:rPr>
        <w:t>Čl. IV. CENA</w:t>
      </w:r>
      <w:bookmarkEnd w:id="36"/>
      <w:bookmarkEnd w:id="37"/>
      <w:bookmarkEnd w:id="38"/>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Původní znění: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dle SOD</w:t>
      </w:r>
    </w:p>
    <w:p>
      <w:pPr>
        <w:pStyle w:val="Style2"/>
        <w:keepNext w:val="0"/>
        <w:keepLines w:val="0"/>
        <w:widowControl w:val="0"/>
        <w:shd w:val="clear" w:color="auto" w:fill="auto"/>
        <w:tabs>
          <w:tab w:pos="5659" w:val="left"/>
        </w:tabs>
        <w:bidi w:val="0"/>
        <w:spacing w:before="0" w:after="0" w:line="240" w:lineRule="auto"/>
        <w:ind w:left="0" w:right="0" w:firstLine="0"/>
        <w:jc w:val="left"/>
      </w:pPr>
      <w:r>
        <w:rPr>
          <w:color w:val="000000"/>
          <w:spacing w:val="0"/>
          <w:w w:val="100"/>
          <w:position w:val="0"/>
          <w:shd w:val="clear" w:color="auto" w:fill="auto"/>
          <w:lang w:val="cs-CZ" w:eastAsia="cs-CZ" w:bidi="cs-CZ"/>
        </w:rPr>
        <w:t>Aktualizace PD DÚR</w:t>
        <w:tab/>
        <w:t>112 500 Kč bez DPH</w:t>
      </w:r>
    </w:p>
    <w:p>
      <w:pPr>
        <w:pStyle w:val="Style2"/>
        <w:keepNext w:val="0"/>
        <w:keepLines w:val="0"/>
        <w:widowControl w:val="0"/>
        <w:shd w:val="clear" w:color="auto" w:fill="auto"/>
        <w:tabs>
          <w:tab w:pos="5659" w:val="left"/>
        </w:tabs>
        <w:bidi w:val="0"/>
        <w:spacing w:before="0" w:after="180" w:line="240" w:lineRule="auto"/>
        <w:ind w:left="0" w:right="0" w:firstLine="0"/>
        <w:jc w:val="left"/>
      </w:pPr>
      <w:r>
        <w:rPr>
          <w:color w:val="000000"/>
          <w:spacing w:val="0"/>
          <w:w w:val="100"/>
          <w:position w:val="0"/>
          <w:shd w:val="clear" w:color="auto" w:fill="auto"/>
          <w:lang w:val="cs-CZ" w:eastAsia="cs-CZ" w:bidi="cs-CZ"/>
        </w:rPr>
        <w:t>HT posouzení bezvývarového řešení spodní výpusti 187 000 Kč bez DPH CELKEM</w:t>
        <w:tab/>
        <w:t>299 500 Kč bez DPH</w:t>
      </w:r>
    </w:p>
    <w:p>
      <w:pPr>
        <w:pStyle w:val="Style2"/>
        <w:keepNext w:val="0"/>
        <w:keepLines w:val="0"/>
        <w:widowControl w:val="0"/>
        <w:shd w:val="clear" w:color="auto" w:fill="auto"/>
        <w:bidi w:val="0"/>
        <w:spacing w:before="0" w:after="440" w:line="240" w:lineRule="auto"/>
        <w:ind w:left="0" w:right="0" w:firstLine="0"/>
        <w:jc w:val="left"/>
      </w:pPr>
      <w:r>
        <mc:AlternateContent>
          <mc:Choice Requires="wps">
            <w:drawing>
              <wp:anchor distT="0" distB="0" distL="114300" distR="114300" simplePos="0" relativeHeight="125829390" behindDoc="0" locked="0" layoutInCell="1" allowOverlap="1">
                <wp:simplePos x="0" y="0"/>
                <wp:positionH relativeFrom="page">
                  <wp:posOffset>4481830</wp:posOffset>
                </wp:positionH>
                <wp:positionV relativeFrom="paragraph">
                  <wp:posOffset>12700</wp:posOffset>
                </wp:positionV>
                <wp:extent cx="1261745" cy="228600"/>
                <wp:wrapSquare wrapText="left"/>
                <wp:docPr id="19" name="Shape 19"/>
                <a:graphic xmlns:a="http://schemas.openxmlformats.org/drawingml/2006/main">
                  <a:graphicData uri="http://schemas.microsoft.com/office/word/2010/wordprocessingShape">
                    <wps:wsp>
                      <wps:cNvSpPr txBox="1"/>
                      <wps:spPr>
                        <a:xfrm>
                          <a:ext cx="126174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56 100 Kč bez DPH</w:t>
                            </w:r>
                          </w:p>
                        </w:txbxContent>
                      </wps:txbx>
                      <wps:bodyPr wrap="none" lIns="0" tIns="0" rIns="0" bIns="0">
                        <a:noAutoFit/>
                      </wps:bodyPr>
                    </wps:wsp>
                  </a:graphicData>
                </a:graphic>
              </wp:anchor>
            </w:drawing>
          </mc:Choice>
          <mc:Fallback>
            <w:pict>
              <v:shape id="_x0000_s1045" type="#_x0000_t202" style="position:absolute;margin-left:352.90000000000003pt;margin-top:1.pt;width:99.350000000000009pt;height:18.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56 100 Kč bez DPH</w:t>
                      </w:r>
                    </w:p>
                  </w:txbxContent>
                </v:textbox>
                <w10:wrap type="square" side="left" anchorx="page"/>
              </v:shape>
            </w:pict>
          </mc:Fallback>
        </mc:AlternateContent>
      </w:r>
      <w:r>
        <w:rPr>
          <w:color w:val="000000"/>
          <w:spacing w:val="0"/>
          <w:w w:val="100"/>
          <w:position w:val="0"/>
          <w:shd w:val="clear" w:color="auto" w:fill="auto"/>
          <w:lang w:val="cs-CZ" w:eastAsia="cs-CZ" w:bidi="cs-CZ"/>
        </w:rPr>
        <w:t>Hodnota nerealizovaných částí plnění dle Smlouvy: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Nové znění (cena díla ponížená o nerealizované plnění):</w:t>
      </w:r>
    </w:p>
    <w:p>
      <w:pPr>
        <w:pStyle w:val="Style2"/>
        <w:keepNext w:val="0"/>
        <w:keepLines w:val="0"/>
        <w:widowControl w:val="0"/>
        <w:shd w:val="clear" w:color="auto" w:fill="auto"/>
        <w:tabs>
          <w:tab w:pos="5659" w:val="left"/>
        </w:tabs>
        <w:bidi w:val="0"/>
        <w:spacing w:before="0" w:after="0" w:line="240" w:lineRule="auto"/>
        <w:ind w:left="0" w:right="0" w:firstLine="0"/>
        <w:jc w:val="left"/>
      </w:pPr>
      <w:r>
        <w:rPr>
          <w:color w:val="000000"/>
          <w:spacing w:val="0"/>
          <w:w w:val="100"/>
          <w:position w:val="0"/>
          <w:shd w:val="clear" w:color="auto" w:fill="auto"/>
          <w:lang w:val="cs-CZ" w:eastAsia="cs-CZ" w:bidi="cs-CZ"/>
        </w:rPr>
        <w:t>Aktualizace PD DUR</w:t>
        <w:tab/>
        <w:t>88 500 Kč bez DPH (79 %)</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HT posouzení bezvývarového řešení spodní výpusti 130 900 Kč bez DPH (70 %)</w:t>
      </w:r>
    </w:p>
    <w:p>
      <w:pPr>
        <w:pStyle w:val="Style2"/>
        <w:keepNext w:val="0"/>
        <w:keepLines w:val="0"/>
        <w:widowControl w:val="0"/>
        <w:shd w:val="clear" w:color="auto" w:fill="auto"/>
        <w:bidi w:val="0"/>
        <w:spacing w:before="0" w:after="680" w:line="240" w:lineRule="auto"/>
        <w:ind w:left="6520" w:right="0" w:hanging="6520"/>
        <w:jc w:val="left"/>
      </w:pPr>
      <w:r>
        <w:rPr>
          <w:color w:val="000000"/>
          <w:spacing w:val="0"/>
          <w:w w:val="100"/>
          <w:position w:val="0"/>
          <w:shd w:val="clear" w:color="auto" w:fill="auto"/>
          <w:lang w:val="cs-CZ" w:eastAsia="cs-CZ" w:bidi="cs-CZ"/>
        </w:rPr>
        <w:t xml:space="preserve">Cena díla zahrnuje veškeré náklady zhotovitele související s realizací díla a činí </w:t>
      </w:r>
      <w:r>
        <w:rPr>
          <w:b/>
          <w:bCs/>
          <w:color w:val="000000"/>
          <w:spacing w:val="0"/>
          <w:w w:val="100"/>
          <w:position w:val="0"/>
          <w:shd w:val="clear" w:color="auto" w:fill="auto"/>
          <w:lang w:val="cs-CZ" w:eastAsia="cs-CZ" w:bidi="cs-CZ"/>
        </w:rPr>
        <w:t>celkem</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219 400 Kč bez DPH.</w:t>
      </w:r>
    </w:p>
    <w:p>
      <w:pPr>
        <w:pStyle w:val="Style18"/>
        <w:keepNext/>
        <w:keepLines/>
        <w:widowControl w:val="0"/>
        <w:shd w:val="clear" w:color="auto" w:fill="auto"/>
        <w:bidi w:val="0"/>
        <w:spacing w:before="0" w:after="180" w:line="240" w:lineRule="auto"/>
        <w:ind w:left="0" w:right="0" w:firstLine="0"/>
        <w:jc w:val="center"/>
      </w:pPr>
      <w:bookmarkStart w:id="39" w:name="bookmark39"/>
      <w:bookmarkStart w:id="40" w:name="bookmark40"/>
      <w:bookmarkStart w:id="41" w:name="bookmark41"/>
      <w:r>
        <w:rPr>
          <w:b/>
          <w:bCs/>
          <w:color w:val="000000"/>
          <w:spacing w:val="0"/>
          <w:w w:val="100"/>
          <w:position w:val="0"/>
          <w:shd w:val="clear" w:color="auto" w:fill="auto"/>
          <w:lang w:val="cs-CZ" w:eastAsia="cs-CZ" w:bidi="cs-CZ"/>
        </w:rPr>
        <w:t>Čl. V. PLATEBNÍ PODMÍNKY</w:t>
      </w:r>
      <w:bookmarkEnd w:id="39"/>
      <w:bookmarkEnd w:id="40"/>
      <w:bookmarkEnd w:id="41"/>
    </w:p>
    <w:p>
      <w:pPr>
        <w:pStyle w:val="Style2"/>
        <w:keepNext w:val="0"/>
        <w:keepLines w:val="0"/>
        <w:widowControl w:val="0"/>
        <w:numPr>
          <w:ilvl w:val="0"/>
          <w:numId w:val="11"/>
        </w:numPr>
        <w:shd w:val="clear" w:color="auto" w:fill="auto"/>
        <w:tabs>
          <w:tab w:pos="382" w:val="left"/>
        </w:tabs>
        <w:bidi w:val="0"/>
        <w:spacing w:before="0" w:after="0" w:line="240" w:lineRule="auto"/>
        <w:ind w:left="0" w:right="0" w:firstLine="0"/>
        <w:jc w:val="left"/>
      </w:pPr>
      <w:bookmarkStart w:id="42" w:name="bookmark42"/>
      <w:bookmarkEnd w:id="42"/>
      <w:r>
        <w:rPr>
          <w:color w:val="000000"/>
          <w:spacing w:val="0"/>
          <w:w w:val="100"/>
          <w:position w:val="0"/>
          <w:shd w:val="clear" w:color="auto" w:fill="auto"/>
          <w:lang w:val="cs-CZ" w:eastAsia="cs-CZ" w:bidi="cs-CZ"/>
        </w:rPr>
        <w:t>Objednavatel nebude poskytovat zhotoviteli zálohy.</w:t>
      </w:r>
    </w:p>
    <w:p>
      <w:pPr>
        <w:pStyle w:val="Style2"/>
        <w:keepNext w:val="0"/>
        <w:keepLines w:val="0"/>
        <w:widowControl w:val="0"/>
        <w:numPr>
          <w:ilvl w:val="0"/>
          <w:numId w:val="11"/>
        </w:numPr>
        <w:shd w:val="clear" w:color="auto" w:fill="auto"/>
        <w:tabs>
          <w:tab w:pos="402" w:val="left"/>
        </w:tabs>
        <w:bidi w:val="0"/>
        <w:spacing w:before="0" w:after="0" w:line="240" w:lineRule="auto"/>
        <w:ind w:left="300" w:right="0" w:hanging="300"/>
        <w:jc w:val="left"/>
      </w:pPr>
      <w:bookmarkStart w:id="43" w:name="bookmark43"/>
      <w:bookmarkEnd w:id="43"/>
      <w:r>
        <w:rPr>
          <w:color w:val="000000"/>
          <w:spacing w:val="0"/>
          <w:w w:val="100"/>
          <w:position w:val="0"/>
          <w:shd w:val="clear" w:color="auto" w:fill="auto"/>
          <w:lang w:val="cs-CZ" w:eastAsia="cs-CZ" w:bidi="cs-CZ"/>
        </w:rPr>
        <w:t xml:space="preserve">Cena díla bude hrazena na základě konečné faktury, kterou bude provedeno vyúčtování po dokončení, předání a převzetí díla v rozpracovanosti. Fakturu je zhotovitel povinen prokazatelně doručit zadavateli nejpozději do </w:t>
      </w:r>
      <w:r>
        <w:rPr>
          <w:b/>
          <w:bCs/>
          <w:color w:val="000000"/>
          <w:spacing w:val="0"/>
          <w:w w:val="100"/>
          <w:position w:val="0"/>
          <w:shd w:val="clear" w:color="auto" w:fill="auto"/>
          <w:lang w:val="cs-CZ" w:eastAsia="cs-CZ" w:bidi="cs-CZ"/>
        </w:rPr>
        <w:t xml:space="preserve">10 pracovních dnů </w:t>
      </w:r>
      <w:r>
        <w:rPr>
          <w:color w:val="000000"/>
          <w:spacing w:val="0"/>
          <w:w w:val="100"/>
          <w:position w:val="0"/>
          <w:shd w:val="clear" w:color="auto" w:fill="auto"/>
          <w:lang w:val="cs-CZ" w:eastAsia="cs-CZ" w:bidi="cs-CZ"/>
        </w:rPr>
        <w:t>ode dne uskutečnění plnění.</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Na základě potvrzeného předávacího protokolu bude fakturována celková částka</w:t>
      </w:r>
    </w:p>
    <w:p>
      <w:pPr>
        <w:pStyle w:val="Style2"/>
        <w:keepNext w:val="0"/>
        <w:keepLines w:val="0"/>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cs-CZ" w:eastAsia="cs-CZ" w:bidi="cs-CZ"/>
        </w:rPr>
        <w:t>219 400,00 Kč bez DPH.</w:t>
      </w:r>
    </w:p>
    <w:p>
      <w:pPr>
        <w:pStyle w:val="Style2"/>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Faktura bude povinně obsahovat příslušné číslo akce, tj. 501 662.</w:t>
      </w:r>
    </w:p>
    <w:p>
      <w:pPr>
        <w:pStyle w:val="Style2"/>
        <w:keepNext w:val="0"/>
        <w:keepLines w:val="0"/>
        <w:widowControl w:val="0"/>
        <w:numPr>
          <w:ilvl w:val="0"/>
          <w:numId w:val="11"/>
        </w:numPr>
        <w:shd w:val="clear" w:color="auto" w:fill="auto"/>
        <w:tabs>
          <w:tab w:pos="402" w:val="left"/>
        </w:tabs>
        <w:bidi w:val="0"/>
        <w:spacing w:before="0" w:after="0" w:line="240" w:lineRule="auto"/>
        <w:ind w:left="300" w:right="0" w:hanging="300"/>
        <w:jc w:val="both"/>
      </w:pPr>
      <w:bookmarkStart w:id="44" w:name="bookmark44"/>
      <w:bookmarkEnd w:id="44"/>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after="0" w:line="240" w:lineRule="auto"/>
        <w:ind w:left="300" w:right="0" w:firstLine="20"/>
        <w:jc w:val="left"/>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numPr>
          <w:ilvl w:val="0"/>
          <w:numId w:val="11"/>
        </w:numPr>
        <w:shd w:val="clear" w:color="auto" w:fill="auto"/>
        <w:tabs>
          <w:tab w:pos="402" w:val="left"/>
        </w:tabs>
        <w:bidi w:val="0"/>
        <w:spacing w:before="0" w:after="240" w:line="240" w:lineRule="auto"/>
        <w:ind w:left="0" w:right="0" w:firstLine="0"/>
        <w:jc w:val="left"/>
      </w:pPr>
      <w:bookmarkStart w:id="45" w:name="bookmark45"/>
      <w:bookmarkEnd w:id="45"/>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r>
        <w:br w:type="page"/>
      </w:r>
    </w:p>
    <w:p>
      <w:pPr>
        <w:pStyle w:val="Style2"/>
        <w:keepNext w:val="0"/>
        <w:keepLines w:val="0"/>
        <w:widowControl w:val="0"/>
        <w:numPr>
          <w:ilvl w:val="0"/>
          <w:numId w:val="11"/>
        </w:numPr>
        <w:shd w:val="clear" w:color="auto" w:fill="auto"/>
        <w:tabs>
          <w:tab w:pos="382" w:val="left"/>
        </w:tabs>
        <w:bidi w:val="0"/>
        <w:spacing w:before="0" w:after="0" w:line="240" w:lineRule="auto"/>
        <w:ind w:left="300" w:right="0" w:hanging="300"/>
        <w:jc w:val="left"/>
      </w:pPr>
      <w:bookmarkStart w:id="46" w:name="bookmark46"/>
      <w:bookmarkEnd w:id="46"/>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11"/>
        </w:numPr>
        <w:shd w:val="clear" w:color="auto" w:fill="auto"/>
        <w:tabs>
          <w:tab w:pos="382" w:val="left"/>
        </w:tabs>
        <w:bidi w:val="0"/>
        <w:spacing w:before="0" w:after="0" w:line="240" w:lineRule="auto"/>
        <w:ind w:left="0" w:right="0" w:firstLine="0"/>
        <w:jc w:val="left"/>
      </w:pPr>
      <w:bookmarkStart w:id="47" w:name="bookmark47"/>
      <w:bookmarkEnd w:id="47"/>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shd w:val="clear" w:color="auto" w:fill="auto"/>
        <w:bidi w:val="0"/>
        <w:spacing w:before="0" w:after="180" w:line="240" w:lineRule="auto"/>
        <w:ind w:left="300" w:right="0" w:firstLine="40"/>
        <w:jc w:val="left"/>
      </w:pPr>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4.</w:t>
      </w:r>
    </w:p>
    <w:p>
      <w:pPr>
        <w:pStyle w:val="Style2"/>
        <w:keepNext w:val="0"/>
        <w:keepLines w:val="0"/>
        <w:widowControl w:val="0"/>
        <w:numPr>
          <w:ilvl w:val="0"/>
          <w:numId w:val="13"/>
        </w:numPr>
        <w:shd w:val="clear" w:color="auto" w:fill="auto"/>
        <w:tabs>
          <w:tab w:pos="382" w:val="left"/>
        </w:tabs>
        <w:bidi w:val="0"/>
        <w:spacing w:before="0" w:after="0" w:line="240" w:lineRule="auto"/>
        <w:ind w:left="300" w:right="0" w:hanging="300"/>
        <w:jc w:val="left"/>
      </w:pPr>
      <w:bookmarkStart w:id="48" w:name="bookmark48"/>
      <w:bookmarkEnd w:id="48"/>
      <w:r>
        <w:rPr>
          <w:color w:val="000000"/>
          <w:spacing w:val="0"/>
          <w:w w:val="100"/>
          <w:position w:val="0"/>
          <w:shd w:val="clear" w:color="auto" w:fill="auto"/>
          <w:lang w:val="cs-CZ" w:eastAsia="cs-CZ" w:bidi="cs-CZ"/>
        </w:rPr>
        <w:t>Dohoda nabývá platnosti dnem jejího podpisu poslední ze stran a účinnosti zveřejněním v Registru smluv, pokud této účinnosti dle příslušných ustanovení dohody nenabude později.</w:t>
      </w:r>
    </w:p>
    <w:p>
      <w:pPr>
        <w:pStyle w:val="Style2"/>
        <w:keepNext w:val="0"/>
        <w:keepLines w:val="0"/>
        <w:widowControl w:val="0"/>
        <w:numPr>
          <w:ilvl w:val="0"/>
          <w:numId w:val="13"/>
        </w:numPr>
        <w:shd w:val="clear" w:color="auto" w:fill="auto"/>
        <w:tabs>
          <w:tab w:pos="382" w:val="left"/>
        </w:tabs>
        <w:bidi w:val="0"/>
        <w:spacing w:before="0" w:after="0" w:line="240" w:lineRule="auto"/>
        <w:ind w:left="0" w:right="0" w:firstLine="0"/>
        <w:jc w:val="left"/>
      </w:pPr>
      <w:bookmarkStart w:id="49" w:name="bookmark49"/>
      <w:bookmarkEnd w:id="49"/>
      <w:r>
        <w:rPr>
          <w:color w:val="000000"/>
          <w:spacing w:val="0"/>
          <w:w w:val="100"/>
          <w:position w:val="0"/>
          <w:shd w:val="clear" w:color="auto" w:fill="auto"/>
          <w:lang w:val="cs-CZ" w:eastAsia="cs-CZ" w:bidi="cs-CZ"/>
        </w:rPr>
        <w:t>Smluvní strany nepovažují žádné ustanovení Dohody za obchodní tajemství.</w:t>
      </w:r>
    </w:p>
    <w:p>
      <w:pPr>
        <w:pStyle w:val="Style2"/>
        <w:keepNext w:val="0"/>
        <w:keepLines w:val="0"/>
        <w:widowControl w:val="0"/>
        <w:numPr>
          <w:ilvl w:val="0"/>
          <w:numId w:val="13"/>
        </w:numPr>
        <w:shd w:val="clear" w:color="auto" w:fill="auto"/>
        <w:tabs>
          <w:tab w:pos="382" w:val="left"/>
        </w:tabs>
        <w:bidi w:val="0"/>
        <w:spacing w:before="0" w:after="180" w:line="240" w:lineRule="auto"/>
        <w:ind w:left="300" w:right="0" w:hanging="300"/>
        <w:jc w:val="left"/>
      </w:pPr>
      <w:bookmarkStart w:id="50" w:name="bookmark50"/>
      <w:bookmarkEnd w:id="50"/>
      <w:r>
        <w:rPr>
          <w:color w:val="000000"/>
          <w:spacing w:val="0"/>
          <w:w w:val="100"/>
          <w:position w:val="0"/>
          <w:shd w:val="clear" w:color="auto" w:fill="auto"/>
          <w:lang w:val="cs-CZ" w:eastAsia="cs-CZ" w:bidi="cs-CZ"/>
        </w:rPr>
        <w:t>Účastníci dohody prohlašují, že veškerá, i nevypořádaná práva a závazky, vyplývající z uvedené Smlouvy byly po rekapitulaci prací provedených zhotovitelem dle schválené zadávací dokumentace a plateb provedených objednatelem a jejich vzájemném odsouhlasení vypořádány. Finanční vypořádání bude provedeno a uhrazeno na základě faktury nebo dobropisu s náležitostmi daňového dokladu podle zákona o DPH.</w:t>
      </w:r>
    </w:p>
    <w:p>
      <w:pPr>
        <w:pStyle w:val="Style2"/>
        <w:keepNext w:val="0"/>
        <w:keepLines w:val="0"/>
        <w:widowControl w:val="0"/>
        <w:shd w:val="clear" w:color="auto" w:fill="auto"/>
        <w:bidi w:val="0"/>
        <w:spacing w:before="0" w:after="1420" w:line="240" w:lineRule="auto"/>
        <w:ind w:left="0" w:right="0" w:firstLine="0"/>
        <w:jc w:val="left"/>
      </w:pPr>
      <w:r>
        <mc:AlternateContent>
          <mc:Choice Requires="wps">
            <w:drawing>
              <wp:anchor distT="0" distB="0" distL="114300" distR="114300" simplePos="0" relativeHeight="125829392" behindDoc="0" locked="0" layoutInCell="1" allowOverlap="1">
                <wp:simplePos x="0" y="0"/>
                <wp:positionH relativeFrom="page">
                  <wp:posOffset>4030980</wp:posOffset>
                </wp:positionH>
                <wp:positionV relativeFrom="paragraph">
                  <wp:posOffset>12700</wp:posOffset>
                </wp:positionV>
                <wp:extent cx="719455" cy="228600"/>
                <wp:wrapSquare wrapText="left"/>
                <wp:docPr id="21" name="Shape 21"/>
                <a:graphic xmlns:a="http://schemas.openxmlformats.org/drawingml/2006/main">
                  <a:graphicData uri="http://schemas.microsoft.com/office/word/2010/wordprocessingShape">
                    <wps:wsp>
                      <wps:cNvSpPr txBox="1"/>
                      <wps:spPr>
                        <a:xfrm>
                          <a:ext cx="71945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Praha, dne</w:t>
                            </w:r>
                          </w:p>
                        </w:txbxContent>
                      </wps:txbx>
                      <wps:bodyPr wrap="none" lIns="0" tIns="0" rIns="0" bIns="0">
                        <a:noAutoFit/>
                      </wps:bodyPr>
                    </wps:wsp>
                  </a:graphicData>
                </a:graphic>
              </wp:anchor>
            </w:drawing>
          </mc:Choice>
          <mc:Fallback>
            <w:pict>
              <v:shape id="_x0000_s1047" type="#_x0000_t202" style="position:absolute;margin-left:317.40000000000003pt;margin-top:1.pt;width:56.649999999999999pt;height:18.pt;z-index:-12582936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Praha, dne</w:t>
                      </w:r>
                    </w:p>
                  </w:txbxContent>
                </v:textbox>
                <w10:wrap type="square" side="left" anchorx="page"/>
              </v:shape>
            </w:pict>
          </mc:Fallback>
        </mc:AlternateContent>
      </w:r>
      <w:r>
        <w:rPr>
          <w:color w:val="000000"/>
          <w:spacing w:val="0"/>
          <w:w w:val="100"/>
          <w:position w:val="0"/>
          <w:shd w:val="clear" w:color="auto" w:fill="auto"/>
          <w:lang w:val="cs-CZ" w:eastAsia="cs-CZ" w:bidi="cs-CZ"/>
        </w:rPr>
        <w:t>Chomutov, dne</w:t>
      </w:r>
    </w:p>
    <w:p>
      <w:pPr>
        <w:pStyle w:val="Style2"/>
        <w:keepNext w:val="0"/>
        <w:keepLines w:val="0"/>
        <w:widowControl w:val="0"/>
        <w:shd w:val="clear" w:color="auto" w:fill="auto"/>
        <w:bidi w:val="0"/>
        <w:spacing w:before="0" w:after="0" w:line="240" w:lineRule="auto"/>
        <w:ind w:left="1640" w:right="0" w:firstLine="20"/>
        <w:jc w:val="left"/>
      </w:pPr>
      <w:r>
        <mc:AlternateContent>
          <mc:Choice Requires="wps">
            <w:drawing>
              <wp:anchor distT="0" distB="0" distL="114300" distR="114300" simplePos="0" relativeHeight="125829394" behindDoc="0" locked="0" layoutInCell="1" allowOverlap="1">
                <wp:simplePos x="0" y="0"/>
                <wp:positionH relativeFrom="page">
                  <wp:posOffset>885190</wp:posOffset>
                </wp:positionH>
                <wp:positionV relativeFrom="paragraph">
                  <wp:posOffset>12700</wp:posOffset>
                </wp:positionV>
                <wp:extent cx="1993265" cy="709930"/>
                <wp:wrapSquare wrapText="bothSides"/>
                <wp:docPr id="23" name="Shape 23"/>
                <a:graphic xmlns:a="http://schemas.openxmlformats.org/drawingml/2006/main">
                  <a:graphicData uri="http://schemas.microsoft.com/office/word/2010/wordprocessingShape">
                    <wps:wsp>
                      <wps:cNvSpPr txBox="1"/>
                      <wps:spPr>
                        <a:xfrm>
                          <a:ext cx="1993265" cy="7099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49" type="#_x0000_t202" style="position:absolute;margin-left:69.700000000000003pt;margin-top:1.pt;width:156.95000000000002pt;height:55.899999999999999pt;z-index:-12582935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1640" w:right="0" w:firstLine="20"/>
        <w:jc w:val="left"/>
      </w:pPr>
      <w:r>
        <w:rPr>
          <w:color w:val="000000"/>
          <w:spacing w:val="0"/>
          <w:w w:val="100"/>
          <w:position w:val="0"/>
          <w:shd w:val="clear" w:color="auto" w:fill="auto"/>
          <w:lang w:val="cs-CZ" w:eastAsia="cs-CZ" w:bidi="cs-CZ"/>
        </w:rPr>
        <w:t>ředitel divize 06</w:t>
      </w:r>
    </w:p>
    <w:p>
      <w:pPr>
        <w:pStyle w:val="Style2"/>
        <w:keepNext w:val="0"/>
        <w:keepLines w:val="0"/>
        <w:widowControl w:val="0"/>
        <w:shd w:val="clear" w:color="auto" w:fill="auto"/>
        <w:bidi w:val="0"/>
        <w:spacing w:before="0" w:after="180" w:line="240" w:lineRule="auto"/>
        <w:ind w:left="1640" w:right="0" w:firstLine="20"/>
        <w:jc w:val="left"/>
      </w:pPr>
      <w:r>
        <w:rPr>
          <w:color w:val="000000"/>
          <w:spacing w:val="0"/>
          <w:w w:val="100"/>
          <w:position w:val="0"/>
          <w:shd w:val="clear" w:color="auto" w:fill="auto"/>
          <w:lang w:val="cs-CZ" w:eastAsia="cs-CZ" w:bidi="cs-CZ"/>
        </w:rPr>
        <w:t>Vodohospodářský rozvoj a výstavba a.s. zhotovitel (podpis, razítko)</w:t>
      </w:r>
    </w:p>
    <w:p>
      <w:pPr>
        <w:pStyle w:val="Style2"/>
        <w:keepNext w:val="0"/>
        <w:keepLines w:val="0"/>
        <w:widowControl w:val="0"/>
        <w:shd w:val="clear" w:color="auto" w:fill="auto"/>
        <w:bidi w:val="0"/>
        <w:spacing w:before="0" w:after="180" w:line="240" w:lineRule="auto"/>
        <w:ind w:left="4980" w:right="0" w:firstLine="0"/>
        <w:jc w:val="left"/>
      </w:pPr>
      <w:r>
        <w:rPr>
          <w:color w:val="000000"/>
          <w:spacing w:val="0"/>
          <w:w w:val="100"/>
          <w:position w:val="0"/>
          <w:shd w:val="clear" w:color="auto" w:fill="auto"/>
          <w:lang w:val="cs-CZ" w:eastAsia="cs-CZ" w:bidi="cs-CZ"/>
        </w:rPr>
        <w:t>Na základě plné moci ze dne 28.2.2023</w:t>
      </w:r>
    </w:p>
    <w:sectPr>
      <w:headerReference w:type="default" r:id="rId9"/>
      <w:footerReference w:type="default" r:id="rId10"/>
      <w:footnotePr>
        <w:pos w:val="pageBottom"/>
        <w:numFmt w:val="decimal"/>
        <w:numRestart w:val="continuous"/>
      </w:footnotePr>
      <w:pgSz w:w="11909" w:h="16838"/>
      <w:pgMar w:top="1387" w:left="1394" w:right="1384" w:bottom="192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3747135</wp:posOffset>
              </wp:positionH>
              <wp:positionV relativeFrom="page">
                <wp:posOffset>9591675</wp:posOffset>
              </wp:positionV>
              <wp:extent cx="69850" cy="186055"/>
              <wp:wrapNone/>
              <wp:docPr id="11" name="Shape 11"/>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295.05000000000001pt;margin-top:755.25pt;width:5.5pt;height:14.6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3747135</wp:posOffset>
              </wp:positionH>
              <wp:positionV relativeFrom="page">
                <wp:posOffset>9591675</wp:posOffset>
              </wp:positionV>
              <wp:extent cx="69850" cy="186055"/>
              <wp:wrapNone/>
              <wp:docPr id="13" name="Shape 13"/>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9" type="#_x0000_t202" style="position:absolute;margin-left:295.05000000000001pt;margin-top:755.25pt;width:5.5pt;height:14.65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3747135</wp:posOffset>
              </wp:positionH>
              <wp:positionV relativeFrom="page">
                <wp:posOffset>9591675</wp:posOffset>
              </wp:positionV>
              <wp:extent cx="69850" cy="186055"/>
              <wp:wrapNone/>
              <wp:docPr id="27" name="Shape 27"/>
              <a:graphic xmlns:a="http://schemas.openxmlformats.org/drawingml/2006/main">
                <a:graphicData uri="http://schemas.microsoft.com/office/word/2010/wordprocessingShape">
                  <wps:wsp>
                    <wps:cNvSpPr txBox="1"/>
                    <wps:spPr>
                      <a:xfrm>
                        <a:ext cx="69850" cy="1860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3" type="#_x0000_t202" style="position:absolute;margin-left:295.05000000000001pt;margin-top:755.25pt;width:5.5pt;height:14.6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5182870</wp:posOffset>
              </wp:positionH>
              <wp:positionV relativeFrom="page">
                <wp:posOffset>435610</wp:posOffset>
              </wp:positionV>
              <wp:extent cx="1481455" cy="341630"/>
              <wp:wrapNone/>
              <wp:docPr id="9" name="Shape 9"/>
              <a:graphic xmlns:a="http://schemas.openxmlformats.org/drawingml/2006/main">
                <a:graphicData uri="http://schemas.microsoft.com/office/word/2010/wordprocessingShape">
                  <wps:wsp>
                    <wps:cNvSpPr txBox="1"/>
                    <wps:spPr>
                      <a:xfrm>
                        <a:ext cx="148145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ek č. 3 k SOD č. 152/2019</w:t>
                          </w:r>
                        </w:p>
                      </w:txbxContent>
                    </wps:txbx>
                    <wps:bodyPr wrap="none" lIns="0" tIns="0" rIns="0" bIns="0">
                      <a:spAutoFit/>
                    </wps:bodyPr>
                  </wps:wsp>
                </a:graphicData>
              </a:graphic>
            </wp:anchor>
          </w:drawing>
        </mc:Choice>
        <mc:Fallback>
          <w:pict>
            <v:shape id="_x0000_s1035" type="#_x0000_t202" style="position:absolute;margin-left:408.10000000000002pt;margin-top:34.300000000000004pt;width:116.65000000000001pt;height:26.9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ek č. 3 k SOD č. 152/2019</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5182870</wp:posOffset>
              </wp:positionH>
              <wp:positionV relativeFrom="page">
                <wp:posOffset>435610</wp:posOffset>
              </wp:positionV>
              <wp:extent cx="1481455" cy="341630"/>
              <wp:wrapNone/>
              <wp:docPr id="25" name="Shape 25"/>
              <a:graphic xmlns:a="http://schemas.openxmlformats.org/drawingml/2006/main">
                <a:graphicData uri="http://schemas.microsoft.com/office/word/2010/wordprocessingShape">
                  <wps:wsp>
                    <wps:cNvSpPr txBox="1"/>
                    <wps:spPr>
                      <a:xfrm>
                        <a:ext cx="1481455" cy="3416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ek č. 3 k SOD č. 152/2019</w:t>
                          </w:r>
                        </w:p>
                      </w:txbxContent>
                    </wps:txbx>
                    <wps:bodyPr wrap="none" lIns="0" tIns="0" rIns="0" bIns="0">
                      <a:spAutoFit/>
                    </wps:bodyPr>
                  </wps:wsp>
                </a:graphicData>
              </a:graphic>
            </wp:anchor>
          </w:drawing>
        </mc:Choice>
        <mc:Fallback>
          <w:pict>
            <v:shape id="_x0000_s1051" type="#_x0000_t202" style="position:absolute;margin-left:408.10000000000002pt;margin-top:34.300000000000004pt;width:116.65000000000001pt;height:26.900000000000002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dodat</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ek č. 3 k SOD č. 152/2019</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line="257" w:lineRule="auto"/>
    </w:pPr>
    <w:rPr>
      <w:rFonts w:ascii="Arial" w:eastAsia="Arial" w:hAnsi="Arial" w:cs="Arial"/>
      <w:b w:val="0"/>
      <w:bCs w:val="0"/>
      <w:i w:val="0"/>
      <w:iCs w:val="0"/>
      <w:smallCaps w:val="0"/>
      <w:strike w:val="0"/>
      <w:sz w:val="22"/>
      <w:szCs w:val="22"/>
      <w:u w:val="none"/>
    </w:rPr>
  </w:style>
  <w:style w:type="paragraph" w:customStyle="1" w:styleId="Style11">
    <w:name w:val="Style 11"/>
    <w:basedOn w:val="Normal"/>
    <w:link w:val="CharStyle12"/>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9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Vanourek Stanislav</dc:creator>
  <cp:keywords/>
</cp:coreProperties>
</file>