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615950" distL="15240" distR="1206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3477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1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1158875</wp:posOffset>
                </wp:positionV>
                <wp:extent cx="219710" cy="1917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7.549999999999997pt;margin-top:91.25pt;width:17.300000000000001pt;height:15.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1158875</wp:posOffset>
                </wp:positionV>
                <wp:extent cx="536575" cy="43561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91.25pt;width:42.25pt;height:34.300000000000004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1688465</wp:posOffset>
                </wp:positionV>
                <wp:extent cx="536575" cy="8318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6575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550000000000004pt;margin-top:132.94999999999999pt;width:42.25pt;height:65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938530</wp:posOffset>
                </wp:positionV>
                <wp:extent cx="1054735" cy="100901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1009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CHVALIS s.r.o.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Velešická čp. 54 411 72 Hoštka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6.90000000000003pt;margin-top:73.900000000000006pt;width:83.049999999999997pt;height:79.45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CHVALIS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Velešická čp. 54 411 72 Hoštka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30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POH/57945/2024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0" w:right="216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…………………….. …………………….. …………………….. ……………………..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16.12.2024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316955/40/2024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31.12.2024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83 013,00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494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č. NSH2402263 ze dne 16.12.2024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výměnu hydraulických ventilů na MVE Doksany.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materiálu je uveden v příloze č. 1 - cenová nabídka č. NSH2402263.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……………………..</w:t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23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