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9"/>
        <w:ind w:left="3423" w:right="3148"/>
      </w:pPr>
      <w:r>
        <w:rPr>
          <w:color w:val="808080"/>
        </w:rPr>
        <w:t>Smlouva</w:t>
      </w:r>
      <w:r>
        <w:rPr>
          <w:color w:val="808080"/>
          <w:spacing w:val="-20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5230600247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9"/>
        <w:ind w:left="0" w:firstLine="0"/>
        <w:jc w:val="left"/>
        <w:rPr>
          <w:sz w:val="51"/>
        </w:rPr>
      </w:pPr>
    </w:p>
    <w:p>
      <w:pPr>
        <w:pStyle w:val="BodyText"/>
        <w:ind w:left="38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4643" w:firstLine="0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231"/>
        <w:ind w:left="382" w:firstLine="0"/>
        <w:jc w:val="left"/>
      </w:pPr>
      <w:r>
        <w:rPr>
          <w:w w:val="99"/>
        </w:rPr>
        <w:t>a</w:t>
      </w:r>
    </w:p>
    <w:p>
      <w:pPr>
        <w:pStyle w:val="Heading2"/>
        <w:spacing w:before="228"/>
        <w:jc w:val="left"/>
      </w:pPr>
      <w:r>
        <w:rPr/>
        <w:t>AGROPROGRES</w:t>
      </w:r>
      <w:r>
        <w:rPr>
          <w:spacing w:val="-7"/>
        </w:rPr>
        <w:t> </w:t>
      </w:r>
      <w:r>
        <w:rPr/>
        <w:t>Kateřinky</w:t>
      </w:r>
      <w:r>
        <w:rPr>
          <w:spacing w:val="-6"/>
        </w:rPr>
        <w:t> </w:t>
      </w:r>
      <w:r>
        <w:rPr/>
        <w:t>s.</w:t>
      </w:r>
      <w:r>
        <w:rPr>
          <w:spacing w:val="-8"/>
        </w:rPr>
        <w:t> </w:t>
      </w:r>
      <w:r>
        <w:rPr/>
        <w:t>r.</w:t>
      </w:r>
      <w:r>
        <w:rPr>
          <w:spacing w:val="-9"/>
        </w:rPr>
        <w:t> </w:t>
      </w:r>
      <w:r>
        <w:rPr>
          <w:spacing w:val="-5"/>
        </w:rPr>
        <w:t>o.</w:t>
      </w:r>
    </w:p>
    <w:p>
      <w:pPr>
        <w:pStyle w:val="BodyText"/>
        <w:spacing w:before="1"/>
        <w:ind w:left="382" w:right="1148" w:firstLine="0"/>
        <w:jc w:val="left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Ostravě, oddíl C, vložka 5673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Arnoštov</w:t>
      </w:r>
      <w:r>
        <w:rPr>
          <w:spacing w:val="-4"/>
        </w:rPr>
        <w:t> </w:t>
      </w:r>
      <w:r>
        <w:rPr/>
        <w:t>83,</w:t>
      </w:r>
      <w:r>
        <w:rPr>
          <w:spacing w:val="-5"/>
        </w:rPr>
        <w:t> </w:t>
      </w:r>
      <w:r>
        <w:rPr/>
        <w:t>747</w:t>
      </w:r>
      <w:r>
        <w:rPr>
          <w:spacing w:val="-2"/>
        </w:rPr>
        <w:t> </w:t>
      </w:r>
      <w:r>
        <w:rPr/>
        <w:t>33</w:t>
      </w:r>
      <w:r>
        <w:rPr>
          <w:spacing w:val="-4"/>
        </w:rPr>
        <w:t> </w:t>
      </w:r>
      <w:r>
        <w:rPr>
          <w:spacing w:val="-2"/>
        </w:rPr>
        <w:t>Oldřišov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spacing w:val="-4"/>
        </w:rPr>
        <w:t>IČO:</w:t>
      </w:r>
      <w:r>
        <w:rPr/>
        <w:tab/>
        <w:t>479</w:t>
      </w:r>
      <w:r>
        <w:rPr>
          <w:spacing w:val="-2"/>
        </w:rPr>
        <w:t> </w:t>
      </w:r>
      <w:r>
        <w:rPr/>
        <w:t>77</w:t>
      </w:r>
      <w:r>
        <w:rPr>
          <w:spacing w:val="-2"/>
        </w:rPr>
        <w:t> </w:t>
      </w:r>
      <w:r>
        <w:rPr>
          <w:spacing w:val="-5"/>
        </w:rPr>
        <w:t>400</w:t>
      </w:r>
    </w:p>
    <w:p>
      <w:pPr>
        <w:tabs>
          <w:tab w:pos="3262" w:val="left" w:leader="none"/>
        </w:tabs>
        <w:spacing w:line="265" w:lineRule="exact" w:before="1"/>
        <w:ind w:left="382" w:right="0" w:firstLine="0"/>
        <w:jc w:val="left"/>
        <w:rPr>
          <w:rFonts w:ascii="Verdana" w:hAnsi="Verdana"/>
          <w:sz w:val="18"/>
        </w:rPr>
      </w:pPr>
      <w:r>
        <w:rPr>
          <w:spacing w:val="-2"/>
          <w:sz w:val="20"/>
        </w:rPr>
        <w:t>zastoupená:</w:t>
      </w:r>
      <w:r>
        <w:rPr>
          <w:sz w:val="20"/>
        </w:rPr>
        <w:tab/>
        <w:t>Ing.</w:t>
      </w:r>
      <w:r>
        <w:rPr>
          <w:spacing w:val="-3"/>
          <w:sz w:val="20"/>
        </w:rPr>
        <w:t> </w:t>
      </w:r>
      <w:r>
        <w:rPr>
          <w:sz w:val="20"/>
        </w:rPr>
        <w:t>Hynkem</w:t>
      </w:r>
      <w:r>
        <w:rPr>
          <w:spacing w:val="-4"/>
          <w:sz w:val="20"/>
        </w:rPr>
        <w:t> </w:t>
      </w:r>
      <w:r>
        <w:rPr>
          <w:sz w:val="20"/>
        </w:rPr>
        <w:t>V a</w:t>
      </w:r>
      <w:r>
        <w:rPr>
          <w:spacing w:val="-3"/>
          <w:sz w:val="20"/>
        </w:rPr>
        <w:t> </w:t>
      </w:r>
      <w:r>
        <w:rPr>
          <w:sz w:val="20"/>
        </w:rPr>
        <w:t>l</w:t>
      </w:r>
      <w:r>
        <w:rPr>
          <w:spacing w:val="-3"/>
          <w:sz w:val="20"/>
        </w:rPr>
        <w:t> </w:t>
      </w:r>
      <w:r>
        <w:rPr>
          <w:sz w:val="20"/>
        </w:rPr>
        <w:t>í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m</w:t>
      </w:r>
      <w:r>
        <w:rPr>
          <w:rFonts w:ascii="Verdana" w:hAnsi="Verdana"/>
          <w:color w:val="333333"/>
          <w:sz w:val="18"/>
        </w:rPr>
        <w:t>,</w:t>
      </w:r>
      <w:r>
        <w:rPr>
          <w:rFonts w:ascii="Verdana" w:hAnsi="Verdana"/>
          <w:color w:val="333333"/>
          <w:spacing w:val="-2"/>
          <w:sz w:val="18"/>
        </w:rPr>
        <w:t> jednatelem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262" w:firstLine="0"/>
        <w:jc w:val="left"/>
      </w:pPr>
      <w:r>
        <w:rPr/>
        <w:t>číslo účtu:</w:t>
        <w:tab/>
      </w:r>
      <w:r>
        <w:rPr>
          <w:spacing w:val="-2"/>
        </w:rPr>
        <w:t>29000821/0100 </w:t>
      </w:r>
      <w:r>
        <w:rPr/>
        <w:t>(dále jen „příjemce podpory")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88"/>
        <w:ind w:left="38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  <w:ind w:left="3416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2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0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 w:firstLine="0"/>
      </w:pPr>
      <w:r>
        <w:rPr/>
        <w:t>„Smlouva“) se uzavírá na základě Rozhodnutí ministra životního prostředí č. 5230600247 o poskytnutí finančních prostředků ze Státního fondu životního prostředí ČR ze dne 7. 8.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 w:firstLine="0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6" w:footer="1398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1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5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4736" w:right="163" w:hanging="4031"/>
        <w:jc w:val="both"/>
      </w:pPr>
      <w:r>
        <w:rPr/>
        <w:t>„Pořízení</w:t>
      </w:r>
      <w:r>
        <w:rPr>
          <w:spacing w:val="-4"/>
        </w:rPr>
        <w:t> </w:t>
      </w:r>
      <w:r>
        <w:rPr/>
        <w:t>vybavení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aplikaci</w:t>
      </w:r>
      <w:r>
        <w:rPr>
          <w:spacing w:val="-4"/>
        </w:rPr>
        <w:t> </w:t>
      </w:r>
      <w:r>
        <w:rPr/>
        <w:t>kompostu</w:t>
      </w:r>
      <w:r>
        <w:rPr>
          <w:spacing w:val="-4"/>
        </w:rPr>
        <w:t> </w:t>
      </w:r>
      <w:r>
        <w:rPr/>
        <w:t>AGROPROGRES</w:t>
      </w:r>
      <w:r>
        <w:rPr>
          <w:spacing w:val="-4"/>
        </w:rPr>
        <w:t> </w:t>
      </w:r>
      <w:r>
        <w:rPr/>
        <w:t>Kateřinky</w:t>
      </w:r>
      <w:r>
        <w:rPr>
          <w:spacing w:val="-4"/>
        </w:rPr>
        <w:t> </w:t>
      </w:r>
      <w:r>
        <w:rPr/>
        <w:t>s.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o. (Technika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aplikaci </w:t>
      </w:r>
      <w:r>
        <w:rPr>
          <w:spacing w:val="-2"/>
        </w:rPr>
        <w:t>kompostu)“</w:t>
      </w:r>
    </w:p>
    <w:p>
      <w:pPr>
        <w:pStyle w:val="BodyText"/>
        <w:spacing w:before="120"/>
        <w:ind w:firstLine="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 Smlouvy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3"/>
          <w:sz w:val="20"/>
        </w:rPr>
        <w:t> </w:t>
      </w:r>
      <w:r>
        <w:rPr>
          <w:sz w:val="20"/>
        </w:rPr>
        <w:t>unie</w:t>
      </w:r>
      <w:r>
        <w:rPr>
          <w:spacing w:val="-1"/>
          <w:sz w:val="20"/>
        </w:rPr>
        <w:t> </w:t>
      </w:r>
      <w:r>
        <w:rPr>
          <w:sz w:val="20"/>
        </w:rPr>
        <w:t>prohlašují</w:t>
      </w:r>
      <w:r>
        <w:rPr>
          <w:spacing w:val="-3"/>
          <w:sz w:val="20"/>
        </w:rPr>
        <w:t> </w:t>
      </w:r>
      <w:r>
        <w:rPr>
          <w:sz w:val="20"/>
        </w:rPr>
        <w:t>určité</w:t>
      </w:r>
      <w:r>
        <w:rPr>
          <w:spacing w:val="-3"/>
          <w:sz w:val="20"/>
        </w:rPr>
        <w:t> </w:t>
      </w:r>
      <w:r>
        <w:rPr>
          <w:sz w:val="20"/>
        </w:rPr>
        <w:t>kategorie 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odvětvích</w:t>
      </w:r>
      <w:r>
        <w:rPr>
          <w:spacing w:val="-3"/>
          <w:sz w:val="20"/>
        </w:rPr>
        <w:t> </w:t>
      </w:r>
      <w:r>
        <w:rPr>
          <w:sz w:val="20"/>
        </w:rPr>
        <w:t>zemědělství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lesnictví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venkovských</w:t>
      </w:r>
      <w:r>
        <w:rPr>
          <w:spacing w:val="-3"/>
          <w:sz w:val="20"/>
        </w:rPr>
        <w:t> </w:t>
      </w:r>
      <w:r>
        <w:rPr>
          <w:sz w:val="20"/>
        </w:rPr>
        <w:t>oblastech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slučitelné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vnitřním</w:t>
      </w:r>
      <w:r>
        <w:rPr>
          <w:spacing w:val="-5"/>
          <w:sz w:val="20"/>
        </w:rPr>
        <w:t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416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" w:after="0"/>
        <w:ind w:left="809" w:right="109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10"/>
          <w:sz w:val="20"/>
        </w:rPr>
        <w:t> </w:t>
      </w:r>
      <w:r>
        <w:rPr>
          <w:sz w:val="20"/>
        </w:rPr>
        <w:t>dotace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701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367,20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> </w:t>
      </w:r>
      <w:r>
        <w:rPr>
          <w:sz w:val="20"/>
        </w:rPr>
        <w:t>(slovy: jeden milion sedm set jedna tisíc tři sta šedesát sedm korun českých, dvacet haléřů).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37" w:lineRule="auto" w:before="122" w:after="0"/>
        <w:ind w:left="809" w:right="120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 příloh a dle následně předložených podkladů k této smlouvě a činí 2 835 612,00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4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99" w:after="0"/>
        <w:ind w:left="809" w:right="117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9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left="1302" w:right="1039"/>
      </w:pPr>
      <w:r>
        <w:rPr/>
        <w:t>Režim</w:t>
      </w:r>
      <w:r>
        <w:rPr>
          <w:spacing w:val="-8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poskytována</w:t>
      </w:r>
      <w:r>
        <w:rPr>
          <w:spacing w:val="80"/>
          <w:sz w:val="20"/>
        </w:rPr>
        <w:t> </w:t>
      </w:r>
      <w:r>
        <w:rPr>
          <w:sz w:val="20"/>
        </w:rPr>
        <w:t>bankovním</w:t>
      </w:r>
      <w:r>
        <w:rPr>
          <w:spacing w:val="80"/>
          <w:sz w:val="20"/>
        </w:rPr>
        <w:t> </w:t>
      </w:r>
      <w:r>
        <w:rPr>
          <w:sz w:val="20"/>
        </w:rPr>
        <w:t>převodem</w:t>
      </w:r>
      <w:r>
        <w:rPr>
          <w:spacing w:val="70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80"/>
          <w:sz w:val="20"/>
        </w:rPr>
        <w:t> </w:t>
      </w:r>
      <w:r>
        <w:rPr>
          <w:sz w:val="20"/>
        </w:rPr>
        <w:t>prostředků</w:t>
      </w:r>
      <w:r>
        <w:rPr>
          <w:spacing w:val="77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českých</w:t>
      </w:r>
      <w:r>
        <w:rPr>
          <w:spacing w:val="40"/>
          <w:sz w:val="20"/>
        </w:rPr>
        <w:t> </w:t>
      </w:r>
      <w:r>
        <w:rPr>
          <w:sz w:val="20"/>
        </w:rPr>
        <w:t>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z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přesahující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7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7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7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99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1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126" w:right="2303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0"/>
        <w:ind w:left="126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6" w:footer="1398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v rámci realizace projektu pořídí zařízení pro zapravování kompostu do zemědělské půdy v</w:t>
      </w:r>
      <w:r>
        <w:rPr>
          <w:spacing w:val="-1"/>
          <w:sz w:val="20"/>
        </w:rPr>
        <w:t> </w:t>
      </w:r>
      <w:r>
        <w:rPr>
          <w:sz w:val="20"/>
        </w:rPr>
        <w:t>obci Oldřišov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okolí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tím</w:t>
      </w:r>
      <w:r>
        <w:rPr>
          <w:spacing w:val="-14"/>
          <w:sz w:val="20"/>
        </w:rPr>
        <w:t> </w:t>
      </w:r>
      <w:r>
        <w:rPr>
          <w:sz w:val="20"/>
        </w:rPr>
        <w:t>následně</w:t>
      </w:r>
      <w:r>
        <w:rPr>
          <w:spacing w:val="-14"/>
          <w:sz w:val="20"/>
        </w:rPr>
        <w:t> </w:t>
      </w:r>
      <w:r>
        <w:rPr>
          <w:sz w:val="20"/>
        </w:rPr>
        <w:t>vytvoří</w:t>
      </w:r>
      <w:r>
        <w:rPr>
          <w:spacing w:val="-13"/>
          <w:sz w:val="20"/>
        </w:rPr>
        <w:t> </w:t>
      </w:r>
      <w:r>
        <w:rPr>
          <w:sz w:val="20"/>
        </w:rPr>
        <w:t>roční</w:t>
      </w:r>
      <w:r>
        <w:rPr>
          <w:spacing w:val="-12"/>
          <w:sz w:val="20"/>
        </w:rPr>
        <w:t> </w:t>
      </w:r>
      <w:r>
        <w:rPr>
          <w:sz w:val="20"/>
        </w:rPr>
        <w:t>kapacitu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zapravení</w:t>
      </w:r>
      <w:r>
        <w:rPr>
          <w:spacing w:val="-12"/>
          <w:sz w:val="20"/>
        </w:rPr>
        <w:t> </w:t>
      </w:r>
      <w:r>
        <w:rPr>
          <w:sz w:val="20"/>
        </w:rPr>
        <w:t>kompostu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400,00</w:t>
      </w:r>
      <w:r>
        <w:rPr>
          <w:spacing w:val="-13"/>
          <w:sz w:val="20"/>
        </w:rPr>
        <w:t> </w:t>
      </w:r>
      <w:r>
        <w:rPr>
          <w:sz w:val="20"/>
        </w:rPr>
        <w:t>t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doloží Fondu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datu</w:t>
      </w:r>
      <w:r>
        <w:rPr>
          <w:spacing w:val="-2"/>
          <w:sz w:val="20"/>
        </w:rPr>
        <w:t> </w:t>
      </w:r>
      <w:r>
        <w:rPr>
          <w:sz w:val="20"/>
        </w:rPr>
        <w:t>závěrečného vyhodnocení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2"/>
          <w:sz w:val="20"/>
        </w:rPr>
        <w:t> </w:t>
      </w:r>
      <w:r>
        <w:rPr>
          <w:sz w:val="20"/>
        </w:rPr>
        <w:t>výstupy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kolaudační</w:t>
      </w:r>
      <w:r>
        <w:rPr>
          <w:spacing w:val="-2"/>
          <w:sz w:val="20"/>
        </w:rPr>
        <w:t> </w:t>
      </w:r>
      <w:r>
        <w:rPr>
          <w:sz w:val="20"/>
        </w:rPr>
        <w:t>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5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9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2"/>
          <w:sz w:val="20"/>
        </w:rPr>
        <w:t> </w:t>
      </w:r>
      <w:r>
        <w:rPr>
          <w:sz w:val="20"/>
        </w:rPr>
        <w:t>doby</w:t>
      </w:r>
      <w:r>
        <w:rPr>
          <w:spacing w:val="-9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20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16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</w:t>
      </w:r>
      <w:r>
        <w:rPr>
          <w:spacing w:val="62"/>
          <w:sz w:val="20"/>
        </w:rPr>
        <w:t> </w:t>
      </w:r>
      <w:r>
        <w:rPr>
          <w:sz w:val="20"/>
        </w:rPr>
        <w:t>zeleně</w:t>
      </w:r>
      <w:r>
        <w:rPr>
          <w:spacing w:val="61"/>
          <w:sz w:val="20"/>
        </w:rPr>
        <w:t> </w:t>
      </w:r>
      <w:r>
        <w:rPr>
          <w:sz w:val="20"/>
        </w:rPr>
        <w:t>a</w:t>
      </w:r>
      <w:r>
        <w:rPr>
          <w:spacing w:val="62"/>
          <w:sz w:val="20"/>
        </w:rPr>
        <w:t> </w:t>
      </w:r>
      <w:r>
        <w:rPr>
          <w:sz w:val="20"/>
        </w:rPr>
        <w:t>zahrad</w:t>
      </w:r>
      <w:r>
        <w:rPr>
          <w:spacing w:val="65"/>
          <w:sz w:val="20"/>
        </w:rPr>
        <w:t> </w:t>
      </w:r>
      <w:r>
        <w:rPr>
          <w:sz w:val="20"/>
        </w:rPr>
        <w:t>v případě</w:t>
      </w:r>
      <w:r>
        <w:rPr>
          <w:spacing w:val="61"/>
          <w:sz w:val="20"/>
        </w:rPr>
        <w:t> </w:t>
      </w:r>
      <w:r>
        <w:rPr>
          <w:sz w:val="20"/>
        </w:rPr>
        <w:t>komunitních</w:t>
      </w:r>
      <w:r>
        <w:rPr>
          <w:spacing w:val="62"/>
          <w:sz w:val="20"/>
        </w:rPr>
        <w:t> </w:t>
      </w:r>
      <w:r>
        <w:rPr>
          <w:sz w:val="20"/>
        </w:rPr>
        <w:t>kompostáren,</w:t>
      </w:r>
      <w:r>
        <w:rPr>
          <w:spacing w:val="62"/>
          <w:sz w:val="20"/>
        </w:rPr>
        <w:t> </w:t>
      </w:r>
      <w:r>
        <w:rPr>
          <w:sz w:val="20"/>
        </w:rPr>
        <w:t>případně</w:t>
      </w:r>
      <w:r>
        <w:rPr>
          <w:spacing w:val="63"/>
          <w:sz w:val="20"/>
        </w:rPr>
        <w:t> </w:t>
      </w:r>
      <w:r>
        <w:rPr>
          <w:sz w:val="20"/>
        </w:rPr>
        <w:t>kal</w:t>
      </w:r>
      <w:r>
        <w:rPr>
          <w:spacing w:val="64"/>
          <w:sz w:val="20"/>
        </w:rPr>
        <w:t> </w:t>
      </w:r>
      <w:r>
        <w:rPr>
          <w:sz w:val="20"/>
        </w:rPr>
        <w:t>z komunálních</w:t>
      </w:r>
      <w:r>
        <w:rPr>
          <w:spacing w:val="65"/>
          <w:sz w:val="20"/>
        </w:rPr>
        <w:t> </w:t>
      </w:r>
      <w:r>
        <w:rPr>
          <w:sz w:val="20"/>
        </w:rPr>
        <w:t>ČOV,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6" w:footer="1398" w:top="1600" w:bottom="1580" w:left="1320" w:right="1020"/>
        </w:sectPr>
      </w:pPr>
    </w:p>
    <w:p>
      <w:pPr>
        <w:pStyle w:val="BodyText"/>
        <w:spacing w:before="89"/>
        <w:ind w:right="113" w:firstLine="0"/>
      </w:pPr>
      <w:r>
        <w:rPr/>
        <w:t>případně</w:t>
      </w:r>
      <w:r>
        <w:rPr>
          <w:spacing w:val="-1"/>
        </w:rPr>
        <w:t> </w:t>
      </w:r>
      <w:r>
        <w:rPr/>
        <w:t>digestát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odpadových</w:t>
      </w:r>
      <w:r>
        <w:rPr>
          <w:spacing w:val="-2"/>
        </w:rPr>
        <w:t> </w:t>
      </w:r>
      <w:r>
        <w:rPr/>
        <w:t>bioplynových stanic), 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ročně</w:t>
      </w:r>
      <w:r>
        <w:rPr>
          <w:spacing w:val="-3"/>
        </w:rPr>
        <w:t> </w:t>
      </w:r>
      <w:r>
        <w:rPr/>
        <w:t>v množství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závazného</w:t>
      </w:r>
      <w:r>
        <w:rPr>
          <w:spacing w:val="-1"/>
        </w:rPr>
        <w:t> </w:t>
      </w:r>
      <w:r>
        <w:rPr/>
        <w:t>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9"/>
          <w:sz w:val="20"/>
        </w:rPr>
        <w:t> </w:t>
      </w:r>
      <w:r>
        <w:rPr>
          <w:sz w:val="20"/>
        </w:rPr>
        <w:t>(počínaje</w:t>
      </w:r>
      <w:r>
        <w:rPr>
          <w:spacing w:val="-10"/>
          <w:sz w:val="20"/>
        </w:rPr>
        <w:t> </w:t>
      </w:r>
      <w:r>
        <w:rPr>
          <w:sz w:val="20"/>
        </w:rPr>
        <w:t>měsícem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0"/>
          <w:sz w:val="20"/>
        </w:rPr>
        <w:t> </w:t>
      </w:r>
      <w:r>
        <w:rPr>
          <w:sz w:val="20"/>
        </w:rPr>
        <w:t>projektu)</w:t>
      </w:r>
      <w:r>
        <w:rPr>
          <w:spacing w:val="-9"/>
          <w:sz w:val="20"/>
        </w:rPr>
        <w:t> </w:t>
      </w:r>
      <w:r>
        <w:rPr>
          <w:sz w:val="20"/>
        </w:rPr>
        <w:t>předkládat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1x</w:t>
      </w:r>
      <w:r>
        <w:rPr>
          <w:spacing w:val="-9"/>
          <w:sz w:val="20"/>
        </w:rPr>
        <w:t> </w:t>
      </w:r>
      <w:r>
        <w:rPr>
          <w:sz w:val="20"/>
        </w:rPr>
        <w:t>ročně 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monitorovací</w:t>
      </w:r>
      <w:r>
        <w:rPr>
          <w:spacing w:val="-9"/>
          <w:sz w:val="20"/>
        </w:rPr>
        <w:t> </w:t>
      </w:r>
      <w:r>
        <w:rPr>
          <w:sz w:val="20"/>
        </w:rPr>
        <w:t>zprávy,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doloží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8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5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10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majitelů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Rady</w:t>
      </w:r>
      <w:r>
        <w:rPr>
          <w:spacing w:val="-11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bude dodržovat čl. 10 Výzvy odrážku desátou, tj. realizací projektu nedojde 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1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7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5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10/2024,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dokončení akce do konce 4/2025 (za termín ukončení akce se považuje datum protokolu o předání a převzetí díla u relevantních aktivit).</w:t>
      </w:r>
    </w:p>
    <w:p>
      <w:pPr>
        <w:pStyle w:val="BodyText"/>
        <w:spacing w:before="120"/>
        <w:ind w:left="741" w:right="109" w:firstLine="0"/>
      </w:pPr>
      <w:r>
        <w:rPr/>
        <w:t>V 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10/2025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 w:firstLine="0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4"/>
          <w:sz w:val="20"/>
        </w:rPr>
        <w:t> </w:t>
      </w:r>
      <w:r>
        <w:rPr>
          <w:sz w:val="20"/>
        </w:rPr>
        <w:t>pověřeným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</w:t>
      </w:r>
      <w:r>
        <w:rPr>
          <w:spacing w:val="-2"/>
          <w:sz w:val="20"/>
        </w:rPr>
        <w:t> </w:t>
      </w:r>
      <w:r>
        <w:rPr>
          <w:sz w:val="20"/>
        </w:rPr>
        <w:t>dokončení, a</w:t>
      </w:r>
      <w:r>
        <w:rPr>
          <w:spacing w:val="-1"/>
          <w:sz w:val="20"/>
        </w:rPr>
        <w:t> </w:t>
      </w:r>
      <w:r>
        <w:rPr>
          <w:sz w:val="20"/>
        </w:rPr>
        <w:t>to v takovém</w:t>
      </w:r>
      <w:r>
        <w:rPr>
          <w:spacing w:val="-2"/>
          <w:sz w:val="20"/>
        </w:rPr>
        <w:t> </w:t>
      </w:r>
      <w:r>
        <w:rPr>
          <w:sz w:val="20"/>
        </w:rPr>
        <w:t>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 a</w:t>
      </w:r>
      <w:r>
        <w:rPr>
          <w:spacing w:val="-6"/>
          <w:sz w:val="20"/>
        </w:rPr>
        <w:t> </w:t>
      </w:r>
      <w:r>
        <w:rPr>
          <w:sz w:val="20"/>
        </w:rPr>
        <w:t>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1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3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6"/>
          <w:sz w:val="20"/>
        </w:rPr>
        <w:t> </w:t>
      </w:r>
      <w:r>
        <w:rPr>
          <w:sz w:val="20"/>
        </w:rPr>
        <w:t>bodů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6,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první,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6"/>
          <w:sz w:val="20"/>
        </w:rPr>
        <w:t> </w:t>
      </w:r>
      <w:r>
        <w:rPr>
          <w:sz w:val="20"/>
        </w:rPr>
        <w:t>nebo čtvrtou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52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1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52"/>
          <w:sz w:val="20"/>
        </w:rPr>
        <w:t> </w:t>
      </w:r>
      <w:r>
        <w:rPr>
          <w:sz w:val="20"/>
        </w:rPr>
        <w:t>49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3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8" w:top="1600" w:bottom="160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5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19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7"/>
          <w:sz w:val="20"/>
        </w:rPr>
        <w:t> </w:t>
      </w:r>
      <w:r>
        <w:rPr>
          <w:sz w:val="20"/>
        </w:rPr>
        <w:t>povinností</w:t>
      </w:r>
      <w:r>
        <w:rPr>
          <w:spacing w:val="57"/>
          <w:sz w:val="20"/>
        </w:rPr>
        <w:t> </w:t>
      </w:r>
      <w:r>
        <w:rPr>
          <w:sz w:val="20"/>
        </w:rPr>
        <w:t>podle</w:t>
      </w:r>
      <w:r>
        <w:rPr>
          <w:spacing w:val="58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58"/>
          <w:sz w:val="20"/>
        </w:rPr>
        <w:t> </w:t>
      </w:r>
      <w:r>
        <w:rPr>
          <w:sz w:val="20"/>
        </w:rPr>
        <w:t>bodu</w:t>
      </w:r>
      <w:r>
        <w:rPr>
          <w:spacing w:val="57"/>
          <w:sz w:val="20"/>
        </w:rPr>
        <w:t> </w:t>
      </w:r>
      <w:r>
        <w:rPr>
          <w:sz w:val="20"/>
        </w:rPr>
        <w:t>3</w:t>
      </w:r>
      <w:r>
        <w:rPr>
          <w:spacing w:val="57"/>
          <w:sz w:val="20"/>
        </w:rPr>
        <w:t> </w:t>
      </w:r>
      <w:r>
        <w:rPr>
          <w:sz w:val="20"/>
        </w:rPr>
        <w:t>nebo</w:t>
      </w:r>
      <w:r>
        <w:rPr>
          <w:spacing w:val="60"/>
          <w:sz w:val="20"/>
        </w:rPr>
        <w:t> </w:t>
      </w:r>
      <w:r>
        <w:rPr>
          <w:sz w:val="20"/>
        </w:rPr>
        <w:t>4</w:t>
      </w:r>
      <w:r>
        <w:rPr>
          <w:spacing w:val="57"/>
          <w:sz w:val="20"/>
        </w:rPr>
        <w:t> </w:t>
      </w:r>
      <w:r>
        <w:rPr>
          <w:sz w:val="20"/>
        </w:rPr>
        <w:t>bude</w:t>
      </w:r>
      <w:r>
        <w:rPr>
          <w:spacing w:val="56"/>
          <w:sz w:val="20"/>
        </w:rPr>
        <w:t> </w:t>
      </w:r>
      <w:r>
        <w:rPr>
          <w:sz w:val="20"/>
        </w:rPr>
        <w:t>postiženo</w:t>
      </w:r>
      <w:r>
        <w:rPr>
          <w:spacing w:val="58"/>
          <w:sz w:val="20"/>
        </w:rPr>
        <w:t> </w:t>
      </w:r>
      <w:r>
        <w:rPr>
          <w:sz w:val="20"/>
        </w:rPr>
        <w:t>odvodem</w:t>
      </w:r>
      <w:r>
        <w:rPr>
          <w:spacing w:val="58"/>
          <w:sz w:val="20"/>
        </w:rPr>
        <w:t> </w:t>
      </w:r>
      <w:r>
        <w:rPr>
          <w:sz w:val="20"/>
        </w:rPr>
        <w:t>ve</w:t>
      </w:r>
      <w:r>
        <w:rPr>
          <w:spacing w:val="56"/>
          <w:sz w:val="20"/>
        </w:rPr>
        <w:t> </w:t>
      </w:r>
      <w:r>
        <w:rPr>
          <w:sz w:val="20"/>
        </w:rPr>
        <w:t>výši</w:t>
      </w:r>
      <w:r>
        <w:rPr>
          <w:spacing w:val="57"/>
          <w:sz w:val="20"/>
        </w:rPr>
        <w:t> </w:t>
      </w:r>
      <w:r>
        <w:rPr>
          <w:sz w:val="20"/>
        </w:rPr>
        <w:t>100</w:t>
      </w:r>
      <w:r>
        <w:rPr>
          <w:spacing w:val="60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 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0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5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může</w:t>
      </w:r>
      <w:r>
        <w:rPr>
          <w:spacing w:val="-10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měněna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1"/>
          <w:sz w:val="20"/>
        </w:rPr>
        <w:t> </w:t>
      </w:r>
      <w:r>
        <w:rPr>
          <w:sz w:val="20"/>
        </w:rPr>
        <w:t>obou</w:t>
      </w:r>
      <w:r>
        <w:rPr>
          <w:spacing w:val="-11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11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6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7"/>
          <w:sz w:val="20"/>
        </w:rPr>
        <w:t> </w:t>
      </w:r>
      <w:r>
        <w:rPr>
          <w:sz w:val="20"/>
        </w:rPr>
        <w:t>účinnosti</w:t>
      </w:r>
      <w:r>
        <w:rPr>
          <w:spacing w:val="59"/>
          <w:sz w:val="20"/>
        </w:rPr>
        <w:t> </w:t>
      </w:r>
      <w:r>
        <w:rPr>
          <w:sz w:val="20"/>
        </w:rPr>
        <w:t>některých</w:t>
      </w:r>
      <w:r>
        <w:rPr>
          <w:spacing w:val="58"/>
          <w:sz w:val="20"/>
        </w:rPr>
        <w:t> </w:t>
      </w:r>
      <w:r>
        <w:rPr>
          <w:sz w:val="20"/>
        </w:rPr>
        <w:t>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56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4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tabs>
          <w:tab w:pos="6853" w:val="left" w:leader="none"/>
        </w:tabs>
        <w:spacing w:before="214"/>
        <w:ind w:left="38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ind w:left="38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7"/>
        </w:rPr>
      </w:pPr>
    </w:p>
    <w:p>
      <w:pPr>
        <w:pStyle w:val="BodyText"/>
        <w:spacing w:line="264" w:lineRule="auto"/>
        <w:ind w:left="382" w:firstLine="0"/>
        <w:jc w:val="left"/>
      </w:pPr>
      <w:r>
        <w:rPr/>
        <w:t>Příloha 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7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9"/>
        <w:ind w:left="382" w:firstLine="0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10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71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1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 w:firstLine="0"/>
      </w:pPr>
      <w:r>
        <w:rPr/>
        <w:t>a z hlediska míry porušení principů hospodárnosti, efektivity a účelnosti při vynakládání veřejných prostředků.</w:t>
      </w:r>
      <w:r>
        <w:rPr>
          <w:spacing w:val="-5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38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 se na ni tato 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37" w:lineRule="auto" w:before="3"/>
              <w:ind w:right="89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rozhodnutí v písemné zprávě</w:t>
            </w:r>
          </w:p>
          <w:p>
            <w:pPr>
              <w:pStyle w:val="TableParagraph"/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3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8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37" w:lineRule="auto" w:before="3"/>
              <w:ind w:left="530" w:right="139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w w:val="95"/>
                <w:sz w:val="20"/>
              </w:rPr>
              <w:t>elektronickým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stanoveným v zákoně nebo v Pokynech SFŽP ČR, resp. způsobem, jakým bylo zahájeno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87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</w:t>
            </w: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spacing w:before="1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38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38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 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left="116" w:right="823" w:firstLine="427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917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</w:t>
            </w:r>
          </w:p>
          <w:p>
            <w:pPr>
              <w:pStyle w:val="TableParagraph"/>
              <w:spacing w:before="1"/>
              <w:ind w:left="530" w:right="672"/>
              <w:jc w:val="both"/>
              <w:rPr>
                <w:sz w:val="20"/>
              </w:rPr>
            </w:pP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z w:val="20"/>
              </w:rPr>
              <w:t> uvedeny, nebo</w:t>
            </w: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17"/>
        </w:rPr>
      </w:pPr>
      <w:r>
        <w:rPr/>
        <w:pict>
          <v:rect style="position:absolute;margin-left:85.103996pt;margin-top:12.66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3"/>
        <w:ind w:left="0" w:firstLine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informace 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dojít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7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ind w:right="84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z w:val="20"/>
              </w:rPr>
              <w:t> nezbytných 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116" w:hanging="42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ind w:left="541" w:right="249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 </w:t>
            </w:r>
            <w:r>
              <w:rPr>
                <w:spacing w:val="-2"/>
                <w:w w:val="95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38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87"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8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3"/>
        </w:rPr>
      </w:pPr>
      <w:r>
        <w:rPr/>
        <w:pict>
          <v:rect style="position:absolute;margin-left:85.103996pt;margin-top:16.867638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6" w:footer="1398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 w:right="99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 bid-riggingu 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 w:right="2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osoba v rámci řídícího či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kontrolního systému nebo zadavatel ve 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58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8" w:top="1600" w:bottom="158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530" w:hanging="42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40" w:h="15840"/>
      <w:pgMar w:header="566" w:footer="1398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23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7023616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1695" cy="3581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 w:hanging="428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4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2025-01-07T06:10:37Z</dcterms:created>
  <dcterms:modified xsi:type="dcterms:W3CDTF">2025-01-07T06:10:37Z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</Properties>
</file>