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BA1E4" w14:textId="00C9DD90" w:rsidR="003B4955" w:rsidRPr="00596606" w:rsidRDefault="009B6E54" w:rsidP="009A08F9">
      <w:pPr>
        <w:autoSpaceDE w:val="0"/>
        <w:autoSpaceDN w:val="0"/>
        <w:adjustRightInd w:val="0"/>
        <w:spacing w:before="0" w:after="0" w:line="312" w:lineRule="exact"/>
        <w:contextualSpacing w:val="0"/>
        <w:rPr>
          <w:rFonts w:cs="Arial"/>
          <w:b/>
          <w:bCs/>
          <w:color w:val="C00000"/>
          <w:sz w:val="32"/>
          <w:szCs w:val="32"/>
        </w:rPr>
      </w:pPr>
      <w:r>
        <w:rPr>
          <w:rFonts w:cs="Arial"/>
          <w:b/>
          <w:bCs/>
          <w:color w:val="C00000"/>
          <w:sz w:val="32"/>
          <w:szCs w:val="32"/>
        </w:rPr>
        <w:t xml:space="preserve">Dodatek č. </w:t>
      </w:r>
      <w:r w:rsidR="00E24B12">
        <w:rPr>
          <w:rFonts w:cs="Arial"/>
          <w:b/>
          <w:bCs/>
          <w:color w:val="C00000"/>
          <w:sz w:val="32"/>
          <w:szCs w:val="32"/>
        </w:rPr>
        <w:t>3</w:t>
      </w:r>
      <w:r>
        <w:rPr>
          <w:rFonts w:cs="Arial"/>
          <w:b/>
          <w:bCs/>
          <w:color w:val="C00000"/>
          <w:sz w:val="32"/>
          <w:szCs w:val="32"/>
        </w:rPr>
        <w:t xml:space="preserve"> k pojistné smlouvě</w:t>
      </w:r>
      <w:r w:rsidR="003B4955" w:rsidRPr="00596606">
        <w:rPr>
          <w:rFonts w:cs="Arial"/>
          <w:b/>
          <w:bCs/>
          <w:color w:val="C00000"/>
          <w:sz w:val="32"/>
          <w:szCs w:val="32"/>
        </w:rPr>
        <w:t xml:space="preserve"> č. </w:t>
      </w:r>
      <w:r w:rsidR="008E2BC7" w:rsidRPr="008E2BC7">
        <w:rPr>
          <w:rFonts w:cs="Arial"/>
          <w:b/>
          <w:bCs/>
          <w:color w:val="C00000"/>
          <w:sz w:val="32"/>
          <w:szCs w:val="32"/>
        </w:rPr>
        <w:t>1690756618</w:t>
      </w:r>
    </w:p>
    <w:p w14:paraId="02CE710A" w14:textId="77777777" w:rsidR="003B4955" w:rsidRPr="00DD60AC" w:rsidRDefault="003B4955" w:rsidP="003B4955">
      <w:pPr>
        <w:autoSpaceDE w:val="0"/>
        <w:autoSpaceDN w:val="0"/>
        <w:adjustRightInd w:val="0"/>
        <w:spacing w:after="40" w:line="312" w:lineRule="exact"/>
        <w:rPr>
          <w:rFonts w:cs="Arial"/>
          <w:b/>
          <w:bCs/>
          <w:color w:val="C4090B"/>
          <w:sz w:val="26"/>
          <w:szCs w:val="26"/>
        </w:rPr>
      </w:pPr>
    </w:p>
    <w:p w14:paraId="44D32B81" w14:textId="77777777" w:rsidR="003B4955" w:rsidRPr="00DD60AC" w:rsidRDefault="003B4955" w:rsidP="003B4955">
      <w:pPr>
        <w:autoSpaceDE w:val="0"/>
        <w:autoSpaceDN w:val="0"/>
        <w:adjustRightInd w:val="0"/>
        <w:spacing w:after="40" w:line="312" w:lineRule="exact"/>
        <w:rPr>
          <w:rFonts w:cs="Arial"/>
          <w:b/>
          <w:bCs/>
          <w:color w:val="C4090B"/>
          <w:sz w:val="26"/>
          <w:szCs w:val="26"/>
        </w:rPr>
      </w:pPr>
    </w:p>
    <w:p w14:paraId="7438C768" w14:textId="77777777" w:rsidR="009A08F9" w:rsidRPr="00DD60AC" w:rsidRDefault="009A08F9" w:rsidP="003B4955">
      <w:pPr>
        <w:autoSpaceDE w:val="0"/>
        <w:autoSpaceDN w:val="0"/>
        <w:adjustRightInd w:val="0"/>
        <w:spacing w:after="40" w:line="312" w:lineRule="exact"/>
        <w:rPr>
          <w:rFonts w:cs="Arial"/>
          <w:b/>
          <w:bCs/>
          <w:color w:val="C4090B"/>
          <w:sz w:val="26"/>
          <w:szCs w:val="26"/>
        </w:rPr>
      </w:pPr>
    </w:p>
    <w:p w14:paraId="4146E5EE" w14:textId="77777777" w:rsidR="003B4955" w:rsidRPr="009565EE" w:rsidRDefault="003B4955" w:rsidP="003B4955">
      <w:pPr>
        <w:autoSpaceDE w:val="0"/>
        <w:autoSpaceDN w:val="0"/>
        <w:adjustRightInd w:val="0"/>
        <w:spacing w:after="40" w:line="312" w:lineRule="exact"/>
        <w:rPr>
          <w:rFonts w:cs="Arial"/>
          <w:b/>
          <w:bCs/>
          <w:color w:val="auto"/>
          <w:sz w:val="22"/>
          <w:szCs w:val="22"/>
        </w:rPr>
      </w:pPr>
      <w:r w:rsidRPr="009565EE">
        <w:rPr>
          <w:rFonts w:cs="Arial"/>
          <w:b/>
          <w:bCs/>
          <w:color w:val="auto"/>
          <w:sz w:val="22"/>
          <w:szCs w:val="22"/>
        </w:rPr>
        <w:t>Generali Česká pojišťovna a.s.</w:t>
      </w:r>
    </w:p>
    <w:p w14:paraId="57EFACC2" w14:textId="77777777" w:rsidR="003B4955" w:rsidRPr="00DD60AC" w:rsidRDefault="003B4955" w:rsidP="003B4955">
      <w:pPr>
        <w:autoSpaceDE w:val="0"/>
        <w:autoSpaceDN w:val="0"/>
        <w:adjustRightInd w:val="0"/>
        <w:spacing w:line="240" w:lineRule="exact"/>
        <w:rPr>
          <w:rFonts w:cs="Arial"/>
          <w:bCs/>
          <w:color w:val="000000"/>
          <w:sz w:val="20"/>
          <w:szCs w:val="20"/>
        </w:rPr>
      </w:pPr>
      <w:r w:rsidRPr="00DD60AC">
        <w:rPr>
          <w:rFonts w:cs="Arial"/>
          <w:bCs/>
          <w:color w:val="000000"/>
          <w:sz w:val="20"/>
          <w:szCs w:val="20"/>
        </w:rPr>
        <w:t xml:space="preserve">Spálená 75/16, Nové Město, 110 00 Praha 1, Česká republika, </w:t>
      </w:r>
      <w:r w:rsidRPr="00DD60AC">
        <w:rPr>
          <w:rFonts w:cs="Arial"/>
          <w:color w:val="333333"/>
          <w:sz w:val="20"/>
          <w:szCs w:val="20"/>
        </w:rPr>
        <w:t>IČO 45272956</w:t>
      </w:r>
    </w:p>
    <w:p w14:paraId="20C36B64" w14:textId="77777777" w:rsidR="003B4955" w:rsidRPr="00DD60AC" w:rsidRDefault="003B4955" w:rsidP="003B4955">
      <w:pPr>
        <w:autoSpaceDE w:val="0"/>
        <w:autoSpaceDN w:val="0"/>
        <w:adjustRightInd w:val="0"/>
        <w:spacing w:line="240" w:lineRule="exact"/>
        <w:rPr>
          <w:rFonts w:cs="Arial"/>
          <w:color w:val="333333"/>
          <w:sz w:val="20"/>
          <w:szCs w:val="20"/>
        </w:rPr>
      </w:pPr>
      <w:r w:rsidRPr="00DD60AC">
        <w:rPr>
          <w:rFonts w:cs="Arial"/>
          <w:color w:val="333333"/>
          <w:sz w:val="20"/>
          <w:szCs w:val="20"/>
        </w:rPr>
        <w:t>zapsaná v obchodním rejstříku u Městského soudu v Praze, spisová značka B 1464,</w:t>
      </w:r>
    </w:p>
    <w:p w14:paraId="03FB97CD" w14:textId="77777777" w:rsidR="003B4955" w:rsidRPr="00DD60AC" w:rsidRDefault="003B4955" w:rsidP="003B4955">
      <w:pPr>
        <w:autoSpaceDE w:val="0"/>
        <w:autoSpaceDN w:val="0"/>
        <w:adjustRightInd w:val="0"/>
        <w:spacing w:line="240" w:lineRule="exact"/>
        <w:rPr>
          <w:rFonts w:cs="Arial"/>
          <w:color w:val="333333"/>
          <w:sz w:val="20"/>
          <w:szCs w:val="20"/>
        </w:rPr>
      </w:pPr>
      <w:r w:rsidRPr="00DD60AC">
        <w:rPr>
          <w:rFonts w:cs="Arial"/>
          <w:color w:val="333333"/>
          <w:sz w:val="20"/>
          <w:szCs w:val="20"/>
        </w:rPr>
        <w:t>člen Skupiny Generali, zapsané v italském rejstříku poji</w:t>
      </w:r>
      <w:r w:rsidR="007360E5">
        <w:rPr>
          <w:rFonts w:cs="Arial"/>
          <w:color w:val="333333"/>
          <w:sz w:val="20"/>
          <w:szCs w:val="20"/>
        </w:rPr>
        <w:t>šťovacích skupin, vedeném IVASS,</w:t>
      </w:r>
    </w:p>
    <w:p w14:paraId="65FB36FD" w14:textId="77777777" w:rsidR="009A08F9" w:rsidRPr="00DD60AC" w:rsidRDefault="003B4955" w:rsidP="003B4955">
      <w:pPr>
        <w:autoSpaceDE w:val="0"/>
        <w:autoSpaceDN w:val="0"/>
        <w:adjustRightInd w:val="0"/>
        <w:spacing w:line="240" w:lineRule="exact"/>
        <w:rPr>
          <w:rFonts w:cs="Arial"/>
          <w:color w:val="333333"/>
          <w:sz w:val="20"/>
          <w:szCs w:val="20"/>
        </w:rPr>
      </w:pPr>
      <w:r w:rsidRPr="00DD60AC">
        <w:rPr>
          <w:rFonts w:cs="Arial"/>
          <w:color w:val="333333"/>
          <w:sz w:val="20"/>
          <w:szCs w:val="20"/>
        </w:rPr>
        <w:t>kterou zastupuje</w:t>
      </w:r>
    </w:p>
    <w:p w14:paraId="7179657E" w14:textId="77777777" w:rsidR="00DC7876" w:rsidRPr="00BC6F6E" w:rsidRDefault="00711D01" w:rsidP="00DC7876">
      <w:pPr>
        <w:autoSpaceDE w:val="0"/>
        <w:autoSpaceDN w:val="0"/>
        <w:adjustRightInd w:val="0"/>
        <w:spacing w:line="240" w:lineRule="exact"/>
        <w:rPr>
          <w:rFonts w:cs="Arial"/>
          <w:color w:val="333333"/>
          <w:sz w:val="20"/>
          <w:szCs w:val="20"/>
        </w:rPr>
      </w:pPr>
      <w:r>
        <w:rPr>
          <w:rFonts w:cs="Arial"/>
          <w:color w:val="333333"/>
          <w:sz w:val="20"/>
          <w:szCs w:val="20"/>
        </w:rPr>
        <w:t>Ing. Bedřich Štáfl</w:t>
      </w:r>
      <w:r w:rsidR="00DC7876" w:rsidRPr="00BC6F6E">
        <w:rPr>
          <w:rFonts w:cs="Arial"/>
          <w:color w:val="333333"/>
          <w:sz w:val="20"/>
          <w:szCs w:val="20"/>
        </w:rPr>
        <w:t xml:space="preserve">, </w:t>
      </w:r>
      <w:r>
        <w:rPr>
          <w:rFonts w:cs="Arial"/>
          <w:color w:val="333333"/>
          <w:sz w:val="20"/>
          <w:szCs w:val="20"/>
        </w:rPr>
        <w:t xml:space="preserve">vedoucí </w:t>
      </w:r>
      <w:r w:rsidR="00BC6F6E" w:rsidRPr="00BC6F6E">
        <w:rPr>
          <w:rFonts w:cs="Arial"/>
          <w:color w:val="333333"/>
          <w:sz w:val="20"/>
          <w:szCs w:val="20"/>
        </w:rPr>
        <w:t>upisovatel</w:t>
      </w:r>
      <w:r w:rsidR="00DC7876" w:rsidRPr="00BC6F6E">
        <w:rPr>
          <w:rFonts w:cs="Arial"/>
          <w:color w:val="333333"/>
          <w:sz w:val="20"/>
          <w:szCs w:val="20"/>
        </w:rPr>
        <w:t>,</w:t>
      </w:r>
      <w:r w:rsidR="005A1978">
        <w:rPr>
          <w:rFonts w:cs="Arial"/>
          <w:color w:val="333333"/>
          <w:sz w:val="20"/>
          <w:szCs w:val="20"/>
        </w:rPr>
        <w:t xml:space="preserve"> </w:t>
      </w:r>
      <w:r w:rsidR="00DC7876" w:rsidRPr="00BC6F6E">
        <w:rPr>
          <w:rFonts w:cs="Arial"/>
          <w:color w:val="333333"/>
          <w:sz w:val="20"/>
          <w:szCs w:val="20"/>
        </w:rPr>
        <w:t xml:space="preserve">Tým </w:t>
      </w:r>
      <w:r w:rsidR="00BC6F6E" w:rsidRPr="00BC6F6E">
        <w:rPr>
          <w:rFonts w:cs="Arial"/>
          <w:color w:val="333333"/>
          <w:sz w:val="20"/>
          <w:szCs w:val="20"/>
        </w:rPr>
        <w:t>technických rizik</w:t>
      </w:r>
      <w:r w:rsidR="00DC7876" w:rsidRPr="00BC6F6E">
        <w:rPr>
          <w:rFonts w:cs="Arial"/>
          <w:color w:val="333333"/>
          <w:sz w:val="20"/>
          <w:szCs w:val="20"/>
        </w:rPr>
        <w:t xml:space="preserve">, Korporátní a průmyslové pojištění         </w:t>
      </w:r>
    </w:p>
    <w:p w14:paraId="59378DF4" w14:textId="1834FDBE" w:rsidR="00DC7876" w:rsidRPr="00DD60AC" w:rsidRDefault="00A8275E" w:rsidP="00DC7876">
      <w:pPr>
        <w:autoSpaceDE w:val="0"/>
        <w:autoSpaceDN w:val="0"/>
        <w:adjustRightInd w:val="0"/>
        <w:spacing w:line="240" w:lineRule="exact"/>
        <w:rPr>
          <w:rFonts w:cs="Arial"/>
          <w:color w:val="333333"/>
          <w:sz w:val="20"/>
          <w:szCs w:val="20"/>
        </w:rPr>
      </w:pPr>
      <w:r>
        <w:rPr>
          <w:rFonts w:cs="Arial"/>
          <w:color w:val="333333"/>
          <w:sz w:val="20"/>
          <w:szCs w:val="20"/>
        </w:rPr>
        <w:t>Matěj Marič</w:t>
      </w:r>
      <w:r w:rsidR="00DC7876" w:rsidRPr="00BC6F6E">
        <w:rPr>
          <w:rFonts w:cs="Arial"/>
          <w:color w:val="333333"/>
          <w:sz w:val="20"/>
          <w:szCs w:val="20"/>
        </w:rPr>
        <w:t xml:space="preserve">, </w:t>
      </w:r>
      <w:r w:rsidR="00BC6F6E" w:rsidRPr="00BC6F6E">
        <w:rPr>
          <w:rFonts w:cs="Arial"/>
          <w:color w:val="333333"/>
          <w:sz w:val="20"/>
          <w:szCs w:val="20"/>
        </w:rPr>
        <w:t>upisovatel</w:t>
      </w:r>
      <w:r w:rsidR="00DC7876" w:rsidRPr="00BC6F6E">
        <w:rPr>
          <w:rFonts w:cs="Arial"/>
          <w:color w:val="333333"/>
          <w:sz w:val="20"/>
          <w:szCs w:val="20"/>
        </w:rPr>
        <w:t>,</w:t>
      </w:r>
      <w:r w:rsidR="005A1978">
        <w:rPr>
          <w:rFonts w:cs="Arial"/>
          <w:color w:val="333333"/>
          <w:sz w:val="20"/>
          <w:szCs w:val="20"/>
        </w:rPr>
        <w:t xml:space="preserve"> </w:t>
      </w:r>
      <w:r w:rsidR="00DC7876" w:rsidRPr="00BC6F6E">
        <w:rPr>
          <w:rFonts w:cs="Arial"/>
          <w:color w:val="333333"/>
          <w:sz w:val="20"/>
          <w:szCs w:val="20"/>
        </w:rPr>
        <w:t>Tým</w:t>
      </w:r>
      <w:r w:rsidR="00DC7876" w:rsidRPr="00DD60AC">
        <w:rPr>
          <w:rFonts w:cs="Arial"/>
          <w:color w:val="333333"/>
          <w:sz w:val="20"/>
          <w:szCs w:val="20"/>
        </w:rPr>
        <w:t xml:space="preserve"> </w:t>
      </w:r>
      <w:r w:rsidR="00BC6F6E">
        <w:rPr>
          <w:rFonts w:cs="Arial"/>
          <w:color w:val="333333"/>
          <w:sz w:val="20"/>
          <w:szCs w:val="20"/>
        </w:rPr>
        <w:t>technických rizik</w:t>
      </w:r>
      <w:r w:rsidR="00DC7876" w:rsidRPr="00DD60AC">
        <w:rPr>
          <w:rFonts w:cs="Arial"/>
          <w:color w:val="333333"/>
          <w:sz w:val="20"/>
          <w:szCs w:val="20"/>
        </w:rPr>
        <w:t xml:space="preserve">, Korporátní a průmyslové pojištění         </w:t>
      </w:r>
    </w:p>
    <w:p w14:paraId="434DBB28" w14:textId="77777777" w:rsidR="003B4955" w:rsidRPr="00DD60AC" w:rsidRDefault="003B4955" w:rsidP="003B4955">
      <w:pPr>
        <w:spacing w:line="240" w:lineRule="exact"/>
        <w:rPr>
          <w:rFonts w:cs="Arial"/>
          <w:color w:val="333333"/>
          <w:sz w:val="20"/>
          <w:szCs w:val="20"/>
        </w:rPr>
      </w:pPr>
      <w:r w:rsidRPr="00DD60AC">
        <w:rPr>
          <w:rFonts w:cs="Arial"/>
          <w:color w:val="333333"/>
          <w:sz w:val="20"/>
          <w:szCs w:val="20"/>
        </w:rPr>
        <w:t>(dále jen „pojišťovna“)</w:t>
      </w:r>
    </w:p>
    <w:p w14:paraId="1811CE7E" w14:textId="77777777" w:rsidR="003B4955" w:rsidRPr="00DD60AC" w:rsidRDefault="003B4955" w:rsidP="003B4955">
      <w:pPr>
        <w:spacing w:line="240" w:lineRule="exact"/>
        <w:rPr>
          <w:rFonts w:cs="Arial"/>
          <w:color w:val="333333"/>
          <w:sz w:val="20"/>
          <w:szCs w:val="20"/>
        </w:rPr>
      </w:pPr>
    </w:p>
    <w:p w14:paraId="7E2B6CE5" w14:textId="77777777" w:rsidR="003B4955" w:rsidRPr="00DD60AC" w:rsidRDefault="003B4955" w:rsidP="003B4955">
      <w:pPr>
        <w:spacing w:line="240" w:lineRule="exact"/>
        <w:rPr>
          <w:rFonts w:cs="Arial"/>
          <w:color w:val="333333"/>
          <w:sz w:val="20"/>
          <w:szCs w:val="20"/>
        </w:rPr>
      </w:pPr>
      <w:r w:rsidRPr="00DD60AC">
        <w:rPr>
          <w:rFonts w:cs="Arial"/>
          <w:color w:val="333333"/>
          <w:sz w:val="20"/>
          <w:szCs w:val="20"/>
        </w:rPr>
        <w:t>a</w:t>
      </w:r>
    </w:p>
    <w:p w14:paraId="62FD8513" w14:textId="77777777" w:rsidR="009A08F9" w:rsidRPr="00DD60AC" w:rsidRDefault="009A08F9" w:rsidP="003B4955">
      <w:pPr>
        <w:spacing w:line="240" w:lineRule="exact"/>
        <w:rPr>
          <w:rFonts w:cs="Arial"/>
          <w:color w:val="333333"/>
          <w:sz w:val="20"/>
          <w:szCs w:val="20"/>
        </w:rPr>
      </w:pPr>
    </w:p>
    <w:p w14:paraId="32E71BB8" w14:textId="77777777" w:rsidR="008E2BC7" w:rsidRPr="00141724" w:rsidRDefault="008E2BC7" w:rsidP="008E2BC7">
      <w:pPr>
        <w:widowControl/>
        <w:spacing w:before="0" w:after="0" w:line="240" w:lineRule="auto"/>
        <w:contextualSpacing w:val="0"/>
        <w:rPr>
          <w:rFonts w:cs="Arial"/>
          <w:b/>
          <w:bCs/>
          <w:color w:val="auto"/>
          <w:sz w:val="22"/>
          <w:szCs w:val="22"/>
        </w:rPr>
      </w:pPr>
      <w:r w:rsidRPr="00141724">
        <w:rPr>
          <w:rFonts w:cs="Arial"/>
          <w:b/>
          <w:bCs/>
          <w:color w:val="auto"/>
          <w:sz w:val="22"/>
          <w:szCs w:val="22"/>
        </w:rPr>
        <w:t>Centrum dopravního výzkumu, v.v.i.</w:t>
      </w:r>
    </w:p>
    <w:p w14:paraId="671F384F" w14:textId="77777777" w:rsidR="008E2BC7" w:rsidRPr="00BC25A3" w:rsidRDefault="008E2BC7" w:rsidP="008E2BC7">
      <w:pPr>
        <w:widowControl/>
        <w:spacing w:before="0" w:after="0" w:line="240" w:lineRule="auto"/>
        <w:contextualSpacing w:val="0"/>
        <w:rPr>
          <w:color w:val="auto"/>
          <w:sz w:val="20"/>
          <w:szCs w:val="20"/>
          <w:lang w:val="cs-CZ" w:eastAsia="cs-CZ"/>
        </w:rPr>
      </w:pPr>
      <w:r w:rsidRPr="00BC25A3">
        <w:rPr>
          <w:color w:val="auto"/>
          <w:sz w:val="20"/>
          <w:szCs w:val="20"/>
          <w:lang w:val="cs-CZ" w:eastAsia="cs-CZ"/>
        </w:rPr>
        <w:t>Líšeňská 2657/</w:t>
      </w:r>
      <w:proofErr w:type="gramStart"/>
      <w:r w:rsidRPr="00BC25A3">
        <w:rPr>
          <w:color w:val="auto"/>
          <w:sz w:val="20"/>
          <w:szCs w:val="20"/>
          <w:lang w:val="cs-CZ" w:eastAsia="cs-CZ"/>
        </w:rPr>
        <w:t>33a</w:t>
      </w:r>
      <w:proofErr w:type="gramEnd"/>
      <w:r w:rsidRPr="00BC25A3">
        <w:rPr>
          <w:color w:val="auto"/>
          <w:sz w:val="20"/>
          <w:szCs w:val="20"/>
          <w:lang w:val="cs-CZ" w:eastAsia="cs-CZ"/>
        </w:rPr>
        <w:t>, 636 00 Brno – Líšeň, Česká republika, IČO: 44994575</w:t>
      </w:r>
    </w:p>
    <w:p w14:paraId="33C02011" w14:textId="77777777" w:rsidR="008E2BC7" w:rsidRPr="00BC25A3" w:rsidRDefault="008E2BC7" w:rsidP="008E2BC7">
      <w:pPr>
        <w:widowControl/>
        <w:spacing w:before="0" w:after="0" w:line="240" w:lineRule="auto"/>
        <w:contextualSpacing w:val="0"/>
        <w:rPr>
          <w:color w:val="auto"/>
          <w:sz w:val="20"/>
          <w:szCs w:val="20"/>
          <w:lang w:val="cs-CZ" w:eastAsia="cs-CZ"/>
        </w:rPr>
      </w:pPr>
      <w:r w:rsidRPr="00BC25A3">
        <w:rPr>
          <w:rFonts w:cs="Arial"/>
          <w:color w:val="auto"/>
          <w:sz w:val="20"/>
          <w:szCs w:val="20"/>
          <w:lang w:val="cs-CZ" w:eastAsia="cs-CZ"/>
        </w:rPr>
        <w:t>Veřejná výzkumná instituce</w:t>
      </w:r>
    </w:p>
    <w:p w14:paraId="6C9AFF32" w14:textId="77777777" w:rsidR="008E2BC7" w:rsidRDefault="008E2BC7" w:rsidP="008E2BC7">
      <w:pPr>
        <w:widowControl/>
        <w:spacing w:before="0" w:after="0" w:line="240" w:lineRule="auto"/>
        <w:contextualSpacing w:val="0"/>
        <w:rPr>
          <w:color w:val="auto"/>
          <w:sz w:val="20"/>
          <w:szCs w:val="20"/>
          <w:lang w:val="cs-CZ" w:eastAsia="cs-CZ"/>
        </w:rPr>
      </w:pPr>
      <w:r>
        <w:rPr>
          <w:color w:val="auto"/>
          <w:sz w:val="20"/>
          <w:szCs w:val="20"/>
          <w:lang w:val="cs-CZ" w:eastAsia="cs-CZ"/>
        </w:rPr>
        <w:t>kterou zastupuje</w:t>
      </w:r>
    </w:p>
    <w:p w14:paraId="113D04E6" w14:textId="77777777" w:rsidR="008E2BC7" w:rsidRPr="00BC25A3" w:rsidRDefault="008E2BC7" w:rsidP="008E2BC7">
      <w:pPr>
        <w:widowControl/>
        <w:spacing w:before="0" w:after="0" w:line="240" w:lineRule="auto"/>
        <w:contextualSpacing w:val="0"/>
        <w:rPr>
          <w:color w:val="auto"/>
          <w:sz w:val="20"/>
          <w:szCs w:val="20"/>
          <w:lang w:val="cs-CZ" w:eastAsia="cs-CZ"/>
        </w:rPr>
      </w:pPr>
      <w:r>
        <w:rPr>
          <w:color w:val="auto"/>
          <w:sz w:val="20"/>
          <w:szCs w:val="20"/>
          <w:lang w:val="cs-CZ" w:eastAsia="cs-CZ"/>
        </w:rPr>
        <w:t>Ing. Jindřich Frič, Ph.D., ředitel</w:t>
      </w:r>
    </w:p>
    <w:p w14:paraId="6CF19609" w14:textId="77777777" w:rsidR="003B4955" w:rsidRPr="009B6E54" w:rsidRDefault="008E2BC7" w:rsidP="008E2BC7">
      <w:pPr>
        <w:spacing w:line="240" w:lineRule="exact"/>
        <w:rPr>
          <w:rFonts w:cs="Arial"/>
          <w:color w:val="333333"/>
          <w:sz w:val="20"/>
          <w:szCs w:val="20"/>
          <w:lang w:val="cs-CZ"/>
        </w:rPr>
      </w:pPr>
      <w:r w:rsidRPr="009B6E54">
        <w:rPr>
          <w:rFonts w:cs="Arial"/>
          <w:color w:val="333333"/>
          <w:sz w:val="20"/>
          <w:szCs w:val="20"/>
          <w:lang w:val="cs-CZ"/>
        </w:rPr>
        <w:t xml:space="preserve"> </w:t>
      </w:r>
      <w:r w:rsidR="003B4955" w:rsidRPr="009B6E54">
        <w:rPr>
          <w:rFonts w:cs="Arial"/>
          <w:color w:val="333333"/>
          <w:sz w:val="20"/>
          <w:szCs w:val="20"/>
          <w:lang w:val="cs-CZ"/>
        </w:rPr>
        <w:t>(dále jen „pojistník“)</w:t>
      </w:r>
    </w:p>
    <w:p w14:paraId="0B15D71A" w14:textId="77777777" w:rsidR="009F79C7" w:rsidRPr="009B6E54" w:rsidRDefault="009F79C7" w:rsidP="008E2BC7">
      <w:pPr>
        <w:spacing w:line="240" w:lineRule="exact"/>
        <w:rPr>
          <w:rFonts w:cs="Arial"/>
          <w:color w:val="333333"/>
          <w:sz w:val="20"/>
          <w:szCs w:val="20"/>
          <w:lang w:val="cs-CZ"/>
        </w:rPr>
      </w:pPr>
    </w:p>
    <w:p w14:paraId="5FE9AF6C" w14:textId="77777777" w:rsidR="009F79C7" w:rsidRPr="009B6E54" w:rsidRDefault="009F79C7" w:rsidP="008E2BC7">
      <w:pPr>
        <w:spacing w:line="240" w:lineRule="exact"/>
        <w:rPr>
          <w:rFonts w:cs="Arial"/>
          <w:color w:val="333333"/>
          <w:sz w:val="20"/>
          <w:szCs w:val="20"/>
          <w:lang w:val="cs-CZ"/>
        </w:rPr>
      </w:pPr>
      <w:r w:rsidRPr="009B6E54">
        <w:rPr>
          <w:rFonts w:cs="Arial"/>
          <w:color w:val="333333"/>
          <w:sz w:val="20"/>
          <w:szCs w:val="20"/>
          <w:lang w:val="cs-CZ"/>
        </w:rPr>
        <w:t>A</w:t>
      </w:r>
    </w:p>
    <w:p w14:paraId="22FBBE2B" w14:textId="77777777" w:rsidR="009F79C7" w:rsidRPr="009B6E54" w:rsidRDefault="009F79C7" w:rsidP="008E2BC7">
      <w:pPr>
        <w:spacing w:line="240" w:lineRule="exact"/>
        <w:rPr>
          <w:rFonts w:cs="Arial"/>
          <w:color w:val="333333"/>
          <w:sz w:val="20"/>
          <w:szCs w:val="20"/>
          <w:lang w:val="cs-CZ"/>
        </w:rPr>
      </w:pPr>
    </w:p>
    <w:p w14:paraId="2EBB3BBB" w14:textId="77777777" w:rsidR="009F79C7" w:rsidRPr="009B6E54" w:rsidRDefault="009F79C7" w:rsidP="009F79C7">
      <w:pPr>
        <w:widowControl/>
        <w:spacing w:before="0" w:after="0" w:line="240" w:lineRule="auto"/>
        <w:contextualSpacing w:val="0"/>
        <w:rPr>
          <w:rFonts w:cs="Arial"/>
          <w:b/>
          <w:bCs/>
          <w:color w:val="auto"/>
          <w:sz w:val="22"/>
          <w:szCs w:val="22"/>
          <w:lang w:val="cs-CZ"/>
        </w:rPr>
      </w:pPr>
      <w:r w:rsidRPr="009B6E54">
        <w:rPr>
          <w:rFonts w:cs="Arial"/>
          <w:b/>
          <w:bCs/>
          <w:color w:val="auto"/>
          <w:sz w:val="22"/>
          <w:szCs w:val="22"/>
          <w:lang w:val="cs-CZ"/>
        </w:rPr>
        <w:t>CIMTO, s.r.o.</w:t>
      </w:r>
    </w:p>
    <w:p w14:paraId="5FEF530B" w14:textId="77777777" w:rsidR="009F79C7" w:rsidRPr="00F00622" w:rsidRDefault="009F79C7" w:rsidP="009F79C7">
      <w:pPr>
        <w:widowControl/>
        <w:spacing w:before="0" w:after="0" w:line="240" w:lineRule="auto"/>
        <w:contextualSpacing w:val="0"/>
        <w:rPr>
          <w:color w:val="auto"/>
          <w:sz w:val="20"/>
          <w:szCs w:val="20"/>
          <w:lang w:val="cs-CZ" w:eastAsia="cs-CZ"/>
        </w:rPr>
      </w:pPr>
      <w:r w:rsidRPr="00F00622">
        <w:rPr>
          <w:color w:val="auto"/>
          <w:sz w:val="20"/>
          <w:szCs w:val="20"/>
          <w:lang w:val="cs-CZ" w:eastAsia="cs-CZ"/>
        </w:rPr>
        <w:t>Líšeňská 2657/</w:t>
      </w:r>
      <w:proofErr w:type="gramStart"/>
      <w:r w:rsidRPr="00F00622">
        <w:rPr>
          <w:color w:val="auto"/>
          <w:sz w:val="20"/>
          <w:szCs w:val="20"/>
          <w:lang w:val="cs-CZ" w:eastAsia="cs-CZ"/>
        </w:rPr>
        <w:t>33a</w:t>
      </w:r>
      <w:proofErr w:type="gramEnd"/>
      <w:r w:rsidRPr="00F00622">
        <w:rPr>
          <w:color w:val="auto"/>
          <w:sz w:val="20"/>
          <w:szCs w:val="20"/>
          <w:lang w:val="cs-CZ" w:eastAsia="cs-CZ"/>
        </w:rPr>
        <w:t>, 636 00 Brno – Líšeň, Česká republika, IČO: 04050657</w:t>
      </w:r>
    </w:p>
    <w:p w14:paraId="7B51AC3A" w14:textId="77777777" w:rsidR="009F79C7" w:rsidRPr="00F00622" w:rsidRDefault="009F79C7" w:rsidP="009F79C7">
      <w:pPr>
        <w:widowControl/>
        <w:spacing w:before="0" w:after="0" w:line="240" w:lineRule="auto"/>
        <w:contextualSpacing w:val="0"/>
        <w:rPr>
          <w:color w:val="auto"/>
          <w:sz w:val="20"/>
          <w:szCs w:val="20"/>
          <w:lang w:val="cs-CZ" w:eastAsia="cs-CZ"/>
        </w:rPr>
      </w:pPr>
      <w:r w:rsidRPr="00F00622">
        <w:rPr>
          <w:color w:val="auto"/>
          <w:sz w:val="20"/>
          <w:szCs w:val="20"/>
          <w:lang w:val="cs-CZ" w:eastAsia="cs-CZ"/>
        </w:rPr>
        <w:t>zapsána v obchodním rejstříku vedeném Krajským soudem v Brně, spisová značka C87992</w:t>
      </w:r>
    </w:p>
    <w:p w14:paraId="0749281B" w14:textId="77777777" w:rsidR="009F79C7" w:rsidRPr="00F00622" w:rsidRDefault="009F79C7" w:rsidP="009F79C7">
      <w:pPr>
        <w:widowControl/>
        <w:spacing w:before="0" w:after="0" w:line="240" w:lineRule="auto"/>
        <w:contextualSpacing w:val="0"/>
        <w:rPr>
          <w:color w:val="auto"/>
          <w:sz w:val="20"/>
          <w:szCs w:val="20"/>
          <w:lang w:val="cs-CZ" w:eastAsia="cs-CZ"/>
        </w:rPr>
      </w:pPr>
      <w:r w:rsidRPr="00F00622">
        <w:rPr>
          <w:color w:val="auto"/>
          <w:sz w:val="20"/>
          <w:szCs w:val="20"/>
          <w:lang w:val="cs-CZ" w:eastAsia="cs-CZ"/>
        </w:rPr>
        <w:t>kterou zastupuje</w:t>
      </w:r>
    </w:p>
    <w:p w14:paraId="1C94512D" w14:textId="77777777" w:rsidR="009F79C7" w:rsidRDefault="009F79C7" w:rsidP="009F79C7">
      <w:pPr>
        <w:widowControl/>
        <w:spacing w:before="0" w:after="0" w:line="240" w:lineRule="auto"/>
        <w:contextualSpacing w:val="0"/>
        <w:rPr>
          <w:color w:val="auto"/>
          <w:sz w:val="20"/>
          <w:szCs w:val="20"/>
          <w:lang w:val="cs-CZ" w:eastAsia="cs-CZ"/>
        </w:rPr>
      </w:pPr>
      <w:r w:rsidRPr="00F00622">
        <w:rPr>
          <w:color w:val="auto"/>
          <w:sz w:val="20"/>
          <w:szCs w:val="20"/>
          <w:lang w:val="cs-CZ" w:eastAsia="cs-CZ"/>
        </w:rPr>
        <w:t>Ing. Michal Krempl, Ph.D.</w:t>
      </w:r>
    </w:p>
    <w:p w14:paraId="00FAFC20" w14:textId="77777777" w:rsidR="009F79C7" w:rsidRPr="00F00622" w:rsidRDefault="009F79C7" w:rsidP="009F79C7">
      <w:pPr>
        <w:widowControl/>
        <w:spacing w:before="0" w:after="0" w:line="240" w:lineRule="auto"/>
        <w:contextualSpacing w:val="0"/>
        <w:rPr>
          <w:color w:val="auto"/>
          <w:sz w:val="20"/>
          <w:szCs w:val="20"/>
          <w:lang w:val="cs-CZ" w:eastAsia="cs-CZ"/>
        </w:rPr>
      </w:pPr>
      <w:r w:rsidRPr="009B6E54">
        <w:rPr>
          <w:rFonts w:cs="Arial"/>
          <w:color w:val="333333"/>
          <w:sz w:val="20"/>
          <w:szCs w:val="20"/>
          <w:lang w:val="cs-CZ"/>
        </w:rPr>
        <w:t>(dále jen „pojistník“)</w:t>
      </w:r>
    </w:p>
    <w:p w14:paraId="37A703C2" w14:textId="77777777" w:rsidR="009F79C7" w:rsidRPr="009B6E54" w:rsidRDefault="009F79C7" w:rsidP="008E2BC7">
      <w:pPr>
        <w:spacing w:line="240" w:lineRule="exact"/>
        <w:rPr>
          <w:rFonts w:cs="Arial"/>
          <w:color w:val="333333"/>
          <w:sz w:val="20"/>
          <w:szCs w:val="20"/>
          <w:lang w:val="cs-CZ"/>
        </w:rPr>
      </w:pPr>
    </w:p>
    <w:p w14:paraId="1D4802CB" w14:textId="77777777" w:rsidR="003B4955" w:rsidRPr="009B6E54" w:rsidRDefault="003B4955" w:rsidP="003B4955">
      <w:pPr>
        <w:spacing w:line="240" w:lineRule="exact"/>
        <w:rPr>
          <w:rFonts w:cs="Arial"/>
          <w:color w:val="333333"/>
          <w:sz w:val="20"/>
          <w:szCs w:val="20"/>
          <w:lang w:val="cs-CZ"/>
        </w:rPr>
      </w:pPr>
    </w:p>
    <w:p w14:paraId="6E9FF877" w14:textId="77777777" w:rsidR="003B4955" w:rsidRPr="009B6E54" w:rsidRDefault="003B4955" w:rsidP="003B4955">
      <w:pPr>
        <w:spacing w:line="240" w:lineRule="exact"/>
        <w:rPr>
          <w:rFonts w:cs="Arial"/>
          <w:color w:val="333333"/>
          <w:sz w:val="20"/>
          <w:szCs w:val="20"/>
          <w:lang w:val="cs-CZ"/>
        </w:rPr>
      </w:pPr>
    </w:p>
    <w:p w14:paraId="0A0BDB74" w14:textId="678FD821" w:rsidR="00EE7CE2" w:rsidRPr="009B6E54" w:rsidRDefault="003B4955" w:rsidP="00EE7CE2">
      <w:pPr>
        <w:autoSpaceDE w:val="0"/>
        <w:autoSpaceDN w:val="0"/>
        <w:adjustRightInd w:val="0"/>
        <w:ind w:right="-1"/>
        <w:rPr>
          <w:rFonts w:cs="Arial"/>
          <w:b/>
          <w:bCs/>
          <w:sz w:val="22"/>
          <w:szCs w:val="22"/>
          <w:lang w:val="cs-CZ"/>
        </w:rPr>
      </w:pPr>
      <w:r w:rsidRPr="009B6E54">
        <w:rPr>
          <w:rFonts w:cs="Arial"/>
          <w:color w:val="333333"/>
          <w:sz w:val="22"/>
          <w:szCs w:val="22"/>
          <w:lang w:val="cs-CZ"/>
        </w:rPr>
        <w:t xml:space="preserve">uzavřeli </w:t>
      </w:r>
      <w:r w:rsidR="004139DB">
        <w:rPr>
          <w:rFonts w:cs="Arial"/>
          <w:color w:val="333333"/>
          <w:sz w:val="22"/>
          <w:szCs w:val="22"/>
          <w:lang w:val="cs-CZ"/>
        </w:rPr>
        <w:t>tento dodatek</w:t>
      </w:r>
      <w:r w:rsidRPr="009B6E54">
        <w:rPr>
          <w:rFonts w:cs="Arial"/>
          <w:color w:val="333333"/>
          <w:sz w:val="22"/>
          <w:szCs w:val="22"/>
          <w:lang w:val="cs-CZ"/>
        </w:rPr>
        <w:t xml:space="preserve"> </w:t>
      </w:r>
      <w:r w:rsidR="00EE7CE2" w:rsidRPr="009B6E54">
        <w:rPr>
          <w:rFonts w:cs="Arial"/>
          <w:b/>
          <w:bCs/>
          <w:sz w:val="22"/>
          <w:szCs w:val="22"/>
          <w:lang w:val="cs-CZ"/>
        </w:rPr>
        <w:t xml:space="preserve">o pojištění </w:t>
      </w:r>
      <w:r w:rsidR="00CC50D2" w:rsidRPr="009B6E54">
        <w:rPr>
          <w:rFonts w:cs="Arial"/>
          <w:b/>
          <w:bCs/>
          <w:sz w:val="22"/>
          <w:szCs w:val="22"/>
          <w:lang w:val="cs-CZ"/>
        </w:rPr>
        <w:t xml:space="preserve">elektroniky </w:t>
      </w:r>
    </w:p>
    <w:p w14:paraId="03EEAC1D" w14:textId="77777777" w:rsidR="003B78FC" w:rsidRPr="009B6E54" w:rsidRDefault="003B78FC" w:rsidP="003B78FC">
      <w:pPr>
        <w:spacing w:line="240" w:lineRule="exact"/>
        <w:rPr>
          <w:rFonts w:cs="Arial"/>
          <w:color w:val="333333"/>
          <w:sz w:val="20"/>
          <w:szCs w:val="20"/>
          <w:lang w:val="cs-CZ"/>
        </w:rPr>
      </w:pPr>
      <w:r w:rsidRPr="009B6E54">
        <w:rPr>
          <w:rFonts w:cs="Arial"/>
          <w:color w:val="333333"/>
          <w:sz w:val="20"/>
          <w:szCs w:val="20"/>
          <w:lang w:val="cs-CZ"/>
        </w:rPr>
        <w:t>(dále jen „pojistná smlouva“)</w:t>
      </w:r>
    </w:p>
    <w:p w14:paraId="764D8622" w14:textId="77777777" w:rsidR="003B78FC" w:rsidRPr="009B6E54" w:rsidRDefault="003B78FC" w:rsidP="00EE7CE2">
      <w:pPr>
        <w:autoSpaceDE w:val="0"/>
        <w:autoSpaceDN w:val="0"/>
        <w:adjustRightInd w:val="0"/>
        <w:ind w:right="-1"/>
        <w:rPr>
          <w:rFonts w:cs="Arial"/>
          <w:b/>
          <w:bCs/>
          <w:sz w:val="20"/>
          <w:szCs w:val="20"/>
          <w:lang w:val="cs-CZ"/>
        </w:rPr>
      </w:pPr>
    </w:p>
    <w:p w14:paraId="171FCFFF" w14:textId="31749147" w:rsidR="003B4955" w:rsidRDefault="003B4955" w:rsidP="003B4955">
      <w:pPr>
        <w:spacing w:line="240" w:lineRule="exact"/>
        <w:rPr>
          <w:rFonts w:cs="Arial"/>
          <w:color w:val="333333"/>
          <w:sz w:val="20"/>
          <w:szCs w:val="20"/>
          <w:lang w:val="cs-CZ"/>
        </w:rPr>
      </w:pPr>
    </w:p>
    <w:p w14:paraId="7E9DFF40" w14:textId="0C6DC732" w:rsidR="004139DB" w:rsidRPr="00920E35" w:rsidRDefault="004139DB" w:rsidP="004139DB">
      <w:pPr>
        <w:spacing w:line="240" w:lineRule="exact"/>
        <w:rPr>
          <w:rFonts w:cs="Arial"/>
          <w:b/>
          <w:sz w:val="20"/>
          <w:szCs w:val="20"/>
          <w:lang w:val="cs-CZ"/>
        </w:rPr>
      </w:pPr>
      <w:r w:rsidRPr="00920E35">
        <w:rPr>
          <w:b/>
          <w:sz w:val="20"/>
          <w:szCs w:val="20"/>
          <w:lang w:val="cs-CZ"/>
        </w:rPr>
        <w:t xml:space="preserve">Na základě dohody obou smluvních stran došlo s účinností ode dne </w:t>
      </w:r>
      <w:r w:rsidR="00E24B12">
        <w:rPr>
          <w:b/>
          <w:sz w:val="20"/>
          <w:szCs w:val="20"/>
          <w:lang w:val="cs-CZ"/>
        </w:rPr>
        <w:t>19.11.2024</w:t>
      </w:r>
      <w:r w:rsidRPr="00920E35">
        <w:rPr>
          <w:b/>
          <w:sz w:val="20"/>
          <w:szCs w:val="20"/>
          <w:lang w:val="cs-CZ"/>
        </w:rPr>
        <w:t xml:space="preserve"> ke změně pojistné smlouvy. Tímto se nahrazuje její předchozí verze.</w:t>
      </w:r>
    </w:p>
    <w:p w14:paraId="5FF6155A" w14:textId="77777777" w:rsidR="004139DB" w:rsidRPr="009B6E54" w:rsidRDefault="004139DB" w:rsidP="003B4955">
      <w:pPr>
        <w:spacing w:line="240" w:lineRule="exact"/>
        <w:rPr>
          <w:rFonts w:cs="Arial"/>
          <w:color w:val="333333"/>
          <w:sz w:val="20"/>
          <w:szCs w:val="20"/>
          <w:lang w:val="cs-CZ"/>
        </w:rPr>
      </w:pPr>
    </w:p>
    <w:p w14:paraId="3A7B370A" w14:textId="77777777" w:rsidR="003B4955" w:rsidRPr="009B6E54" w:rsidRDefault="003B4955" w:rsidP="003B4955">
      <w:pPr>
        <w:spacing w:after="40" w:line="240" w:lineRule="exact"/>
        <w:rPr>
          <w:rFonts w:cs="Arial"/>
          <w:b/>
          <w:color w:val="333333"/>
          <w:sz w:val="22"/>
          <w:szCs w:val="22"/>
          <w:lang w:val="cs-CZ"/>
        </w:rPr>
      </w:pPr>
      <w:r w:rsidRPr="009B6E54">
        <w:rPr>
          <w:rFonts w:cs="Arial"/>
          <w:b/>
          <w:color w:val="333333"/>
          <w:sz w:val="22"/>
          <w:szCs w:val="22"/>
          <w:lang w:val="cs-CZ"/>
        </w:rPr>
        <w:t>Makléřská doložka</w:t>
      </w:r>
    </w:p>
    <w:p w14:paraId="23FB4676" w14:textId="77777777" w:rsidR="008E2BC7" w:rsidRDefault="003B4955" w:rsidP="008E2BC7">
      <w:pPr>
        <w:widowControl/>
        <w:spacing w:before="0" w:after="0" w:line="240" w:lineRule="auto"/>
        <w:ind w:left="284"/>
        <w:contextualSpacing w:val="0"/>
        <w:rPr>
          <w:rFonts w:cs="Arial"/>
          <w:color w:val="auto"/>
          <w:sz w:val="20"/>
          <w:szCs w:val="20"/>
          <w:lang w:val="cs-CZ" w:eastAsia="cs-CZ"/>
        </w:rPr>
      </w:pPr>
      <w:r w:rsidRPr="009B6E54">
        <w:rPr>
          <w:rFonts w:cs="Arial"/>
          <w:color w:val="333333"/>
          <w:sz w:val="20"/>
          <w:szCs w:val="20"/>
          <w:lang w:val="cs-CZ"/>
        </w:rPr>
        <w:t xml:space="preserve">Pojistník prohlašuje, že uzavřel s pojišťovacím makléřem </w:t>
      </w:r>
      <w:r w:rsidR="008E2BC7">
        <w:rPr>
          <w:rFonts w:cs="Arial"/>
          <w:color w:val="auto"/>
          <w:sz w:val="20"/>
          <w:szCs w:val="20"/>
          <w:lang w:val="cs-CZ" w:eastAsia="cs-CZ"/>
        </w:rPr>
        <w:t>OK GROUP a.s.,</w:t>
      </w:r>
      <w:r w:rsidR="008E2BC7" w:rsidRPr="00D81FCF">
        <w:rPr>
          <w:rFonts w:cs="Arial"/>
          <w:color w:val="auto"/>
          <w:sz w:val="20"/>
          <w:szCs w:val="20"/>
          <w:lang w:val="cs-CZ" w:eastAsia="cs-CZ"/>
        </w:rPr>
        <w:t xml:space="preserve"> se sídlem </w:t>
      </w:r>
      <w:r w:rsidR="008E2BC7">
        <w:rPr>
          <w:rFonts w:cs="Arial"/>
          <w:color w:val="auto"/>
          <w:sz w:val="20"/>
          <w:szCs w:val="20"/>
          <w:lang w:val="cs-CZ" w:eastAsia="cs-CZ"/>
        </w:rPr>
        <w:t xml:space="preserve">Mánesova 3014/16, </w:t>
      </w:r>
    </w:p>
    <w:p w14:paraId="79CAEFCF" w14:textId="77777777" w:rsidR="003B4955" w:rsidRPr="009B6E54" w:rsidRDefault="008E2BC7" w:rsidP="008E2BC7">
      <w:pPr>
        <w:spacing w:line="240" w:lineRule="exact"/>
        <w:rPr>
          <w:rFonts w:cs="Arial"/>
          <w:color w:val="333333"/>
          <w:sz w:val="20"/>
          <w:szCs w:val="20"/>
          <w:lang w:val="cs-CZ"/>
        </w:rPr>
      </w:pPr>
      <w:r>
        <w:rPr>
          <w:rFonts w:cs="Arial"/>
          <w:color w:val="auto"/>
          <w:sz w:val="20"/>
          <w:szCs w:val="20"/>
          <w:lang w:val="cs-CZ" w:eastAsia="cs-CZ"/>
        </w:rPr>
        <w:t>612 00 Brno, Česká republika</w:t>
      </w:r>
      <w:r w:rsidRPr="00D81FCF">
        <w:rPr>
          <w:rFonts w:cs="Arial"/>
          <w:color w:val="auto"/>
          <w:sz w:val="20"/>
          <w:szCs w:val="20"/>
          <w:lang w:val="cs-CZ" w:eastAsia="cs-CZ"/>
        </w:rPr>
        <w:t xml:space="preserve">, IČO: </w:t>
      </w:r>
      <w:r>
        <w:rPr>
          <w:rFonts w:cs="Arial"/>
          <w:color w:val="auto"/>
          <w:sz w:val="20"/>
          <w:szCs w:val="20"/>
          <w:lang w:val="cs-CZ" w:eastAsia="cs-CZ"/>
        </w:rPr>
        <w:t>25561804</w:t>
      </w:r>
      <w:r w:rsidR="003B4955" w:rsidRPr="009B6E54">
        <w:rPr>
          <w:rFonts w:cs="Arial"/>
          <w:color w:val="333333"/>
          <w:sz w:val="20"/>
          <w:szCs w:val="20"/>
          <w:lang w:val="cs-CZ"/>
        </w:rPr>
        <w:t xml:space="preserve">, (dále jen „zplnomocněný makléř“) smlouvu, na jejímž základě zplnomocněný makléř vykonává pro pojistníka zprostředkovatelskou činnost v pojišťovnictví a je pověřen správou této pojistné smlouvy. </w:t>
      </w:r>
    </w:p>
    <w:p w14:paraId="795EDB52" w14:textId="77777777" w:rsidR="00897F48" w:rsidRPr="009B6E54" w:rsidRDefault="00897F48" w:rsidP="003B4955">
      <w:pPr>
        <w:spacing w:line="240" w:lineRule="exact"/>
        <w:rPr>
          <w:rFonts w:cs="Arial"/>
          <w:color w:val="333333"/>
          <w:sz w:val="20"/>
          <w:szCs w:val="20"/>
          <w:lang w:val="cs-CZ"/>
        </w:rPr>
      </w:pPr>
    </w:p>
    <w:p w14:paraId="4710D432" w14:textId="77777777" w:rsidR="00DF0617" w:rsidRPr="009B6E54" w:rsidRDefault="00DF0617" w:rsidP="003B4955">
      <w:pPr>
        <w:spacing w:line="240" w:lineRule="exact"/>
        <w:rPr>
          <w:rFonts w:cs="Arial"/>
          <w:color w:val="333333"/>
          <w:sz w:val="20"/>
          <w:szCs w:val="20"/>
          <w:lang w:val="cs-CZ"/>
        </w:rPr>
      </w:pPr>
    </w:p>
    <w:p w14:paraId="6BA9624B" w14:textId="77777777" w:rsidR="00FF104A" w:rsidRPr="009B6E54" w:rsidRDefault="00FF104A" w:rsidP="003B4955">
      <w:pPr>
        <w:spacing w:line="240" w:lineRule="exact"/>
        <w:rPr>
          <w:rFonts w:cs="Arial"/>
          <w:color w:val="333333"/>
          <w:sz w:val="20"/>
          <w:szCs w:val="20"/>
          <w:lang w:val="cs-CZ"/>
        </w:rPr>
      </w:pPr>
    </w:p>
    <w:p w14:paraId="5C2CD92C" w14:textId="77777777" w:rsidR="00FF104A" w:rsidRPr="009B6E54" w:rsidRDefault="00FF104A" w:rsidP="003B4955">
      <w:pPr>
        <w:spacing w:line="240" w:lineRule="exact"/>
        <w:rPr>
          <w:rFonts w:cs="Arial"/>
          <w:color w:val="333333"/>
          <w:sz w:val="20"/>
          <w:szCs w:val="20"/>
          <w:lang w:val="cs-CZ"/>
        </w:rPr>
      </w:pPr>
    </w:p>
    <w:p w14:paraId="3F9445A0" w14:textId="77777777" w:rsidR="003B4955" w:rsidRPr="009B6E54" w:rsidRDefault="003B4955" w:rsidP="003B4955">
      <w:pPr>
        <w:spacing w:after="40" w:line="240" w:lineRule="exact"/>
        <w:rPr>
          <w:rFonts w:cs="Arial"/>
          <w:b/>
          <w:color w:val="333333"/>
          <w:sz w:val="22"/>
          <w:szCs w:val="22"/>
          <w:lang w:val="cs-CZ"/>
        </w:rPr>
      </w:pPr>
      <w:r w:rsidRPr="009B6E54">
        <w:rPr>
          <w:rFonts w:cs="Arial"/>
          <w:b/>
          <w:color w:val="333333"/>
          <w:sz w:val="22"/>
          <w:szCs w:val="22"/>
          <w:lang w:val="cs-CZ"/>
        </w:rPr>
        <w:t>Korespondenční adresy</w:t>
      </w:r>
    </w:p>
    <w:p w14:paraId="363FE065" w14:textId="6017A266" w:rsidR="003B4955" w:rsidRPr="00BD1EE3" w:rsidRDefault="003B4955" w:rsidP="00BD1EE3">
      <w:pPr>
        <w:rPr>
          <w:rFonts w:ascii="Calibri" w:hAnsi="Calibri"/>
          <w:b/>
          <w:bCs/>
          <w:color w:val="FF0000"/>
          <w:sz w:val="22"/>
          <w:szCs w:val="22"/>
          <w:lang w:val="cs-CZ" w:eastAsia="cs-CZ"/>
        </w:rPr>
      </w:pPr>
      <w:r w:rsidRPr="009B6E54">
        <w:rPr>
          <w:rFonts w:cs="Arial"/>
          <w:color w:val="333333"/>
          <w:sz w:val="20"/>
          <w:szCs w:val="20"/>
          <w:lang w:val="cs-CZ"/>
        </w:rPr>
        <w:t xml:space="preserve">Pojišťovna: </w:t>
      </w:r>
      <w:proofErr w:type="spellStart"/>
      <w:r w:rsidRPr="009B6E54">
        <w:rPr>
          <w:rFonts w:cs="Arial"/>
          <w:color w:val="333333"/>
          <w:sz w:val="20"/>
          <w:szCs w:val="20"/>
          <w:lang w:val="cs-CZ"/>
        </w:rPr>
        <w:t>Generali</w:t>
      </w:r>
      <w:proofErr w:type="spellEnd"/>
      <w:r w:rsidRPr="009B6E54">
        <w:rPr>
          <w:rFonts w:cs="Arial"/>
          <w:color w:val="333333"/>
          <w:sz w:val="20"/>
          <w:szCs w:val="20"/>
          <w:lang w:val="cs-CZ"/>
        </w:rPr>
        <w:t xml:space="preserve"> Česká pojišťovna a</w:t>
      </w:r>
      <w:r w:rsidRPr="00BD1EE3">
        <w:rPr>
          <w:rFonts w:cs="Arial"/>
          <w:color w:val="333333"/>
          <w:sz w:val="20"/>
          <w:szCs w:val="20"/>
          <w:lang w:val="cs-CZ"/>
        </w:rPr>
        <w:t xml:space="preserve">.s., </w:t>
      </w:r>
      <w:r w:rsidR="00BD1EE3" w:rsidRPr="00BD1EE3">
        <w:rPr>
          <w:rFonts w:cs="Arial"/>
          <w:color w:val="333333"/>
          <w:sz w:val="20"/>
          <w:szCs w:val="20"/>
          <w:lang w:val="cs-CZ"/>
        </w:rPr>
        <w:t>Želetavská 1449/9, 140 00 Praha 4</w:t>
      </w:r>
      <w:r w:rsidRPr="00BD1EE3">
        <w:rPr>
          <w:rFonts w:cs="Arial"/>
          <w:color w:val="333333"/>
          <w:sz w:val="20"/>
          <w:szCs w:val="20"/>
          <w:lang w:val="cs-CZ"/>
        </w:rPr>
        <w:t>, Č</w:t>
      </w:r>
      <w:r w:rsidR="000E09BC" w:rsidRPr="00BD1EE3">
        <w:rPr>
          <w:rFonts w:cs="Arial"/>
          <w:color w:val="333333"/>
          <w:sz w:val="20"/>
          <w:szCs w:val="20"/>
          <w:lang w:val="cs-CZ"/>
        </w:rPr>
        <w:t>eská</w:t>
      </w:r>
      <w:r w:rsidR="000E09BC" w:rsidRPr="009B6E54">
        <w:rPr>
          <w:rFonts w:cs="Arial"/>
          <w:color w:val="333333"/>
          <w:sz w:val="20"/>
          <w:szCs w:val="20"/>
          <w:lang w:val="cs-CZ"/>
        </w:rPr>
        <w:t xml:space="preserve"> republika</w:t>
      </w:r>
    </w:p>
    <w:p w14:paraId="4B90514A" w14:textId="77777777" w:rsidR="00DC7876" w:rsidRPr="009B6E54" w:rsidRDefault="003B4955" w:rsidP="00DC7876">
      <w:pPr>
        <w:autoSpaceDE w:val="0"/>
        <w:autoSpaceDN w:val="0"/>
        <w:adjustRightInd w:val="0"/>
        <w:spacing w:before="120"/>
        <w:rPr>
          <w:rFonts w:cs="Arial"/>
          <w:color w:val="auto"/>
          <w:sz w:val="20"/>
          <w:szCs w:val="20"/>
          <w:lang w:val="en-US"/>
        </w:rPr>
      </w:pPr>
      <w:r w:rsidRPr="009B6E54">
        <w:rPr>
          <w:rFonts w:cs="Arial"/>
          <w:color w:val="333333"/>
          <w:sz w:val="20"/>
          <w:szCs w:val="20"/>
          <w:lang w:val="en-US"/>
        </w:rPr>
        <w:t xml:space="preserve">Pojistník: </w:t>
      </w:r>
      <w:r w:rsidR="00DC7876" w:rsidRPr="009B6E54">
        <w:rPr>
          <w:rFonts w:cs="Arial"/>
          <w:color w:val="auto"/>
          <w:sz w:val="20"/>
          <w:szCs w:val="20"/>
          <w:lang w:val="en-US"/>
        </w:rPr>
        <w:t xml:space="preserve">je </w:t>
      </w:r>
      <w:proofErr w:type="spellStart"/>
      <w:r w:rsidR="00DC7876" w:rsidRPr="009B6E54">
        <w:rPr>
          <w:rFonts w:cs="Arial"/>
          <w:color w:val="auto"/>
          <w:sz w:val="20"/>
          <w:szCs w:val="20"/>
          <w:lang w:val="en-US"/>
        </w:rPr>
        <w:t>shodná</w:t>
      </w:r>
      <w:proofErr w:type="spellEnd"/>
      <w:r w:rsidR="00DC7876" w:rsidRPr="009B6E54">
        <w:rPr>
          <w:rFonts w:cs="Arial"/>
          <w:color w:val="auto"/>
          <w:sz w:val="20"/>
          <w:szCs w:val="20"/>
          <w:lang w:val="en-US"/>
        </w:rPr>
        <w:t xml:space="preserve"> s </w:t>
      </w:r>
      <w:proofErr w:type="spellStart"/>
      <w:r w:rsidR="00DC7876" w:rsidRPr="009B6E54">
        <w:rPr>
          <w:rFonts w:cs="Arial"/>
          <w:color w:val="auto"/>
          <w:sz w:val="20"/>
          <w:szCs w:val="20"/>
          <w:lang w:val="en-US"/>
        </w:rPr>
        <w:t>adresou</w:t>
      </w:r>
      <w:proofErr w:type="spellEnd"/>
      <w:r w:rsidR="00DC7876" w:rsidRPr="009B6E54">
        <w:rPr>
          <w:rFonts w:cs="Arial"/>
          <w:color w:val="auto"/>
          <w:sz w:val="20"/>
          <w:szCs w:val="20"/>
          <w:lang w:val="en-US"/>
        </w:rPr>
        <w:t xml:space="preserve"> </w:t>
      </w:r>
      <w:proofErr w:type="spellStart"/>
      <w:r w:rsidR="00DC7876" w:rsidRPr="009B6E54">
        <w:rPr>
          <w:rFonts w:cs="Arial"/>
          <w:color w:val="auto"/>
          <w:sz w:val="20"/>
          <w:szCs w:val="20"/>
          <w:lang w:val="en-US"/>
        </w:rPr>
        <w:t>pojistníka</w:t>
      </w:r>
      <w:proofErr w:type="spellEnd"/>
    </w:p>
    <w:p w14:paraId="192F4041" w14:textId="77777777" w:rsidR="00DF0617" w:rsidRPr="00DD38D6" w:rsidRDefault="00DF0617">
      <w:pPr>
        <w:widowControl/>
        <w:spacing w:before="0" w:after="200" w:line="276" w:lineRule="auto"/>
        <w:contextualSpacing w:val="0"/>
        <w:rPr>
          <w:rFonts w:cs="Arial"/>
          <w:color w:val="333333"/>
          <w:sz w:val="20"/>
          <w:szCs w:val="20"/>
          <w:lang w:val="en-US"/>
        </w:rPr>
      </w:pPr>
      <w:r w:rsidRPr="00DD38D6">
        <w:rPr>
          <w:rFonts w:cs="Arial"/>
          <w:color w:val="333333"/>
          <w:sz w:val="20"/>
          <w:szCs w:val="20"/>
          <w:lang w:val="en-US"/>
        </w:rPr>
        <w:br w:type="page"/>
      </w:r>
    </w:p>
    <w:p w14:paraId="44C0B4D6" w14:textId="77777777" w:rsidR="007346C1" w:rsidRPr="0003541F" w:rsidRDefault="007346C1" w:rsidP="0003541F">
      <w:pPr>
        <w:widowControl/>
        <w:numPr>
          <w:ilvl w:val="0"/>
          <w:numId w:val="3"/>
        </w:numPr>
        <w:spacing w:before="480" w:after="240" w:line="240" w:lineRule="auto"/>
        <w:ind w:left="709" w:hanging="709"/>
        <w:contextualSpacing w:val="0"/>
        <w:rPr>
          <w:rFonts w:cs="Arial"/>
          <w:b/>
          <w:color w:val="auto"/>
          <w:sz w:val="22"/>
          <w:szCs w:val="22"/>
        </w:rPr>
      </w:pPr>
      <w:r w:rsidRPr="0003541F">
        <w:rPr>
          <w:rFonts w:cs="Arial"/>
          <w:b/>
          <w:color w:val="auto"/>
          <w:sz w:val="22"/>
          <w:szCs w:val="22"/>
        </w:rPr>
        <w:lastRenderedPageBreak/>
        <w:t>Úvodní ustanovení</w:t>
      </w:r>
    </w:p>
    <w:p w14:paraId="2FE64A90" w14:textId="77777777" w:rsidR="007346C1" w:rsidRPr="007771F5" w:rsidRDefault="00DF0617" w:rsidP="0003541F">
      <w:pPr>
        <w:pStyle w:val="GPodstavec"/>
        <w:numPr>
          <w:ilvl w:val="1"/>
          <w:numId w:val="3"/>
        </w:numPr>
        <w:ind w:left="709" w:hanging="709"/>
      </w:pPr>
      <w:r w:rsidRPr="007771F5">
        <w:t xml:space="preserve">Pojištění sjednané touto pojistnou smlouvou se řídí pojistnými podmínkami uvedenými v bodu 1.2 této pojistné smlouvy </w:t>
      </w:r>
      <w:r w:rsidRPr="001B2775">
        <w:t>a doložkami, na které tato pojistná smlouva odkazuje, a dále smluvními ujednáními.</w:t>
      </w:r>
    </w:p>
    <w:p w14:paraId="30C74178" w14:textId="77777777" w:rsidR="007346C1" w:rsidRPr="007771F5" w:rsidRDefault="007346C1" w:rsidP="0003541F">
      <w:pPr>
        <w:pStyle w:val="GPodstavec"/>
        <w:numPr>
          <w:ilvl w:val="1"/>
          <w:numId w:val="3"/>
        </w:numPr>
        <w:ind w:left="709" w:hanging="709"/>
      </w:pPr>
      <w:r w:rsidRPr="007771F5">
        <w:t xml:space="preserve">Pojistné podmínky, které </w:t>
      </w:r>
      <w:r w:rsidRPr="004522AC">
        <w:t xml:space="preserve">jsou nedílnou </w:t>
      </w:r>
      <w:r w:rsidRPr="007771F5">
        <w:t>součástí této pojistné smlouvy a tvoří její přílohy:</w:t>
      </w:r>
    </w:p>
    <w:p w14:paraId="67275330" w14:textId="77777777" w:rsidR="00215A58" w:rsidRPr="006D1748" w:rsidRDefault="00215A58" w:rsidP="004459F8">
      <w:pPr>
        <w:pStyle w:val="Zkladntext"/>
        <w:rPr>
          <w:rFonts w:ascii="Arial" w:hAnsi="Arial" w:cs="Arial"/>
          <w:sz w:val="20"/>
        </w:rPr>
      </w:pPr>
    </w:p>
    <w:tbl>
      <w:tblPr>
        <w:tblW w:w="9781" w:type="dxa"/>
        <w:tblInd w:w="-8" w:type="dxa"/>
        <w:tblLook w:val="01E0" w:firstRow="1" w:lastRow="1" w:firstColumn="1" w:lastColumn="1" w:noHBand="0" w:noVBand="0"/>
      </w:tblPr>
      <w:tblGrid>
        <w:gridCol w:w="7805"/>
        <w:gridCol w:w="1976"/>
      </w:tblGrid>
      <w:tr w:rsidR="00DF0617" w:rsidRPr="006D1748" w14:paraId="51878B37" w14:textId="77777777" w:rsidTr="00DF0617">
        <w:trPr>
          <w:trHeight w:val="340"/>
        </w:trPr>
        <w:tc>
          <w:tcPr>
            <w:tcW w:w="7805" w:type="dxa"/>
            <w:tcBorders>
              <w:top w:val="single" w:sz="8" w:space="0" w:color="C00000"/>
              <w:bottom w:val="single" w:sz="2" w:space="0" w:color="auto"/>
            </w:tcBorders>
            <w:shd w:val="clear" w:color="auto" w:fill="auto"/>
            <w:vAlign w:val="center"/>
          </w:tcPr>
          <w:p w14:paraId="6AAF33EC" w14:textId="77777777" w:rsidR="00DF0617" w:rsidRPr="006D1748" w:rsidRDefault="00DF0617" w:rsidP="00DF0617">
            <w:pPr>
              <w:pStyle w:val="Zkladntext"/>
              <w:widowControl w:val="0"/>
              <w:rPr>
                <w:rFonts w:ascii="Arial" w:hAnsi="Arial" w:cs="Arial"/>
                <w:b/>
                <w:color w:val="C00000"/>
                <w:sz w:val="20"/>
              </w:rPr>
            </w:pPr>
            <w:r w:rsidRPr="006D1748">
              <w:rPr>
                <w:rFonts w:ascii="Arial" w:hAnsi="Arial" w:cs="Arial"/>
                <w:b/>
                <w:color w:val="C00000"/>
                <w:sz w:val="20"/>
              </w:rPr>
              <w:t xml:space="preserve">Pojistné podmínky </w:t>
            </w:r>
            <w:r w:rsidRPr="001B2775">
              <w:rPr>
                <w:rFonts w:ascii="Arial" w:hAnsi="Arial" w:cs="Arial"/>
                <w:b/>
                <w:color w:val="C00000"/>
                <w:sz w:val="20"/>
              </w:rPr>
              <w:t>a doložky – plný název</w:t>
            </w:r>
          </w:p>
        </w:tc>
        <w:tc>
          <w:tcPr>
            <w:tcW w:w="1976" w:type="dxa"/>
            <w:tcBorders>
              <w:top w:val="single" w:sz="8" w:space="0" w:color="C00000"/>
              <w:bottom w:val="single" w:sz="2" w:space="0" w:color="auto"/>
            </w:tcBorders>
            <w:shd w:val="clear" w:color="auto" w:fill="F2F2F2" w:themeFill="background1" w:themeFillShade="F2"/>
            <w:vAlign w:val="center"/>
          </w:tcPr>
          <w:p w14:paraId="5E67DC9E" w14:textId="77777777" w:rsidR="00DF0617" w:rsidRPr="006D1748" w:rsidRDefault="00DF0617" w:rsidP="00DF0617">
            <w:pPr>
              <w:pStyle w:val="Zkladntext"/>
              <w:widowControl w:val="0"/>
              <w:jc w:val="center"/>
              <w:rPr>
                <w:rFonts w:ascii="Arial" w:hAnsi="Arial" w:cs="Arial"/>
                <w:b/>
                <w:color w:val="C00000"/>
                <w:spacing w:val="-8"/>
                <w:sz w:val="20"/>
              </w:rPr>
            </w:pPr>
            <w:r w:rsidRPr="006D1748">
              <w:rPr>
                <w:rFonts w:ascii="Arial" w:hAnsi="Arial" w:cs="Arial"/>
                <w:b/>
                <w:color w:val="C00000"/>
                <w:spacing w:val="-8"/>
                <w:sz w:val="20"/>
              </w:rPr>
              <w:t>Zkrácený název</w:t>
            </w:r>
          </w:p>
        </w:tc>
      </w:tr>
      <w:tr w:rsidR="00DF0617" w:rsidRPr="00215A58" w14:paraId="368564AD" w14:textId="77777777" w:rsidTr="00DF0617">
        <w:trPr>
          <w:trHeight w:val="340"/>
        </w:trPr>
        <w:tc>
          <w:tcPr>
            <w:tcW w:w="7805" w:type="dxa"/>
            <w:tcBorders>
              <w:top w:val="single" w:sz="2" w:space="0" w:color="auto"/>
              <w:bottom w:val="single" w:sz="2" w:space="0" w:color="auto"/>
            </w:tcBorders>
            <w:vAlign w:val="center"/>
          </w:tcPr>
          <w:p w14:paraId="57F49372" w14:textId="77777777" w:rsidR="00DF0617" w:rsidRPr="00DA6825" w:rsidRDefault="00DF0617" w:rsidP="00DF0617">
            <w:pPr>
              <w:tabs>
                <w:tab w:val="right" w:pos="9072"/>
              </w:tabs>
              <w:spacing w:before="0" w:after="0" w:line="240" w:lineRule="auto"/>
              <w:contextualSpacing w:val="0"/>
              <w:rPr>
                <w:rFonts w:cs="Arial"/>
                <w:color w:val="auto"/>
                <w:sz w:val="16"/>
                <w:szCs w:val="16"/>
                <w:highlight w:val="yellow"/>
              </w:rPr>
            </w:pPr>
            <w:r w:rsidRPr="007257DF">
              <w:rPr>
                <w:rFonts w:cs="Arial"/>
                <w:color w:val="auto"/>
                <w:sz w:val="16"/>
                <w:szCs w:val="16"/>
              </w:rPr>
              <w:t>Všeobecné pojistné podmínky pro pojištění majetku a odpovědnosti  VPPMO-P-01/2020</w:t>
            </w:r>
          </w:p>
        </w:tc>
        <w:tc>
          <w:tcPr>
            <w:tcW w:w="1976" w:type="dxa"/>
            <w:tcBorders>
              <w:top w:val="single" w:sz="2" w:space="0" w:color="auto"/>
              <w:bottom w:val="single" w:sz="2" w:space="0" w:color="auto"/>
            </w:tcBorders>
            <w:shd w:val="clear" w:color="auto" w:fill="F2F2F2" w:themeFill="background1" w:themeFillShade="F2"/>
            <w:vAlign w:val="center"/>
          </w:tcPr>
          <w:p w14:paraId="5CC96DC7" w14:textId="77777777" w:rsidR="00DF0617" w:rsidRPr="00215A58" w:rsidRDefault="00DF0617" w:rsidP="00DF0617">
            <w:pPr>
              <w:pStyle w:val="Zkladntext"/>
              <w:widowControl w:val="0"/>
              <w:jc w:val="center"/>
              <w:rPr>
                <w:rFonts w:ascii="Arial" w:hAnsi="Arial" w:cs="Arial"/>
                <w:sz w:val="16"/>
                <w:szCs w:val="16"/>
              </w:rPr>
            </w:pPr>
            <w:r w:rsidRPr="00215A58">
              <w:rPr>
                <w:rFonts w:ascii="Arial" w:hAnsi="Arial" w:cs="Arial"/>
                <w:sz w:val="16"/>
                <w:szCs w:val="16"/>
              </w:rPr>
              <w:t>VPPMO-P</w:t>
            </w:r>
          </w:p>
        </w:tc>
      </w:tr>
      <w:tr w:rsidR="00DF0617" w:rsidRPr="001B2775" w14:paraId="04500AA2" w14:textId="77777777" w:rsidTr="00DF0617">
        <w:trPr>
          <w:trHeight w:val="340"/>
        </w:trPr>
        <w:tc>
          <w:tcPr>
            <w:tcW w:w="7805" w:type="dxa"/>
            <w:tcBorders>
              <w:top w:val="single" w:sz="4" w:space="0" w:color="auto"/>
              <w:bottom w:val="single" w:sz="8" w:space="0" w:color="C00000"/>
            </w:tcBorders>
            <w:vAlign w:val="center"/>
          </w:tcPr>
          <w:p w14:paraId="36742494" w14:textId="77777777" w:rsidR="00DF0617" w:rsidRPr="002C26AC" w:rsidRDefault="00DF0617" w:rsidP="00DF0617">
            <w:pPr>
              <w:tabs>
                <w:tab w:val="right" w:pos="9072"/>
              </w:tabs>
              <w:spacing w:before="0" w:after="0" w:line="240" w:lineRule="auto"/>
              <w:contextualSpacing w:val="0"/>
              <w:rPr>
                <w:rFonts w:cs="Arial"/>
                <w:color w:val="auto"/>
                <w:sz w:val="16"/>
                <w:szCs w:val="16"/>
              </w:rPr>
            </w:pPr>
            <w:r w:rsidRPr="002C26AC">
              <w:rPr>
                <w:rFonts w:cs="Arial"/>
                <w:color w:val="auto"/>
                <w:sz w:val="16"/>
                <w:szCs w:val="16"/>
              </w:rPr>
              <w:t>Doplňkové pojistné podmínky pro pojištění elektronických zařízení DPPEZ-P-01/2020</w:t>
            </w:r>
          </w:p>
        </w:tc>
        <w:tc>
          <w:tcPr>
            <w:tcW w:w="1976" w:type="dxa"/>
            <w:tcBorders>
              <w:top w:val="single" w:sz="4" w:space="0" w:color="auto"/>
              <w:bottom w:val="single" w:sz="8" w:space="0" w:color="C00000"/>
            </w:tcBorders>
            <w:shd w:val="clear" w:color="auto" w:fill="F2F2F2" w:themeFill="background1" w:themeFillShade="F2"/>
            <w:vAlign w:val="center"/>
          </w:tcPr>
          <w:p w14:paraId="20AC128A" w14:textId="77777777" w:rsidR="00DF0617" w:rsidRPr="002C26AC" w:rsidRDefault="00DF0617" w:rsidP="00DF0617">
            <w:pPr>
              <w:pStyle w:val="Zkladntext"/>
              <w:widowControl w:val="0"/>
              <w:jc w:val="center"/>
              <w:rPr>
                <w:rFonts w:ascii="Arial" w:hAnsi="Arial" w:cs="Arial"/>
                <w:sz w:val="16"/>
                <w:szCs w:val="16"/>
              </w:rPr>
            </w:pPr>
            <w:r w:rsidRPr="002C26AC">
              <w:rPr>
                <w:rFonts w:ascii="Arial" w:hAnsi="Arial" w:cs="Arial"/>
                <w:sz w:val="16"/>
                <w:szCs w:val="16"/>
              </w:rPr>
              <w:t>DPPEZ-P</w:t>
            </w:r>
          </w:p>
        </w:tc>
      </w:tr>
    </w:tbl>
    <w:p w14:paraId="0DB49BCE" w14:textId="77777777" w:rsidR="007346C1" w:rsidRPr="00DF0617" w:rsidRDefault="007346C1" w:rsidP="007346C1">
      <w:pPr>
        <w:pStyle w:val="Zkladntext"/>
        <w:rPr>
          <w:rFonts w:ascii="Arial" w:hAnsi="Arial" w:cs="Arial"/>
          <w:sz w:val="20"/>
        </w:rPr>
      </w:pPr>
    </w:p>
    <w:p w14:paraId="64C9F517" w14:textId="77777777" w:rsidR="003B4955" w:rsidRPr="009B6E54" w:rsidRDefault="003B4955" w:rsidP="008C63E0">
      <w:pPr>
        <w:pStyle w:val="GPodstavec"/>
        <w:numPr>
          <w:ilvl w:val="1"/>
          <w:numId w:val="3"/>
        </w:numPr>
        <w:ind w:left="709" w:hanging="709"/>
        <w:rPr>
          <w:lang w:val="cs-CZ"/>
        </w:rPr>
      </w:pPr>
      <w:r w:rsidRPr="009B6E54">
        <w:rPr>
          <w:lang w:val="cs-CZ"/>
        </w:rPr>
        <w:t xml:space="preserve">Pojištěným z této </w:t>
      </w:r>
      <w:r w:rsidR="008C63E0" w:rsidRPr="009B6E54">
        <w:rPr>
          <w:lang w:val="cs-CZ"/>
        </w:rPr>
        <w:t xml:space="preserve">pojistné smlouvy je pojistník a jeho </w:t>
      </w:r>
      <w:proofErr w:type="spellStart"/>
      <w:r w:rsidR="008C63E0" w:rsidRPr="009B6E54">
        <w:rPr>
          <w:lang w:val="cs-CZ"/>
        </w:rPr>
        <w:t>dceřinné</w:t>
      </w:r>
      <w:proofErr w:type="spellEnd"/>
      <w:r w:rsidR="008C63E0" w:rsidRPr="009B6E54">
        <w:rPr>
          <w:lang w:val="cs-CZ"/>
        </w:rPr>
        <w:t xml:space="preserve"> společnosti:</w:t>
      </w:r>
    </w:p>
    <w:p w14:paraId="32CC6998" w14:textId="77777777" w:rsidR="00C360F4" w:rsidRDefault="008E2BC7" w:rsidP="008E2BC7">
      <w:pPr>
        <w:pStyle w:val="Text11"/>
        <w:keepLines/>
        <w:tabs>
          <w:tab w:val="clear" w:pos="907"/>
        </w:tabs>
        <w:spacing w:before="0" w:after="0"/>
        <w:ind w:left="851" w:hanging="142"/>
        <w:jc w:val="left"/>
        <w:rPr>
          <w:rFonts w:cs="Arial"/>
          <w:sz w:val="20"/>
        </w:rPr>
      </w:pPr>
      <w:r>
        <w:rPr>
          <w:rFonts w:cs="Arial"/>
          <w:sz w:val="20"/>
        </w:rPr>
        <w:t xml:space="preserve">Centrum dopravního výzkumu, </w:t>
      </w:r>
      <w:proofErr w:type="spellStart"/>
      <w:r>
        <w:rPr>
          <w:rFonts w:cs="Arial"/>
          <w:sz w:val="20"/>
        </w:rPr>
        <w:t>v.v.i</w:t>
      </w:r>
      <w:proofErr w:type="spellEnd"/>
      <w:r>
        <w:rPr>
          <w:rFonts w:cs="Arial"/>
          <w:sz w:val="20"/>
        </w:rPr>
        <w:t>., Líšeňská 2657/</w:t>
      </w:r>
      <w:proofErr w:type="gramStart"/>
      <w:r>
        <w:rPr>
          <w:rFonts w:cs="Arial"/>
          <w:sz w:val="20"/>
        </w:rPr>
        <w:t>33a</w:t>
      </w:r>
      <w:proofErr w:type="gramEnd"/>
      <w:r>
        <w:rPr>
          <w:rFonts w:cs="Arial"/>
          <w:sz w:val="20"/>
        </w:rPr>
        <w:t>, 636 00 Brno – Líšeň, IČO: 44994575</w:t>
      </w:r>
    </w:p>
    <w:p w14:paraId="66FBB7D2" w14:textId="77777777" w:rsidR="009F79C7" w:rsidRPr="00F00622" w:rsidRDefault="009F79C7" w:rsidP="009F79C7">
      <w:pPr>
        <w:pStyle w:val="Text11"/>
        <w:keepLines/>
        <w:tabs>
          <w:tab w:val="clear" w:pos="907"/>
        </w:tabs>
        <w:spacing w:before="0" w:after="0"/>
        <w:ind w:left="851" w:hanging="142"/>
        <w:jc w:val="left"/>
        <w:rPr>
          <w:rFonts w:cs="Arial"/>
          <w:sz w:val="20"/>
        </w:rPr>
      </w:pPr>
      <w:r w:rsidRPr="00F00622">
        <w:rPr>
          <w:rFonts w:cs="Arial"/>
          <w:sz w:val="20"/>
        </w:rPr>
        <w:t>CIMTO, s.r.o., Líšeňská 2657/</w:t>
      </w:r>
      <w:proofErr w:type="gramStart"/>
      <w:r w:rsidRPr="00F00622">
        <w:rPr>
          <w:rFonts w:cs="Arial"/>
          <w:sz w:val="20"/>
        </w:rPr>
        <w:t>33a</w:t>
      </w:r>
      <w:proofErr w:type="gramEnd"/>
      <w:r w:rsidRPr="00F00622">
        <w:rPr>
          <w:rFonts w:cs="Arial"/>
          <w:sz w:val="20"/>
        </w:rPr>
        <w:t>, 636 00 Brno – Líšeň, IČO: 04050657</w:t>
      </w:r>
    </w:p>
    <w:p w14:paraId="61C7D7B1" w14:textId="77777777" w:rsidR="009F79C7" w:rsidRPr="009F79C7" w:rsidRDefault="009F79C7" w:rsidP="009F79C7">
      <w:pPr>
        <w:pStyle w:val="Zkladntext"/>
        <w:rPr>
          <w:highlight w:val="yellow"/>
        </w:rPr>
      </w:pPr>
    </w:p>
    <w:p w14:paraId="4AAA8A6D" w14:textId="77777777" w:rsidR="000B52E3" w:rsidRPr="007048D4" w:rsidRDefault="000B52E3" w:rsidP="00155A5F">
      <w:pPr>
        <w:pStyle w:val="GPodstavec"/>
        <w:numPr>
          <w:ilvl w:val="1"/>
          <w:numId w:val="3"/>
        </w:numPr>
        <w:ind w:left="709" w:hanging="709"/>
      </w:pPr>
      <w:r w:rsidRPr="007048D4">
        <w:t xml:space="preserve">Oprávněnou osobou </w:t>
      </w:r>
      <w:r w:rsidR="00E333E8" w:rsidRPr="007048D4">
        <w:t>je pojištěný</w:t>
      </w:r>
      <w:r w:rsidR="008C63E0" w:rsidRPr="007048D4">
        <w:t>.</w:t>
      </w:r>
    </w:p>
    <w:p w14:paraId="0B8D4B5F" w14:textId="77777777" w:rsidR="005A0E66" w:rsidRPr="00303946" w:rsidRDefault="005A0E66" w:rsidP="00AF0409">
      <w:pPr>
        <w:widowControl/>
        <w:numPr>
          <w:ilvl w:val="0"/>
          <w:numId w:val="3"/>
        </w:numPr>
        <w:spacing w:before="480" w:after="240" w:line="240" w:lineRule="auto"/>
        <w:ind w:left="709" w:hanging="709"/>
        <w:contextualSpacing w:val="0"/>
        <w:rPr>
          <w:rFonts w:cs="Arial"/>
          <w:b/>
          <w:color w:val="auto"/>
          <w:sz w:val="22"/>
          <w:szCs w:val="22"/>
        </w:rPr>
      </w:pPr>
      <w:r w:rsidRPr="00303946">
        <w:rPr>
          <w:rFonts w:cs="Arial"/>
          <w:b/>
          <w:color w:val="auto"/>
          <w:sz w:val="22"/>
          <w:szCs w:val="22"/>
        </w:rPr>
        <w:t>Pojištění elektronických zařízení</w:t>
      </w:r>
    </w:p>
    <w:p w14:paraId="469131D6" w14:textId="77777777" w:rsidR="005A0E66" w:rsidRDefault="005A0E66" w:rsidP="00AF0409">
      <w:pPr>
        <w:pStyle w:val="Text11"/>
        <w:keepLines/>
        <w:tabs>
          <w:tab w:val="clear" w:pos="907"/>
        </w:tabs>
        <w:spacing w:before="120" w:after="0"/>
        <w:ind w:left="709" w:firstLine="0"/>
        <w:jc w:val="left"/>
        <w:rPr>
          <w:rFonts w:cs="Arial"/>
          <w:snapToGrid/>
          <w:color w:val="000000" w:themeColor="text1"/>
          <w:sz w:val="20"/>
          <w:lang w:val="it-IT" w:eastAsia="it-IT"/>
        </w:rPr>
      </w:pPr>
      <w:r w:rsidRPr="00AF0409">
        <w:rPr>
          <w:rFonts w:cs="Arial"/>
          <w:snapToGrid/>
          <w:color w:val="000000" w:themeColor="text1"/>
          <w:sz w:val="20"/>
          <w:lang w:val="it-IT" w:eastAsia="it-IT"/>
        </w:rPr>
        <w:t>Pojištění elektronických zařízení se řídí pojistnými podmínkami VPPMO-P, DPPEZ-P a dalšími ujednáními uvedenými pro toto pojištění v pojistné smlouvě.</w:t>
      </w:r>
    </w:p>
    <w:p w14:paraId="4B31ACAB" w14:textId="77777777" w:rsidR="005A0E66" w:rsidRPr="00420760" w:rsidRDefault="005A0E66" w:rsidP="00420760">
      <w:pPr>
        <w:pStyle w:val="GPodstavec"/>
        <w:numPr>
          <w:ilvl w:val="1"/>
          <w:numId w:val="3"/>
        </w:numPr>
        <w:ind w:left="709" w:hanging="709"/>
      </w:pPr>
      <w:r w:rsidRPr="005E3D29">
        <w:rPr>
          <w:b/>
        </w:rPr>
        <w:t>Předměty pojištění, pojistné částky a spoluúčasti</w:t>
      </w:r>
      <w:r w:rsidR="00160184">
        <w:rPr>
          <w:b/>
        </w:rPr>
        <w:br/>
      </w:r>
      <w:r w:rsidRPr="00AF0409">
        <w:t xml:space="preserve">V souladu s ustanovením článku </w:t>
      </w:r>
      <w:r w:rsidRPr="00303946">
        <w:rPr>
          <w:b/>
        </w:rPr>
        <w:t>3</w:t>
      </w:r>
      <w:r w:rsidRPr="00AF0409">
        <w:t xml:space="preserve"> DPPEZ-P se pojištění dle této pojistné smlouvy vztahuje na předměty pojištění uvedené pod jednotlivými položkami. Zároveň jsou pro jednotlivé předměty </w:t>
      </w:r>
      <w:r w:rsidRPr="00420760">
        <w:t>pojištění sjednány níže uvedené pojistné částky a spoluúčasti.</w:t>
      </w:r>
    </w:p>
    <w:p w14:paraId="4BB9F25D" w14:textId="77777777" w:rsidR="00AF0409" w:rsidRPr="00420760" w:rsidRDefault="00AF0409" w:rsidP="00AF0409">
      <w:pPr>
        <w:pStyle w:val="Zkladntext"/>
        <w:rPr>
          <w:rFonts w:ascii="Arial" w:hAnsi="Arial" w:cs="Arial"/>
          <w:sz w:val="20"/>
          <w:lang w:val="it-IT" w:eastAsia="it-IT"/>
        </w:rPr>
      </w:pPr>
    </w:p>
    <w:tbl>
      <w:tblPr>
        <w:tblW w:w="9639" w:type="dxa"/>
        <w:tblLayout w:type="fixed"/>
        <w:tblCellMar>
          <w:left w:w="42" w:type="dxa"/>
          <w:right w:w="42" w:type="dxa"/>
        </w:tblCellMar>
        <w:tblLook w:val="0000" w:firstRow="0" w:lastRow="0" w:firstColumn="0" w:lastColumn="0" w:noHBand="0" w:noVBand="0"/>
      </w:tblPr>
      <w:tblGrid>
        <w:gridCol w:w="567"/>
        <w:gridCol w:w="5525"/>
        <w:gridCol w:w="1702"/>
        <w:gridCol w:w="1845"/>
      </w:tblGrid>
      <w:tr w:rsidR="005A0E66" w:rsidRPr="00420760" w14:paraId="65BDE5DA" w14:textId="77777777" w:rsidTr="00687B6F">
        <w:trPr>
          <w:trHeight w:val="340"/>
        </w:trPr>
        <w:tc>
          <w:tcPr>
            <w:tcW w:w="567" w:type="dxa"/>
            <w:tcBorders>
              <w:top w:val="single" w:sz="8" w:space="0" w:color="C00000"/>
              <w:bottom w:val="single" w:sz="2" w:space="0" w:color="auto"/>
            </w:tcBorders>
            <w:shd w:val="clear" w:color="auto" w:fill="auto"/>
            <w:vAlign w:val="center"/>
          </w:tcPr>
          <w:p w14:paraId="3793B63F" w14:textId="77777777" w:rsidR="005A0E66" w:rsidRPr="00420760" w:rsidRDefault="005A0E66" w:rsidP="00007355">
            <w:pPr>
              <w:pStyle w:val="Texttabulky"/>
              <w:jc w:val="center"/>
              <w:rPr>
                <w:rFonts w:cs="Arial"/>
                <w:color w:val="C00000"/>
                <w:sz w:val="20"/>
              </w:rPr>
            </w:pPr>
            <w:r w:rsidRPr="00420760">
              <w:rPr>
                <w:rFonts w:cs="Arial"/>
                <w:b/>
                <w:color w:val="C00000"/>
                <w:sz w:val="20"/>
              </w:rPr>
              <w:t xml:space="preserve">Pol. č. </w:t>
            </w:r>
          </w:p>
        </w:tc>
        <w:tc>
          <w:tcPr>
            <w:tcW w:w="5525" w:type="dxa"/>
            <w:tcBorders>
              <w:top w:val="single" w:sz="8" w:space="0" w:color="C00000"/>
              <w:bottom w:val="single" w:sz="2" w:space="0" w:color="auto"/>
            </w:tcBorders>
            <w:shd w:val="clear" w:color="auto" w:fill="F2F2F2" w:themeFill="background1" w:themeFillShade="F2"/>
            <w:vAlign w:val="center"/>
          </w:tcPr>
          <w:p w14:paraId="38C36E45" w14:textId="77777777" w:rsidR="005A0E66" w:rsidRPr="00420760" w:rsidRDefault="00F65E9F" w:rsidP="00F65E9F">
            <w:pPr>
              <w:pStyle w:val="Texttabulky"/>
              <w:jc w:val="center"/>
              <w:rPr>
                <w:rFonts w:cs="Arial"/>
                <w:b/>
                <w:color w:val="C00000"/>
                <w:sz w:val="20"/>
              </w:rPr>
            </w:pPr>
            <w:r w:rsidRPr="00420760">
              <w:rPr>
                <w:rFonts w:cs="Arial"/>
                <w:b/>
                <w:color w:val="C00000"/>
                <w:sz w:val="20"/>
              </w:rPr>
              <w:t>Specifikace předmětu pojištění</w:t>
            </w:r>
          </w:p>
        </w:tc>
        <w:tc>
          <w:tcPr>
            <w:tcW w:w="1702" w:type="dxa"/>
            <w:tcBorders>
              <w:top w:val="single" w:sz="8" w:space="0" w:color="C00000"/>
              <w:bottom w:val="single" w:sz="2" w:space="0" w:color="auto"/>
            </w:tcBorders>
            <w:shd w:val="clear" w:color="auto" w:fill="FFFFFF" w:themeFill="background1"/>
            <w:vAlign w:val="center"/>
          </w:tcPr>
          <w:p w14:paraId="3C6A2FAC" w14:textId="77777777" w:rsidR="005A0E66" w:rsidRPr="00420760" w:rsidRDefault="005A0E66" w:rsidP="00007355">
            <w:pPr>
              <w:pStyle w:val="Texttabulky"/>
              <w:jc w:val="center"/>
              <w:rPr>
                <w:rFonts w:cs="Arial"/>
                <w:b/>
                <w:color w:val="C00000"/>
                <w:sz w:val="20"/>
              </w:rPr>
            </w:pPr>
            <w:r w:rsidRPr="00420760">
              <w:rPr>
                <w:rFonts w:cs="Arial"/>
                <w:b/>
                <w:color w:val="C00000"/>
                <w:sz w:val="20"/>
              </w:rPr>
              <w:t xml:space="preserve">Pojistná částka </w:t>
            </w:r>
          </w:p>
          <w:p w14:paraId="50B3B4D2" w14:textId="77777777" w:rsidR="005A0E66" w:rsidRPr="00420760" w:rsidRDefault="005A0E66" w:rsidP="00007355">
            <w:pPr>
              <w:pStyle w:val="Texttabulky"/>
              <w:jc w:val="center"/>
              <w:rPr>
                <w:rFonts w:cs="Arial"/>
                <w:b/>
                <w:color w:val="C00000"/>
                <w:sz w:val="20"/>
              </w:rPr>
            </w:pPr>
            <w:r w:rsidRPr="00420760">
              <w:rPr>
                <w:rFonts w:cs="Arial"/>
                <w:b/>
                <w:color w:val="C00000"/>
                <w:sz w:val="20"/>
              </w:rPr>
              <w:t>v Kč</w:t>
            </w:r>
          </w:p>
        </w:tc>
        <w:tc>
          <w:tcPr>
            <w:tcW w:w="1845" w:type="dxa"/>
            <w:tcBorders>
              <w:top w:val="single" w:sz="8" w:space="0" w:color="C00000"/>
              <w:bottom w:val="single" w:sz="2" w:space="0" w:color="auto"/>
            </w:tcBorders>
            <w:shd w:val="clear" w:color="auto" w:fill="F2F2F2" w:themeFill="background1" w:themeFillShade="F2"/>
            <w:vAlign w:val="center"/>
          </w:tcPr>
          <w:p w14:paraId="192CC63E" w14:textId="77777777" w:rsidR="005A0E66" w:rsidRPr="00420760" w:rsidRDefault="005A0E66" w:rsidP="00007355">
            <w:pPr>
              <w:pStyle w:val="Texttabulky"/>
              <w:jc w:val="center"/>
              <w:rPr>
                <w:rFonts w:cs="Arial"/>
                <w:color w:val="C00000"/>
                <w:sz w:val="20"/>
              </w:rPr>
            </w:pPr>
            <w:r w:rsidRPr="00420760">
              <w:rPr>
                <w:rFonts w:cs="Arial"/>
                <w:b/>
                <w:color w:val="C00000"/>
                <w:sz w:val="20"/>
              </w:rPr>
              <w:t>Spoluúčast v Kč</w:t>
            </w:r>
          </w:p>
        </w:tc>
      </w:tr>
      <w:tr w:rsidR="005A0E66" w:rsidRPr="00420760" w14:paraId="3EBE02AD" w14:textId="77777777" w:rsidTr="00D60E57">
        <w:trPr>
          <w:trHeight w:val="604"/>
        </w:trPr>
        <w:tc>
          <w:tcPr>
            <w:tcW w:w="567" w:type="dxa"/>
            <w:tcBorders>
              <w:bottom w:val="single" w:sz="2" w:space="0" w:color="auto"/>
            </w:tcBorders>
            <w:vAlign w:val="center"/>
          </w:tcPr>
          <w:p w14:paraId="4127D847" w14:textId="77777777" w:rsidR="005A0E66" w:rsidRPr="007048D4" w:rsidRDefault="005A0E66" w:rsidP="00007355">
            <w:pPr>
              <w:pStyle w:val="Texttabulky"/>
              <w:jc w:val="center"/>
              <w:rPr>
                <w:rFonts w:cs="Arial"/>
                <w:color w:val="auto"/>
                <w:sz w:val="16"/>
                <w:szCs w:val="16"/>
              </w:rPr>
            </w:pPr>
            <w:r w:rsidRPr="007048D4">
              <w:rPr>
                <w:rFonts w:cs="Arial"/>
                <w:color w:val="auto"/>
                <w:sz w:val="16"/>
                <w:szCs w:val="16"/>
              </w:rPr>
              <w:t>1</w:t>
            </w:r>
          </w:p>
        </w:tc>
        <w:tc>
          <w:tcPr>
            <w:tcW w:w="5525" w:type="dxa"/>
            <w:tcBorders>
              <w:bottom w:val="single" w:sz="2" w:space="0" w:color="auto"/>
            </w:tcBorders>
            <w:shd w:val="clear" w:color="auto" w:fill="F2F2F2" w:themeFill="background1" w:themeFillShade="F2"/>
            <w:vAlign w:val="center"/>
          </w:tcPr>
          <w:p w14:paraId="30A0EDD7" w14:textId="77777777" w:rsidR="005A0E66" w:rsidRPr="007048D4" w:rsidRDefault="005A0E66" w:rsidP="00D60E57">
            <w:pPr>
              <w:pStyle w:val="Texttabulky"/>
              <w:rPr>
                <w:rFonts w:cs="Arial"/>
                <w:color w:val="auto"/>
                <w:sz w:val="16"/>
                <w:szCs w:val="16"/>
              </w:rPr>
            </w:pPr>
            <w:r w:rsidRPr="007048D4">
              <w:rPr>
                <w:rFonts w:cs="Arial"/>
                <w:color w:val="auto"/>
                <w:sz w:val="16"/>
                <w:szCs w:val="16"/>
              </w:rPr>
              <w:t xml:space="preserve">Elektronika </w:t>
            </w:r>
            <w:r w:rsidR="00D60E57" w:rsidRPr="007048D4">
              <w:rPr>
                <w:rFonts w:cs="Arial"/>
                <w:color w:val="auto"/>
                <w:sz w:val="16"/>
                <w:szCs w:val="16"/>
              </w:rPr>
              <w:t xml:space="preserve">uvedená na seznamu na příloze č. 1 - </w:t>
            </w:r>
            <w:r w:rsidR="00C62F7A" w:rsidRPr="007048D4">
              <w:rPr>
                <w:rFonts w:cs="Arial"/>
                <w:color w:val="auto"/>
                <w:sz w:val="16"/>
                <w:szCs w:val="16"/>
              </w:rPr>
              <w:t>vlastní a cizí</w:t>
            </w:r>
            <w:r w:rsidR="00D60E57" w:rsidRPr="007048D4">
              <w:rPr>
                <w:rFonts w:cs="Arial"/>
                <w:color w:val="auto"/>
                <w:sz w:val="16"/>
                <w:szCs w:val="16"/>
              </w:rPr>
              <w:t>, kterou pojištění po právu užívají</w:t>
            </w:r>
            <w:r w:rsidR="00C62F7A" w:rsidRPr="007048D4">
              <w:rPr>
                <w:rFonts w:cs="Arial"/>
                <w:color w:val="auto"/>
                <w:sz w:val="16"/>
                <w:szCs w:val="16"/>
              </w:rPr>
              <w:t xml:space="preserve"> </w:t>
            </w:r>
          </w:p>
        </w:tc>
        <w:tc>
          <w:tcPr>
            <w:tcW w:w="1702" w:type="dxa"/>
            <w:tcBorders>
              <w:bottom w:val="single" w:sz="2" w:space="0" w:color="auto"/>
            </w:tcBorders>
            <w:shd w:val="clear" w:color="auto" w:fill="FFFFFF" w:themeFill="background1"/>
            <w:vAlign w:val="center"/>
          </w:tcPr>
          <w:p w14:paraId="28D126FA" w14:textId="030E2149" w:rsidR="005A0E66" w:rsidRPr="00420760" w:rsidRDefault="00E24B12" w:rsidP="00007355">
            <w:pPr>
              <w:pStyle w:val="Texttabulky"/>
              <w:jc w:val="right"/>
              <w:rPr>
                <w:rFonts w:cs="Arial"/>
                <w:color w:val="auto"/>
                <w:sz w:val="16"/>
                <w:szCs w:val="16"/>
              </w:rPr>
            </w:pPr>
            <w:r>
              <w:rPr>
                <w:rFonts w:cs="Arial"/>
                <w:color w:val="auto"/>
                <w:sz w:val="16"/>
                <w:szCs w:val="16"/>
              </w:rPr>
              <w:t>32</w:t>
            </w:r>
            <w:r w:rsidR="00BD1EE3">
              <w:rPr>
                <w:rFonts w:cs="Arial"/>
                <w:color w:val="auto"/>
                <w:sz w:val="16"/>
                <w:szCs w:val="16"/>
              </w:rPr>
              <w:t> 613 706</w:t>
            </w:r>
            <w:r w:rsidR="008E2BC7">
              <w:rPr>
                <w:rFonts w:cs="Arial"/>
                <w:color w:val="auto"/>
                <w:sz w:val="16"/>
                <w:szCs w:val="16"/>
              </w:rPr>
              <w:t xml:space="preserve"> Kč</w:t>
            </w:r>
          </w:p>
        </w:tc>
        <w:tc>
          <w:tcPr>
            <w:tcW w:w="1845" w:type="dxa"/>
            <w:tcBorders>
              <w:bottom w:val="single" w:sz="2" w:space="0" w:color="auto"/>
            </w:tcBorders>
            <w:shd w:val="clear" w:color="auto" w:fill="F2F2F2" w:themeFill="background1" w:themeFillShade="F2"/>
            <w:vAlign w:val="center"/>
          </w:tcPr>
          <w:p w14:paraId="7AD0FE70" w14:textId="77777777" w:rsidR="005A0E66" w:rsidRPr="00420760" w:rsidRDefault="008E2BC7" w:rsidP="00007355">
            <w:pPr>
              <w:pStyle w:val="Texttabulky"/>
              <w:jc w:val="right"/>
              <w:rPr>
                <w:rFonts w:cs="Arial"/>
                <w:color w:val="auto"/>
                <w:sz w:val="16"/>
                <w:szCs w:val="16"/>
              </w:rPr>
            </w:pPr>
            <w:r>
              <w:rPr>
                <w:rFonts w:cs="Arial"/>
                <w:color w:val="auto"/>
                <w:sz w:val="16"/>
                <w:szCs w:val="16"/>
              </w:rPr>
              <w:t xml:space="preserve">5 000 Kč, odcizení </w:t>
            </w:r>
            <w:proofErr w:type="gramStart"/>
            <w:r>
              <w:rPr>
                <w:rFonts w:cs="Arial"/>
                <w:color w:val="auto"/>
                <w:sz w:val="16"/>
                <w:szCs w:val="16"/>
              </w:rPr>
              <w:t>25%</w:t>
            </w:r>
            <w:proofErr w:type="gramEnd"/>
            <w:r>
              <w:rPr>
                <w:rFonts w:cs="Arial"/>
                <w:color w:val="auto"/>
                <w:sz w:val="16"/>
                <w:szCs w:val="16"/>
              </w:rPr>
              <w:t>, min. 5 000 Kč</w:t>
            </w:r>
            <w:r w:rsidR="00420760" w:rsidRPr="00420760">
              <w:rPr>
                <w:rFonts w:cs="Arial"/>
                <w:color w:val="auto"/>
                <w:sz w:val="16"/>
                <w:szCs w:val="16"/>
              </w:rPr>
              <w:t xml:space="preserve"> </w:t>
            </w:r>
          </w:p>
        </w:tc>
      </w:tr>
    </w:tbl>
    <w:p w14:paraId="1A798795" w14:textId="77777777" w:rsidR="005A0E66" w:rsidRPr="00303946" w:rsidRDefault="005A0E66" w:rsidP="00303946">
      <w:pPr>
        <w:pStyle w:val="Text11"/>
        <w:keepLines/>
        <w:tabs>
          <w:tab w:val="clear" w:pos="907"/>
        </w:tabs>
        <w:spacing w:before="120" w:after="0"/>
        <w:ind w:left="709" w:firstLine="0"/>
        <w:jc w:val="left"/>
        <w:rPr>
          <w:rFonts w:cs="Arial"/>
          <w:snapToGrid/>
          <w:color w:val="000000" w:themeColor="text1"/>
          <w:sz w:val="20"/>
          <w:lang w:val="it-IT" w:eastAsia="it-IT"/>
        </w:rPr>
      </w:pPr>
      <w:r w:rsidRPr="00303946">
        <w:rPr>
          <w:rFonts w:cs="Arial"/>
          <w:snapToGrid/>
          <w:color w:val="000000" w:themeColor="text1"/>
          <w:sz w:val="20"/>
          <w:lang w:val="it-IT" w:eastAsia="it-IT"/>
        </w:rPr>
        <w:t>V případě, že je spoluúčast vyjádřena v procentech, jde o procentuální podíl z pojistného plnění.</w:t>
      </w:r>
    </w:p>
    <w:p w14:paraId="435325B6" w14:textId="77777777" w:rsidR="005A0E66" w:rsidRPr="00160184" w:rsidRDefault="005A0E66" w:rsidP="00160184">
      <w:pPr>
        <w:pStyle w:val="GPodstavec"/>
        <w:numPr>
          <w:ilvl w:val="1"/>
          <w:numId w:val="3"/>
        </w:numPr>
        <w:ind w:left="709" w:hanging="709"/>
        <w:rPr>
          <w:b/>
        </w:rPr>
      </w:pPr>
      <w:r w:rsidRPr="0033041C">
        <w:rPr>
          <w:b/>
        </w:rPr>
        <w:t>Pojistná nebezpečí</w:t>
      </w:r>
      <w:r w:rsidR="00160184">
        <w:rPr>
          <w:b/>
        </w:rPr>
        <w:br/>
      </w:r>
      <w:r w:rsidRPr="00160184">
        <w:t xml:space="preserve">Pojištění se sjednává pro pojistná nebezpečí uvedená v článku </w:t>
      </w:r>
      <w:r w:rsidRPr="00160184">
        <w:rPr>
          <w:b/>
        </w:rPr>
        <w:t>2</w:t>
      </w:r>
      <w:r w:rsidRPr="00160184">
        <w:t xml:space="preserve"> DPPEZ-P a dále v níže uvedeném rozsahu.</w:t>
      </w:r>
    </w:p>
    <w:p w14:paraId="67DA9500" w14:textId="77777777" w:rsidR="00303946" w:rsidRPr="00303946" w:rsidRDefault="00303946" w:rsidP="00303946">
      <w:pPr>
        <w:pStyle w:val="Zkladntext"/>
        <w:rPr>
          <w:rFonts w:ascii="Arial" w:hAnsi="Arial" w:cs="Arial"/>
          <w:sz w:val="20"/>
          <w:lang w:val="it-IT" w:eastAsia="it-IT"/>
        </w:rPr>
      </w:pPr>
    </w:p>
    <w:tbl>
      <w:tblPr>
        <w:tblStyle w:val="Mkatabulky"/>
        <w:tblW w:w="9786" w:type="dxa"/>
        <w:tblLayout w:type="fixed"/>
        <w:tblLook w:val="04A0" w:firstRow="1" w:lastRow="0" w:firstColumn="1" w:lastColumn="0" w:noHBand="0" w:noVBand="1"/>
      </w:tblPr>
      <w:tblGrid>
        <w:gridCol w:w="10"/>
        <w:gridCol w:w="1408"/>
        <w:gridCol w:w="8368"/>
      </w:tblGrid>
      <w:tr w:rsidR="005A0E66" w:rsidRPr="00EC78B7" w14:paraId="46B96356" w14:textId="77777777" w:rsidTr="00687B6F">
        <w:trPr>
          <w:trHeight w:val="340"/>
        </w:trPr>
        <w:tc>
          <w:tcPr>
            <w:tcW w:w="1418" w:type="dxa"/>
            <w:gridSpan w:val="2"/>
            <w:tcBorders>
              <w:top w:val="single" w:sz="8" w:space="0" w:color="C00000"/>
              <w:left w:val="nil"/>
              <w:bottom w:val="single" w:sz="4" w:space="0" w:color="auto"/>
              <w:right w:val="nil"/>
            </w:tcBorders>
            <w:vAlign w:val="center"/>
          </w:tcPr>
          <w:p w14:paraId="479311B1" w14:textId="77777777" w:rsidR="005A0E66" w:rsidRPr="00EC78B7" w:rsidRDefault="005A0E66" w:rsidP="00007355">
            <w:pPr>
              <w:pStyle w:val="Zkladntext"/>
              <w:widowControl w:val="0"/>
              <w:rPr>
                <w:rFonts w:ascii="Arial" w:hAnsi="Arial" w:cs="Arial"/>
                <w:b/>
                <w:color w:val="C00000"/>
                <w:sz w:val="20"/>
              </w:rPr>
            </w:pPr>
            <w:r w:rsidRPr="00EC78B7">
              <w:rPr>
                <w:rFonts w:ascii="Arial" w:hAnsi="Arial" w:cs="Arial"/>
                <w:b/>
                <w:color w:val="C00000"/>
                <w:sz w:val="20"/>
              </w:rPr>
              <w:t>Pro pol. č.</w:t>
            </w:r>
          </w:p>
        </w:tc>
        <w:tc>
          <w:tcPr>
            <w:tcW w:w="8368" w:type="dxa"/>
            <w:tcBorders>
              <w:top w:val="single" w:sz="8" w:space="0" w:color="C00000"/>
              <w:left w:val="nil"/>
              <w:bottom w:val="single" w:sz="4" w:space="0" w:color="auto"/>
              <w:right w:val="nil"/>
            </w:tcBorders>
            <w:shd w:val="clear" w:color="auto" w:fill="F2F2F2" w:themeFill="background1" w:themeFillShade="F2"/>
            <w:vAlign w:val="center"/>
          </w:tcPr>
          <w:p w14:paraId="701A9455" w14:textId="77777777" w:rsidR="005A0E66" w:rsidRPr="00EC78B7" w:rsidRDefault="005A0E66" w:rsidP="00007355">
            <w:pPr>
              <w:pStyle w:val="Zkladntext"/>
              <w:widowControl w:val="0"/>
              <w:rPr>
                <w:rFonts w:ascii="Arial" w:hAnsi="Arial" w:cs="Arial"/>
                <w:b/>
                <w:color w:val="C00000"/>
                <w:sz w:val="20"/>
              </w:rPr>
            </w:pPr>
            <w:r w:rsidRPr="00EC78B7">
              <w:rPr>
                <w:rFonts w:ascii="Arial" w:hAnsi="Arial" w:cs="Arial"/>
                <w:b/>
                <w:color w:val="C00000"/>
                <w:sz w:val="20"/>
              </w:rPr>
              <w:t>Specifikace pojištěných pojistných nebezpečí</w:t>
            </w:r>
          </w:p>
        </w:tc>
      </w:tr>
      <w:tr w:rsidR="005A0E66" w:rsidRPr="008E1B48" w14:paraId="44289C4B" w14:textId="77777777" w:rsidTr="00687B6F">
        <w:tblPrEx>
          <w:jc w:val="center"/>
        </w:tblPrEx>
        <w:trPr>
          <w:gridBefore w:val="1"/>
          <w:wBefore w:w="10" w:type="dxa"/>
          <w:trHeight w:val="340"/>
          <w:jc w:val="center"/>
        </w:trPr>
        <w:tc>
          <w:tcPr>
            <w:tcW w:w="1408" w:type="dxa"/>
            <w:tcBorders>
              <w:top w:val="single" w:sz="2" w:space="0" w:color="auto"/>
              <w:left w:val="nil"/>
              <w:bottom w:val="single" w:sz="2" w:space="0" w:color="auto"/>
              <w:right w:val="nil"/>
            </w:tcBorders>
            <w:vAlign w:val="center"/>
          </w:tcPr>
          <w:p w14:paraId="5124A7CB" w14:textId="77777777" w:rsidR="005A0E66" w:rsidRPr="008F7BCA" w:rsidRDefault="008F7BCA" w:rsidP="00007355">
            <w:pPr>
              <w:tabs>
                <w:tab w:val="right" w:pos="9072"/>
              </w:tabs>
              <w:spacing w:before="0" w:after="0" w:line="240" w:lineRule="auto"/>
              <w:contextualSpacing w:val="0"/>
              <w:rPr>
                <w:rFonts w:cs="Arial"/>
                <w:b/>
                <w:color w:val="auto"/>
                <w:sz w:val="16"/>
                <w:szCs w:val="16"/>
                <w:lang w:val="cs-CZ" w:eastAsia="cs-CZ"/>
              </w:rPr>
            </w:pPr>
            <w:r w:rsidRPr="008F7BCA">
              <w:rPr>
                <w:rFonts w:cs="Arial"/>
                <w:color w:val="auto"/>
                <w:sz w:val="16"/>
                <w:szCs w:val="16"/>
              </w:rPr>
              <w:t>1</w:t>
            </w:r>
          </w:p>
        </w:tc>
        <w:tc>
          <w:tcPr>
            <w:tcW w:w="8368" w:type="dxa"/>
            <w:tcBorders>
              <w:top w:val="single" w:sz="2" w:space="0" w:color="auto"/>
              <w:left w:val="nil"/>
              <w:bottom w:val="single" w:sz="2" w:space="0" w:color="auto"/>
              <w:right w:val="nil"/>
            </w:tcBorders>
            <w:shd w:val="clear" w:color="auto" w:fill="F2F2F2" w:themeFill="background1" w:themeFillShade="F2"/>
            <w:vAlign w:val="center"/>
          </w:tcPr>
          <w:p w14:paraId="0645F084" w14:textId="77777777" w:rsidR="005A0E66" w:rsidRPr="008F7BCA" w:rsidRDefault="005A0E66" w:rsidP="00007355">
            <w:pPr>
              <w:tabs>
                <w:tab w:val="right" w:pos="9072"/>
              </w:tabs>
              <w:spacing w:before="0" w:after="0" w:line="240" w:lineRule="auto"/>
              <w:contextualSpacing w:val="0"/>
              <w:rPr>
                <w:rFonts w:cs="Arial"/>
                <w:color w:val="auto"/>
                <w:sz w:val="16"/>
                <w:szCs w:val="16"/>
                <w:lang w:val="cs-CZ" w:eastAsia="cs-CZ"/>
              </w:rPr>
            </w:pPr>
            <w:r w:rsidRPr="008F7BCA">
              <w:rPr>
                <w:rFonts w:cs="Arial"/>
                <w:color w:val="auto"/>
                <w:sz w:val="16"/>
                <w:szCs w:val="16"/>
                <w:lang w:val="cs-CZ" w:eastAsia="cs-CZ"/>
              </w:rPr>
              <w:t>Pojištění odcizení pro předměty umístěné v uzamčeném místě pojištění</w:t>
            </w:r>
            <w:r w:rsidRPr="009B6E54">
              <w:rPr>
                <w:rFonts w:cs="Arial"/>
                <w:color w:val="auto"/>
                <w:sz w:val="16"/>
                <w:szCs w:val="16"/>
                <w:lang w:val="cs-CZ"/>
              </w:rPr>
              <w:t xml:space="preserve"> </w:t>
            </w:r>
          </w:p>
        </w:tc>
      </w:tr>
      <w:tr w:rsidR="001B11B8" w:rsidRPr="009350AD" w14:paraId="4A593BCA" w14:textId="77777777" w:rsidTr="00687B6F">
        <w:tblPrEx>
          <w:jc w:val="center"/>
        </w:tblPrEx>
        <w:trPr>
          <w:gridBefore w:val="1"/>
          <w:wBefore w:w="10" w:type="dxa"/>
          <w:trHeight w:val="340"/>
          <w:jc w:val="center"/>
        </w:trPr>
        <w:tc>
          <w:tcPr>
            <w:tcW w:w="1408" w:type="dxa"/>
            <w:tcBorders>
              <w:top w:val="single" w:sz="2" w:space="0" w:color="auto"/>
              <w:left w:val="nil"/>
              <w:bottom w:val="single" w:sz="2" w:space="0" w:color="auto"/>
              <w:right w:val="nil"/>
            </w:tcBorders>
            <w:vAlign w:val="center"/>
          </w:tcPr>
          <w:p w14:paraId="6500C6C1" w14:textId="77777777" w:rsidR="001B11B8" w:rsidRPr="008F7BCA" w:rsidRDefault="00DF0778" w:rsidP="00007355">
            <w:pPr>
              <w:tabs>
                <w:tab w:val="right" w:pos="9072"/>
              </w:tabs>
              <w:spacing w:before="0" w:after="0" w:line="240" w:lineRule="auto"/>
              <w:contextualSpacing w:val="0"/>
              <w:rPr>
                <w:rFonts w:cs="Arial"/>
                <w:color w:val="auto"/>
                <w:sz w:val="16"/>
                <w:szCs w:val="16"/>
              </w:rPr>
            </w:pPr>
            <w:r>
              <w:rPr>
                <w:rFonts w:cs="Arial"/>
                <w:color w:val="auto"/>
                <w:sz w:val="16"/>
                <w:szCs w:val="16"/>
              </w:rPr>
              <w:t>1</w:t>
            </w:r>
          </w:p>
        </w:tc>
        <w:tc>
          <w:tcPr>
            <w:tcW w:w="8368" w:type="dxa"/>
            <w:tcBorders>
              <w:top w:val="single" w:sz="2" w:space="0" w:color="auto"/>
              <w:left w:val="nil"/>
              <w:bottom w:val="single" w:sz="2" w:space="0" w:color="auto"/>
              <w:right w:val="nil"/>
            </w:tcBorders>
            <w:shd w:val="clear" w:color="auto" w:fill="F2F2F2" w:themeFill="background1" w:themeFillShade="F2"/>
            <w:vAlign w:val="center"/>
          </w:tcPr>
          <w:p w14:paraId="69D5CE53" w14:textId="77777777" w:rsidR="001B11B8" w:rsidRPr="008F7BCA" w:rsidRDefault="001B11B8" w:rsidP="00007355">
            <w:pPr>
              <w:tabs>
                <w:tab w:val="right" w:pos="9072"/>
              </w:tabs>
              <w:spacing w:before="0" w:after="0" w:line="240" w:lineRule="auto"/>
              <w:contextualSpacing w:val="0"/>
              <w:rPr>
                <w:rFonts w:cs="Arial"/>
                <w:color w:val="auto"/>
                <w:sz w:val="16"/>
                <w:szCs w:val="16"/>
                <w:lang w:val="cs-CZ" w:eastAsia="cs-CZ"/>
              </w:rPr>
            </w:pPr>
            <w:r w:rsidRPr="007C2752">
              <w:rPr>
                <w:rFonts w:cs="Arial"/>
                <w:sz w:val="16"/>
                <w:szCs w:val="16"/>
              </w:rPr>
              <w:t>Pojištění výměnných dílů</w:t>
            </w:r>
          </w:p>
        </w:tc>
      </w:tr>
      <w:tr w:rsidR="00DF0778" w:rsidRPr="009350AD" w14:paraId="78DB86C9" w14:textId="77777777" w:rsidTr="00687B6F">
        <w:tblPrEx>
          <w:jc w:val="center"/>
        </w:tblPrEx>
        <w:trPr>
          <w:gridBefore w:val="1"/>
          <w:wBefore w:w="10" w:type="dxa"/>
          <w:trHeight w:val="340"/>
          <w:jc w:val="center"/>
        </w:trPr>
        <w:tc>
          <w:tcPr>
            <w:tcW w:w="1408" w:type="dxa"/>
            <w:tcBorders>
              <w:top w:val="single" w:sz="2" w:space="0" w:color="auto"/>
              <w:left w:val="nil"/>
              <w:bottom w:val="single" w:sz="2" w:space="0" w:color="auto"/>
              <w:right w:val="nil"/>
            </w:tcBorders>
            <w:vAlign w:val="center"/>
          </w:tcPr>
          <w:p w14:paraId="5C5794F7" w14:textId="77777777" w:rsidR="00DF0778" w:rsidRDefault="00DF0778" w:rsidP="00DF0778">
            <w:pPr>
              <w:tabs>
                <w:tab w:val="right" w:pos="9072"/>
              </w:tabs>
              <w:spacing w:before="0" w:after="0" w:line="240" w:lineRule="auto"/>
              <w:contextualSpacing w:val="0"/>
              <w:rPr>
                <w:rFonts w:cs="Arial"/>
                <w:color w:val="auto"/>
                <w:sz w:val="16"/>
                <w:szCs w:val="16"/>
              </w:rPr>
            </w:pPr>
            <w:r>
              <w:rPr>
                <w:rFonts w:cs="Arial"/>
                <w:color w:val="auto"/>
                <w:sz w:val="16"/>
                <w:szCs w:val="16"/>
              </w:rPr>
              <w:t>1</w:t>
            </w:r>
          </w:p>
        </w:tc>
        <w:tc>
          <w:tcPr>
            <w:tcW w:w="8368" w:type="dxa"/>
            <w:tcBorders>
              <w:top w:val="single" w:sz="2" w:space="0" w:color="auto"/>
              <w:left w:val="nil"/>
              <w:bottom w:val="single" w:sz="2" w:space="0" w:color="auto"/>
              <w:right w:val="nil"/>
            </w:tcBorders>
            <w:shd w:val="clear" w:color="auto" w:fill="F2F2F2" w:themeFill="background1" w:themeFillShade="F2"/>
            <w:vAlign w:val="center"/>
          </w:tcPr>
          <w:p w14:paraId="26FAA6BE" w14:textId="77777777" w:rsidR="00DF0778" w:rsidRPr="00BF622D" w:rsidRDefault="00DF0778" w:rsidP="00DF0778">
            <w:pPr>
              <w:spacing w:before="0" w:after="0" w:line="240" w:lineRule="auto"/>
              <w:contextualSpacing w:val="0"/>
              <w:rPr>
                <w:rFonts w:cs="Arial"/>
                <w:color w:val="4D4D4D"/>
                <w:sz w:val="16"/>
                <w:szCs w:val="16"/>
              </w:rPr>
            </w:pPr>
            <w:r w:rsidRPr="00BF622D">
              <w:rPr>
                <w:rFonts w:cs="Arial"/>
                <w:color w:val="4D4D4D"/>
                <w:sz w:val="16"/>
                <w:szCs w:val="16"/>
              </w:rPr>
              <w:t>Výluka škod způsobených přenosnou nemocí</w:t>
            </w:r>
          </w:p>
        </w:tc>
      </w:tr>
      <w:tr w:rsidR="00DF0778" w:rsidRPr="009350AD" w14:paraId="3E93C118" w14:textId="77777777" w:rsidTr="00687B6F">
        <w:tblPrEx>
          <w:jc w:val="center"/>
        </w:tblPrEx>
        <w:trPr>
          <w:gridBefore w:val="1"/>
          <w:wBefore w:w="10" w:type="dxa"/>
          <w:trHeight w:val="340"/>
          <w:jc w:val="center"/>
        </w:trPr>
        <w:tc>
          <w:tcPr>
            <w:tcW w:w="1408" w:type="dxa"/>
            <w:tcBorders>
              <w:top w:val="single" w:sz="2" w:space="0" w:color="auto"/>
              <w:left w:val="nil"/>
              <w:bottom w:val="single" w:sz="2" w:space="0" w:color="auto"/>
              <w:right w:val="nil"/>
            </w:tcBorders>
            <w:vAlign w:val="center"/>
          </w:tcPr>
          <w:p w14:paraId="18CEBCF7" w14:textId="77777777" w:rsidR="00DF0778" w:rsidRDefault="00DF0778" w:rsidP="00DF0778">
            <w:pPr>
              <w:tabs>
                <w:tab w:val="right" w:pos="9072"/>
              </w:tabs>
              <w:spacing w:before="0" w:after="0" w:line="240" w:lineRule="auto"/>
              <w:contextualSpacing w:val="0"/>
              <w:rPr>
                <w:rFonts w:cs="Arial"/>
                <w:color w:val="auto"/>
                <w:sz w:val="16"/>
                <w:szCs w:val="16"/>
              </w:rPr>
            </w:pPr>
            <w:r>
              <w:rPr>
                <w:rFonts w:cs="Arial"/>
                <w:color w:val="auto"/>
                <w:sz w:val="16"/>
                <w:szCs w:val="16"/>
              </w:rPr>
              <w:t>1</w:t>
            </w:r>
          </w:p>
        </w:tc>
        <w:tc>
          <w:tcPr>
            <w:tcW w:w="8368" w:type="dxa"/>
            <w:tcBorders>
              <w:top w:val="single" w:sz="2" w:space="0" w:color="auto"/>
              <w:left w:val="nil"/>
              <w:bottom w:val="single" w:sz="2" w:space="0" w:color="auto"/>
              <w:right w:val="nil"/>
            </w:tcBorders>
            <w:shd w:val="clear" w:color="auto" w:fill="F2F2F2" w:themeFill="background1" w:themeFillShade="F2"/>
            <w:vAlign w:val="center"/>
          </w:tcPr>
          <w:p w14:paraId="4E341198" w14:textId="77777777" w:rsidR="00DF0778" w:rsidRPr="00BF622D" w:rsidRDefault="00DF0778" w:rsidP="00DF0778">
            <w:pPr>
              <w:spacing w:before="0" w:after="0" w:line="240" w:lineRule="auto"/>
              <w:contextualSpacing w:val="0"/>
              <w:rPr>
                <w:rFonts w:cs="Arial"/>
                <w:color w:val="4D4D4D"/>
                <w:sz w:val="16"/>
                <w:szCs w:val="16"/>
              </w:rPr>
            </w:pPr>
            <w:r w:rsidRPr="00BF622D">
              <w:rPr>
                <w:rFonts w:cs="Arial"/>
                <w:color w:val="4D4D4D"/>
                <w:sz w:val="16"/>
                <w:szCs w:val="16"/>
              </w:rPr>
              <w:t>Elektronická data (ekvivalent NMA 2915)</w:t>
            </w:r>
          </w:p>
        </w:tc>
      </w:tr>
    </w:tbl>
    <w:p w14:paraId="45639D7F" w14:textId="77777777" w:rsidR="005A0E66" w:rsidRPr="00303946" w:rsidRDefault="005A0E66" w:rsidP="00303946">
      <w:pPr>
        <w:pStyle w:val="Text11"/>
        <w:keepLines/>
        <w:tabs>
          <w:tab w:val="clear" w:pos="907"/>
        </w:tabs>
        <w:spacing w:before="120" w:after="0"/>
        <w:ind w:left="709" w:firstLine="0"/>
        <w:jc w:val="left"/>
        <w:rPr>
          <w:rFonts w:cs="Arial"/>
          <w:snapToGrid/>
          <w:color w:val="000000" w:themeColor="text1"/>
          <w:sz w:val="20"/>
          <w:lang w:val="it-IT" w:eastAsia="it-IT"/>
        </w:rPr>
      </w:pPr>
      <w:r w:rsidRPr="008F7BCA">
        <w:rPr>
          <w:rFonts w:cs="Arial"/>
          <w:snapToGrid/>
          <w:color w:val="000000" w:themeColor="text1"/>
          <w:sz w:val="20"/>
          <w:lang w:val="it-IT" w:eastAsia="it-IT"/>
        </w:rPr>
        <w:t>Textace zvláštních ujednání jsou ujednány v </w:t>
      </w:r>
      <w:r w:rsidR="00143722" w:rsidRPr="008F7BCA">
        <w:rPr>
          <w:rFonts w:cs="Arial"/>
          <w:snapToGrid/>
          <w:color w:val="000000" w:themeColor="text1"/>
          <w:sz w:val="20"/>
          <w:lang w:val="it-IT" w:eastAsia="it-IT"/>
        </w:rPr>
        <w:t xml:space="preserve">bodu </w:t>
      </w:r>
      <w:r w:rsidR="008F7BCA" w:rsidRPr="008F7BCA">
        <w:rPr>
          <w:rFonts w:cs="Arial"/>
          <w:snapToGrid/>
          <w:color w:val="000000" w:themeColor="text1"/>
          <w:sz w:val="20"/>
          <w:lang w:val="it-IT" w:eastAsia="it-IT"/>
        </w:rPr>
        <w:t>2</w:t>
      </w:r>
      <w:r w:rsidRPr="008F7BCA">
        <w:rPr>
          <w:rFonts w:cs="Arial"/>
          <w:snapToGrid/>
          <w:color w:val="000000" w:themeColor="text1"/>
          <w:sz w:val="20"/>
          <w:lang w:val="it-IT" w:eastAsia="it-IT"/>
        </w:rPr>
        <w:t xml:space="preserve">.4. této </w:t>
      </w:r>
      <w:r w:rsidR="00303946" w:rsidRPr="008F7BCA">
        <w:rPr>
          <w:rFonts w:cs="Arial"/>
          <w:snapToGrid/>
          <w:color w:val="000000" w:themeColor="text1"/>
          <w:sz w:val="20"/>
          <w:lang w:val="it-IT" w:eastAsia="it-IT"/>
        </w:rPr>
        <w:t xml:space="preserve">pojistné </w:t>
      </w:r>
      <w:r w:rsidRPr="008F7BCA">
        <w:rPr>
          <w:rFonts w:cs="Arial"/>
          <w:snapToGrid/>
          <w:color w:val="000000" w:themeColor="text1"/>
          <w:sz w:val="20"/>
          <w:lang w:val="it-IT" w:eastAsia="it-IT"/>
        </w:rPr>
        <w:t>smlouvy.</w:t>
      </w:r>
    </w:p>
    <w:p w14:paraId="199DDA92" w14:textId="77777777" w:rsidR="005A0E66" w:rsidRPr="00160184" w:rsidRDefault="005A0E66" w:rsidP="00160184">
      <w:pPr>
        <w:pStyle w:val="GPodstavec"/>
        <w:numPr>
          <w:ilvl w:val="1"/>
          <w:numId w:val="3"/>
        </w:numPr>
        <w:ind w:left="709" w:hanging="709"/>
        <w:rPr>
          <w:b/>
        </w:rPr>
      </w:pPr>
      <w:r w:rsidRPr="00C773BB">
        <w:rPr>
          <w:b/>
        </w:rPr>
        <w:t>Místo pojištění</w:t>
      </w:r>
      <w:r w:rsidR="00160184">
        <w:rPr>
          <w:b/>
        </w:rPr>
        <w:br/>
      </w:r>
      <w:r w:rsidRPr="00160184">
        <w:t xml:space="preserve">Pro jednotlivé položky </w:t>
      </w:r>
      <w:r w:rsidRPr="008F7BCA">
        <w:t xml:space="preserve">specifikované v bodu </w:t>
      </w:r>
      <w:r w:rsidR="008F7BCA" w:rsidRPr="008F7BCA">
        <w:t>2</w:t>
      </w:r>
      <w:r w:rsidRPr="008F7BCA">
        <w:t>.1</w:t>
      </w:r>
      <w:r w:rsidR="008E61B5" w:rsidRPr="008F7BCA">
        <w:t>.</w:t>
      </w:r>
      <w:r w:rsidRPr="008F7BCA">
        <w:t xml:space="preserve"> této</w:t>
      </w:r>
      <w:r w:rsidRPr="00160184">
        <w:t xml:space="preserve"> pojistné smlouvy se jako místa pojištění sjednávají místa uvedená v tabulce níže.</w:t>
      </w:r>
    </w:p>
    <w:p w14:paraId="57D6C6D0" w14:textId="77777777" w:rsidR="008E61B5" w:rsidRPr="008E61B5" w:rsidRDefault="008E61B5" w:rsidP="008E61B5">
      <w:pPr>
        <w:pStyle w:val="Zkladntext"/>
        <w:rPr>
          <w:rFonts w:ascii="Arial" w:hAnsi="Arial" w:cs="Arial"/>
          <w:sz w:val="20"/>
          <w:lang w:val="it-IT" w:eastAsia="it-IT"/>
        </w:rPr>
      </w:pPr>
    </w:p>
    <w:tbl>
      <w:tblPr>
        <w:tblStyle w:val="Mkatabulky"/>
        <w:tblW w:w="0" w:type="auto"/>
        <w:jc w:val="center"/>
        <w:tblLook w:val="04A0" w:firstRow="1" w:lastRow="0" w:firstColumn="1" w:lastColumn="0" w:noHBand="0" w:noVBand="1"/>
      </w:tblPr>
      <w:tblGrid>
        <w:gridCol w:w="1434"/>
        <w:gridCol w:w="8205"/>
      </w:tblGrid>
      <w:tr w:rsidR="005A0E66" w:rsidRPr="00596606" w14:paraId="34737CFE" w14:textId="77777777" w:rsidTr="00687B6F">
        <w:trPr>
          <w:trHeight w:val="340"/>
          <w:jc w:val="center"/>
        </w:trPr>
        <w:tc>
          <w:tcPr>
            <w:tcW w:w="1434" w:type="dxa"/>
            <w:tcBorders>
              <w:top w:val="single" w:sz="8" w:space="0" w:color="C00000"/>
              <w:left w:val="nil"/>
              <w:bottom w:val="single" w:sz="2" w:space="0" w:color="auto"/>
              <w:right w:val="nil"/>
            </w:tcBorders>
            <w:shd w:val="clear" w:color="auto" w:fill="auto"/>
            <w:vAlign w:val="center"/>
          </w:tcPr>
          <w:p w14:paraId="6596071B" w14:textId="77777777" w:rsidR="005A0E66" w:rsidRPr="00596606" w:rsidRDefault="005A0E66" w:rsidP="00007355">
            <w:pPr>
              <w:pStyle w:val="Zkladntext"/>
              <w:widowControl w:val="0"/>
              <w:rPr>
                <w:rFonts w:ascii="Arial" w:hAnsi="Arial" w:cs="Arial"/>
                <w:b/>
                <w:color w:val="C00000"/>
                <w:sz w:val="20"/>
              </w:rPr>
            </w:pPr>
            <w:r w:rsidRPr="00596606">
              <w:rPr>
                <w:rFonts w:ascii="Arial" w:hAnsi="Arial" w:cs="Arial"/>
                <w:b/>
                <w:color w:val="C00000"/>
                <w:sz w:val="20"/>
              </w:rPr>
              <w:t>Pro pol. č.</w:t>
            </w:r>
          </w:p>
        </w:tc>
        <w:tc>
          <w:tcPr>
            <w:tcW w:w="8205" w:type="dxa"/>
            <w:tcBorders>
              <w:top w:val="single" w:sz="8" w:space="0" w:color="C00000"/>
              <w:left w:val="nil"/>
              <w:bottom w:val="single" w:sz="2" w:space="0" w:color="auto"/>
              <w:right w:val="nil"/>
            </w:tcBorders>
            <w:shd w:val="clear" w:color="auto" w:fill="F2F2F2" w:themeFill="background1" w:themeFillShade="F2"/>
            <w:vAlign w:val="center"/>
          </w:tcPr>
          <w:p w14:paraId="479B8614" w14:textId="77777777" w:rsidR="005A0E66" w:rsidRPr="007048D4" w:rsidRDefault="005A0E66" w:rsidP="00007355">
            <w:pPr>
              <w:pStyle w:val="Zkladntext"/>
              <w:widowControl w:val="0"/>
              <w:rPr>
                <w:rFonts w:ascii="Arial" w:hAnsi="Arial" w:cs="Arial"/>
                <w:b/>
                <w:color w:val="C00000"/>
                <w:sz w:val="20"/>
              </w:rPr>
            </w:pPr>
            <w:r w:rsidRPr="007048D4">
              <w:rPr>
                <w:rFonts w:ascii="Arial" w:hAnsi="Arial" w:cs="Arial"/>
                <w:b/>
                <w:color w:val="C00000"/>
                <w:sz w:val="20"/>
              </w:rPr>
              <w:t>Místo pojištění</w:t>
            </w:r>
          </w:p>
        </w:tc>
      </w:tr>
      <w:tr w:rsidR="005A0E66" w:rsidRPr="008E1B48" w14:paraId="7FFEABC0" w14:textId="77777777" w:rsidTr="00687B6F">
        <w:trPr>
          <w:trHeight w:val="340"/>
          <w:jc w:val="center"/>
        </w:trPr>
        <w:tc>
          <w:tcPr>
            <w:tcW w:w="1434" w:type="dxa"/>
            <w:tcBorders>
              <w:top w:val="single" w:sz="2" w:space="0" w:color="auto"/>
              <w:left w:val="nil"/>
              <w:bottom w:val="single" w:sz="2" w:space="0" w:color="auto"/>
              <w:right w:val="nil"/>
            </w:tcBorders>
            <w:shd w:val="clear" w:color="auto" w:fill="auto"/>
            <w:vAlign w:val="center"/>
          </w:tcPr>
          <w:p w14:paraId="4D8ED9F0" w14:textId="77777777" w:rsidR="005A0E66" w:rsidRPr="00FF6961" w:rsidRDefault="00FF6961" w:rsidP="00007355">
            <w:pPr>
              <w:pStyle w:val="Zkladntext"/>
              <w:widowControl w:val="0"/>
              <w:rPr>
                <w:rFonts w:ascii="Arial" w:hAnsi="Arial" w:cs="Arial"/>
                <w:sz w:val="16"/>
                <w:szCs w:val="16"/>
              </w:rPr>
            </w:pPr>
            <w:r w:rsidRPr="00FF6961">
              <w:rPr>
                <w:rFonts w:ascii="Arial" w:hAnsi="Arial" w:cs="Arial"/>
                <w:sz w:val="16"/>
                <w:szCs w:val="16"/>
              </w:rPr>
              <w:lastRenderedPageBreak/>
              <w:t>1</w:t>
            </w:r>
          </w:p>
        </w:tc>
        <w:tc>
          <w:tcPr>
            <w:tcW w:w="8205" w:type="dxa"/>
            <w:tcBorders>
              <w:top w:val="single" w:sz="2" w:space="0" w:color="auto"/>
              <w:left w:val="nil"/>
              <w:bottom w:val="single" w:sz="2" w:space="0" w:color="auto"/>
              <w:right w:val="nil"/>
            </w:tcBorders>
            <w:shd w:val="clear" w:color="auto" w:fill="F2F2F2" w:themeFill="background1" w:themeFillShade="F2"/>
            <w:vAlign w:val="center"/>
          </w:tcPr>
          <w:p w14:paraId="7C4BB8D5" w14:textId="77777777" w:rsidR="005A0E66" w:rsidRPr="007048D4" w:rsidRDefault="005A0E66" w:rsidP="008E2BC7">
            <w:pPr>
              <w:pStyle w:val="Zkladntext"/>
              <w:widowControl w:val="0"/>
              <w:rPr>
                <w:rFonts w:ascii="Arial" w:hAnsi="Arial" w:cs="Arial"/>
                <w:sz w:val="16"/>
                <w:szCs w:val="16"/>
              </w:rPr>
            </w:pPr>
            <w:r w:rsidRPr="007048D4">
              <w:rPr>
                <w:rFonts w:ascii="Arial" w:hAnsi="Arial" w:cs="Arial"/>
                <w:sz w:val="16"/>
                <w:szCs w:val="16"/>
              </w:rPr>
              <w:t>Území České republiky</w:t>
            </w:r>
            <w:r w:rsidR="008E2BC7">
              <w:rPr>
                <w:rFonts w:ascii="Arial" w:hAnsi="Arial" w:cs="Arial"/>
                <w:sz w:val="16"/>
                <w:szCs w:val="16"/>
              </w:rPr>
              <w:t xml:space="preserve"> – stacionární stroje, území ČR a Evropa – mobilní stroje</w:t>
            </w:r>
          </w:p>
        </w:tc>
      </w:tr>
    </w:tbl>
    <w:p w14:paraId="680FE600" w14:textId="77777777" w:rsidR="00286CFB" w:rsidRPr="009B6E54" w:rsidRDefault="00286CFB" w:rsidP="00286CFB">
      <w:pPr>
        <w:pStyle w:val="GPodstavec"/>
        <w:ind w:left="709"/>
        <w:rPr>
          <w:b/>
          <w:lang w:val="cs-CZ"/>
        </w:rPr>
      </w:pPr>
    </w:p>
    <w:p w14:paraId="44F77494" w14:textId="77777777" w:rsidR="005A0E66" w:rsidRPr="00721B85" w:rsidRDefault="005A0E66" w:rsidP="00AF0409">
      <w:pPr>
        <w:pStyle w:val="GPodstavec"/>
        <w:numPr>
          <w:ilvl w:val="1"/>
          <w:numId w:val="3"/>
        </w:numPr>
        <w:ind w:left="709" w:hanging="709"/>
        <w:rPr>
          <w:b/>
        </w:rPr>
      </w:pPr>
      <w:r w:rsidRPr="00721B85">
        <w:rPr>
          <w:b/>
        </w:rPr>
        <w:t>Zvláštní ujednání</w:t>
      </w:r>
      <w:r w:rsidR="00CA3966">
        <w:rPr>
          <w:b/>
        </w:rPr>
        <w:t xml:space="preserve"> k rozsahu pojištění</w:t>
      </w:r>
    </w:p>
    <w:p w14:paraId="64401ECA" w14:textId="77777777" w:rsidR="00107C53" w:rsidRPr="00B549E7" w:rsidRDefault="00721B85" w:rsidP="00107C53">
      <w:pPr>
        <w:pStyle w:val="GPodstavec"/>
        <w:numPr>
          <w:ilvl w:val="2"/>
          <w:numId w:val="3"/>
        </w:numPr>
        <w:ind w:left="709" w:hanging="709"/>
        <w:rPr>
          <w:b/>
          <w:snapToGrid w:val="0"/>
        </w:rPr>
      </w:pPr>
      <w:r>
        <w:rPr>
          <w:b/>
        </w:rPr>
        <w:t xml:space="preserve">Pojištění </w:t>
      </w:r>
      <w:r w:rsidRPr="00721B85">
        <w:rPr>
          <w:b/>
        </w:rPr>
        <w:t>odcizení pro předměty umístěné v uzamčeném místě pojištění</w:t>
      </w:r>
      <w:r w:rsidR="00662CED">
        <w:rPr>
          <w:b/>
        </w:rPr>
        <w:br/>
      </w:r>
      <w:r w:rsidR="005A0E66" w:rsidRPr="00662CED">
        <w:t xml:space="preserve">Pro předměty pojištění, pro které je </w:t>
      </w:r>
      <w:r w:rsidR="005A0E66" w:rsidRPr="00286CFB">
        <w:t xml:space="preserve">podle bodu </w:t>
      </w:r>
      <w:r w:rsidR="00286CFB" w:rsidRPr="00286CFB">
        <w:t>2</w:t>
      </w:r>
      <w:r w:rsidR="005A0E66" w:rsidRPr="00286CFB">
        <w:t>.2</w:t>
      </w:r>
      <w:r w:rsidRPr="00286CFB">
        <w:t>.</w:t>
      </w:r>
      <w:r w:rsidR="005A0E66" w:rsidRPr="00662CED">
        <w:t xml:space="preserve"> této pojistné smlouvy sjednáno pojištění odcizení pro předměty umístěné v uzamčeném místě pojištění, se odchylně od článku </w:t>
      </w:r>
      <w:r w:rsidR="005A0E66" w:rsidRPr="00662CED">
        <w:rPr>
          <w:b/>
        </w:rPr>
        <w:t>4</w:t>
      </w:r>
      <w:r w:rsidR="005A0E66" w:rsidRPr="00662CED">
        <w:t xml:space="preserve"> bodu </w:t>
      </w:r>
      <w:r w:rsidR="005A0E66" w:rsidRPr="00662CED">
        <w:rPr>
          <w:b/>
        </w:rPr>
        <w:t>1</w:t>
      </w:r>
      <w:r w:rsidR="005A0E66" w:rsidRPr="00662CED">
        <w:t xml:space="preserve"> písm. </w:t>
      </w:r>
      <w:r w:rsidR="005A0E66" w:rsidRPr="00662CED">
        <w:rPr>
          <w:b/>
        </w:rPr>
        <w:t>a</w:t>
      </w:r>
      <w:r w:rsidR="005A0E66" w:rsidRPr="00662CED">
        <w:t xml:space="preserve"> </w:t>
      </w:r>
      <w:r w:rsidR="005A0E66" w:rsidRPr="00662CED">
        <w:br/>
        <w:t>DPPEZ-P ujednává, že se pojištění vztahuje i na odcizení předmětu pojištění krádeží vloupáním nebo loupeží. Pojištění se však nevztahuje na ztrátu předmětu pojištění nebo jeho části s výjimkou případu, kdy byl předmět pojištění nebo jeho část ztracen v příčinné souvislosti s tím, že v místě pojištění nastalo a na předmět pojištění bezprostředně působilo některé ze živelních nebezpečí nevyloučených v této pojistné smlouvě.</w:t>
      </w:r>
      <w:r w:rsidR="005A0E66" w:rsidRPr="00662CED">
        <w:br/>
        <w:t xml:space="preserve">Dojde-li k odcizení předmětu pojištění krádeží vloupáním, řídí se maximální limit plnění </w:t>
      </w:r>
      <w:r w:rsidR="005A0E66" w:rsidRPr="00662CED">
        <w:br/>
        <w:t xml:space="preserve">z jedné pojistné události (dále jen „limit plnění“) způsobem zabezpečení předmětu pojištění v době, </w:t>
      </w:r>
      <w:r w:rsidR="005A0E66" w:rsidRPr="00B549E7">
        <w:t>kdy k pojistné události došlo. Limity plnění a způsoby zabezpečení jsou uvedeny v následujících bodech této pojistné smlouvy.</w:t>
      </w:r>
    </w:p>
    <w:p w14:paraId="0AEA2119" w14:textId="77777777" w:rsidR="00812144" w:rsidRPr="00B549E7" w:rsidRDefault="005A0E66" w:rsidP="00662CED">
      <w:pPr>
        <w:pStyle w:val="GPodstavec"/>
        <w:numPr>
          <w:ilvl w:val="3"/>
          <w:numId w:val="3"/>
        </w:numPr>
        <w:ind w:left="709" w:hanging="709"/>
        <w:rPr>
          <w:b/>
        </w:rPr>
      </w:pPr>
      <w:r w:rsidRPr="00B549E7">
        <w:rPr>
          <w:b/>
        </w:rPr>
        <w:t>Odcizení z uzamčeného místa pojištění</w:t>
      </w:r>
      <w:r w:rsidR="00662CED" w:rsidRPr="00B549E7">
        <w:rPr>
          <w:b/>
        </w:rPr>
        <w:br/>
      </w:r>
      <w:r w:rsidR="00812144" w:rsidRPr="00B549E7">
        <w:rPr>
          <w:snapToGrid w:val="0"/>
        </w:rPr>
        <w:t xml:space="preserve">Ujednává se, že odcizením předmětu pojištění </w:t>
      </w:r>
      <w:r w:rsidR="00812144" w:rsidRPr="00B549E7">
        <w:rPr>
          <w:b/>
          <w:snapToGrid w:val="0"/>
        </w:rPr>
        <w:t>krádeží vloupáním</w:t>
      </w:r>
      <w:r w:rsidR="00812144" w:rsidRPr="00B549E7">
        <w:rPr>
          <w:snapToGrid w:val="0"/>
        </w:rPr>
        <w:t xml:space="preserve"> z uzamčeného místa pojištění se pro účely tohoto pojištění rozumí přivlastnění si předmětu pojištění nebo jeho části v důsledku překonání následujících způsobů zabezpečení:</w:t>
      </w:r>
    </w:p>
    <w:p w14:paraId="53047D45" w14:textId="77777777" w:rsidR="005A0E66" w:rsidRPr="00B549E7" w:rsidRDefault="005A0E66" w:rsidP="00662CED">
      <w:pPr>
        <w:pStyle w:val="Text11"/>
        <w:keepLines/>
        <w:numPr>
          <w:ilvl w:val="0"/>
          <w:numId w:val="41"/>
        </w:numPr>
        <w:spacing w:after="0"/>
        <w:ind w:left="1134" w:hanging="425"/>
        <w:jc w:val="left"/>
        <w:rPr>
          <w:rFonts w:cs="Arial"/>
          <w:b/>
          <w:color w:val="000000" w:themeColor="text1"/>
          <w:sz w:val="20"/>
        </w:rPr>
      </w:pPr>
      <w:r w:rsidRPr="00B549E7">
        <w:rPr>
          <w:rFonts w:cs="Arial"/>
          <w:b/>
          <w:color w:val="000000" w:themeColor="text1"/>
          <w:sz w:val="20"/>
        </w:rPr>
        <w:t>Limit plnění 200 000 Kč</w:t>
      </w:r>
    </w:p>
    <w:p w14:paraId="6E469AF4" w14:textId="77777777" w:rsidR="00413950" w:rsidRPr="00B549E7" w:rsidRDefault="005A0E66" w:rsidP="00FE038B">
      <w:pPr>
        <w:pStyle w:val="Text11"/>
        <w:tabs>
          <w:tab w:val="clear" w:pos="907"/>
        </w:tabs>
        <w:spacing w:before="0" w:after="0"/>
        <w:ind w:left="1134" w:firstLine="0"/>
        <w:jc w:val="left"/>
        <w:rPr>
          <w:rStyle w:val="normln-tun"/>
          <w:rFonts w:cs="Arial"/>
          <w:b w:val="0"/>
          <w:color w:val="000000" w:themeColor="text1"/>
        </w:rPr>
      </w:pPr>
      <w:r w:rsidRPr="00B549E7">
        <w:rPr>
          <w:rStyle w:val="normln-tun"/>
          <w:rFonts w:cs="Arial"/>
          <w:b w:val="0"/>
          <w:color w:val="000000" w:themeColor="text1"/>
        </w:rPr>
        <w:t>Předmět pojištění byl umístěn v uzamčeném místě, jehož vstupní dveře byly uzamčeny zámkem</w:t>
      </w:r>
      <w:r w:rsidR="009E3F04" w:rsidRPr="00B549E7">
        <w:rPr>
          <w:rStyle w:val="normln-tun"/>
          <w:rFonts w:cs="Arial"/>
          <w:b w:val="0"/>
          <w:color w:val="000000" w:themeColor="text1"/>
        </w:rPr>
        <w:t xml:space="preserve"> </w:t>
      </w:r>
      <w:r w:rsidRPr="00B549E7">
        <w:rPr>
          <w:rStyle w:val="normln-tun"/>
          <w:rFonts w:cs="Arial"/>
          <w:b w:val="0"/>
          <w:color w:val="000000" w:themeColor="text1"/>
        </w:rPr>
        <w:t>s cylindrickou vložkou nebo bezpečnostním visacím zámkem.</w:t>
      </w:r>
    </w:p>
    <w:p w14:paraId="25B36925" w14:textId="77777777" w:rsidR="00413950" w:rsidRPr="00B549E7" w:rsidRDefault="00413950" w:rsidP="00FE038B">
      <w:pPr>
        <w:pStyle w:val="Zkladntext"/>
        <w:rPr>
          <w:color w:val="000000" w:themeColor="text1"/>
        </w:rPr>
      </w:pPr>
    </w:p>
    <w:p w14:paraId="6ED5767F" w14:textId="77777777" w:rsidR="00413950" w:rsidRPr="00B549E7" w:rsidRDefault="00413950" w:rsidP="00FE038B">
      <w:pPr>
        <w:pStyle w:val="Zkladntext"/>
        <w:numPr>
          <w:ilvl w:val="0"/>
          <w:numId w:val="41"/>
        </w:numPr>
        <w:ind w:left="993" w:hanging="283"/>
        <w:rPr>
          <w:rFonts w:ascii="Arial" w:hAnsi="Arial" w:cs="Arial"/>
          <w:b/>
          <w:snapToGrid w:val="0"/>
          <w:color w:val="000000" w:themeColor="text1"/>
          <w:sz w:val="20"/>
        </w:rPr>
      </w:pPr>
      <w:r w:rsidRPr="00B549E7">
        <w:rPr>
          <w:rFonts w:ascii="Arial" w:hAnsi="Arial" w:cs="Arial"/>
          <w:b/>
          <w:snapToGrid w:val="0"/>
          <w:color w:val="000000" w:themeColor="text1"/>
          <w:sz w:val="20"/>
        </w:rPr>
        <w:t xml:space="preserve">  Limit plnění 500 000 Kč</w:t>
      </w:r>
    </w:p>
    <w:p w14:paraId="0E2FDFF9" w14:textId="77777777" w:rsidR="00413950" w:rsidRPr="009B6E54" w:rsidRDefault="007048D4" w:rsidP="00FE038B">
      <w:pPr>
        <w:pStyle w:val="Odstavecseseznamem"/>
        <w:spacing w:before="0" w:after="0"/>
        <w:ind w:left="1134"/>
        <w:rPr>
          <w:rFonts w:cs="Arial"/>
          <w:snapToGrid w:val="0"/>
          <w:sz w:val="20"/>
          <w:szCs w:val="20"/>
          <w:lang w:val="cs-CZ"/>
        </w:rPr>
      </w:pPr>
      <w:r w:rsidRPr="009B6E54">
        <w:rPr>
          <w:rFonts w:cs="Arial"/>
          <w:snapToGrid w:val="0"/>
          <w:sz w:val="20"/>
          <w:szCs w:val="20"/>
          <w:lang w:val="cs-CZ"/>
        </w:rPr>
        <w:t xml:space="preserve">Vstupní dveře jsou uzamčeny bezpečnostním uzamykacím systémem nebo kombinací zámku s bezpečnostní cylindrickou vložkou a bezpečnostního kování. Pokud se jedná o dvoukřídlé dveře, jsou dále tyto dveře opatřeny zabezpečením proti vyháčkování. </w:t>
      </w:r>
    </w:p>
    <w:p w14:paraId="5DB0146B" w14:textId="77777777" w:rsidR="00FE038B" w:rsidRPr="009B6E54" w:rsidRDefault="00FE038B" w:rsidP="00FE038B">
      <w:pPr>
        <w:pStyle w:val="Odstavecseseznamem"/>
        <w:spacing w:before="0" w:after="0"/>
        <w:ind w:left="1134"/>
        <w:rPr>
          <w:rFonts w:cs="Arial"/>
          <w:snapToGrid w:val="0"/>
          <w:sz w:val="20"/>
          <w:szCs w:val="20"/>
          <w:lang w:val="cs-CZ"/>
        </w:rPr>
      </w:pPr>
    </w:p>
    <w:p w14:paraId="470C3938" w14:textId="77777777" w:rsidR="005A0E66" w:rsidRPr="009E3F04" w:rsidRDefault="005A0E66" w:rsidP="00FE038B">
      <w:pPr>
        <w:pStyle w:val="Text11"/>
        <w:keepLines/>
        <w:numPr>
          <w:ilvl w:val="0"/>
          <w:numId w:val="41"/>
        </w:numPr>
        <w:spacing w:before="0" w:after="0"/>
        <w:ind w:left="1134" w:hanging="425"/>
        <w:jc w:val="left"/>
        <w:rPr>
          <w:rFonts w:cs="Arial"/>
          <w:b/>
          <w:sz w:val="20"/>
        </w:rPr>
      </w:pPr>
      <w:r w:rsidRPr="009E3F04">
        <w:rPr>
          <w:rFonts w:cs="Arial"/>
          <w:b/>
          <w:sz w:val="20"/>
        </w:rPr>
        <w:t>Limit plnění 1 000 000 Kč</w:t>
      </w:r>
    </w:p>
    <w:p w14:paraId="3AFBE5D9" w14:textId="77777777" w:rsidR="005A0E66" w:rsidRPr="009E3F04" w:rsidRDefault="005A0E66" w:rsidP="00413950">
      <w:pPr>
        <w:pStyle w:val="Text11"/>
        <w:tabs>
          <w:tab w:val="clear" w:pos="907"/>
        </w:tabs>
        <w:spacing w:before="0" w:after="0"/>
        <w:ind w:left="1134" w:firstLine="0"/>
        <w:jc w:val="left"/>
        <w:rPr>
          <w:rStyle w:val="normln-tun"/>
          <w:rFonts w:cs="Arial"/>
          <w:b w:val="0"/>
        </w:rPr>
      </w:pPr>
      <w:r w:rsidRPr="009E3F04">
        <w:rPr>
          <w:rStyle w:val="normln-tun"/>
          <w:rFonts w:cs="Arial"/>
          <w:b w:val="0"/>
        </w:rPr>
        <w:t>Předmět pojištění je umístěný v uzamčeném místě pojištění, jehož:</w:t>
      </w:r>
    </w:p>
    <w:p w14:paraId="6CAD7AC3" w14:textId="77777777" w:rsidR="005A0E66" w:rsidRPr="00C70AF0" w:rsidRDefault="005A0E66" w:rsidP="00413950">
      <w:pPr>
        <w:pStyle w:val="Text11"/>
        <w:numPr>
          <w:ilvl w:val="0"/>
          <w:numId w:val="22"/>
        </w:numPr>
        <w:spacing w:before="0" w:after="0"/>
        <w:ind w:left="1418" w:right="284" w:hanging="284"/>
        <w:jc w:val="left"/>
        <w:rPr>
          <w:rFonts w:cs="Arial"/>
          <w:sz w:val="20"/>
        </w:rPr>
      </w:pPr>
      <w:r w:rsidRPr="00C70AF0">
        <w:rPr>
          <w:rFonts w:cs="Arial"/>
          <w:sz w:val="20"/>
        </w:rPr>
        <w:t>vstupní bezpečnostní dveře jsou uzamčeny všemi instalovanými zámky; a současně</w:t>
      </w:r>
    </w:p>
    <w:p w14:paraId="564B8F3D" w14:textId="77777777" w:rsidR="009E3F04" w:rsidRDefault="005A0E66" w:rsidP="00413950">
      <w:pPr>
        <w:pStyle w:val="Text11"/>
        <w:numPr>
          <w:ilvl w:val="0"/>
          <w:numId w:val="22"/>
        </w:numPr>
        <w:spacing w:before="0" w:after="0"/>
        <w:ind w:left="1418" w:right="284" w:hanging="284"/>
        <w:jc w:val="left"/>
        <w:rPr>
          <w:rFonts w:cs="Arial"/>
          <w:sz w:val="20"/>
        </w:rPr>
      </w:pPr>
      <w:r w:rsidRPr="009E3F04">
        <w:rPr>
          <w:rFonts w:cs="Arial"/>
          <w:sz w:val="20"/>
        </w:rPr>
        <w:t>okno, jiná prosklená část nebo zvenku přístupný otvor (světlík apod.), jejichž dolní část je umístěna níže než 2,5 m nad okolním terénem nebo nad přilehlými a snadno přístupnými konstrukcemi (schodiště, ochozy, pavlače, instalované lešenářské konstrukce, přístavky apod.), je opatřena okenicí, roletou, mříží nebo bezpečnostním zasklením; a současně</w:t>
      </w:r>
    </w:p>
    <w:p w14:paraId="2BC2EF81" w14:textId="77777777" w:rsidR="005A0E66" w:rsidRDefault="005A0E66" w:rsidP="00FE038B">
      <w:pPr>
        <w:pStyle w:val="Text11"/>
        <w:numPr>
          <w:ilvl w:val="0"/>
          <w:numId w:val="22"/>
        </w:numPr>
        <w:spacing w:before="0" w:after="0"/>
        <w:ind w:left="1418" w:right="284" w:hanging="284"/>
        <w:jc w:val="left"/>
        <w:rPr>
          <w:rFonts w:cs="Arial"/>
          <w:sz w:val="20"/>
        </w:rPr>
      </w:pPr>
      <w:r w:rsidRPr="009E3F04">
        <w:rPr>
          <w:rFonts w:cs="Arial"/>
          <w:sz w:val="20"/>
        </w:rPr>
        <w:t>zeď (stěna) má tloušťku min. 15 cm a je zhotovena z plných cihel min. pevnosti P-10 nebo z jiného, z hlediska mechanické odolnosti proti krádeži vloupáním ekvivalentního materiálu. Strop, podlaha a zabezpečení otvorů (vyjma oken a dveří) musí vykazovat min. stejnou</w:t>
      </w:r>
      <w:r w:rsidR="009E3F04">
        <w:rPr>
          <w:rFonts w:cs="Arial"/>
          <w:sz w:val="20"/>
        </w:rPr>
        <w:t xml:space="preserve"> </w:t>
      </w:r>
      <w:r w:rsidRPr="009E3F04">
        <w:rPr>
          <w:rFonts w:cs="Arial"/>
          <w:sz w:val="20"/>
        </w:rPr>
        <w:t>mechanickou odolnost proti krádeži vloupáním jako zeď (stěna).</w:t>
      </w:r>
    </w:p>
    <w:p w14:paraId="706AE141" w14:textId="77777777" w:rsidR="00413950" w:rsidRPr="00413950" w:rsidRDefault="00413950" w:rsidP="00FE038B">
      <w:pPr>
        <w:pStyle w:val="Zkladntext"/>
      </w:pPr>
    </w:p>
    <w:p w14:paraId="4F50800F" w14:textId="77777777" w:rsidR="00413950" w:rsidRPr="00413950" w:rsidRDefault="005A0E66" w:rsidP="00FE038B">
      <w:pPr>
        <w:pStyle w:val="Text11"/>
        <w:keepLines/>
        <w:numPr>
          <w:ilvl w:val="0"/>
          <w:numId w:val="41"/>
        </w:numPr>
        <w:spacing w:before="0" w:after="0"/>
        <w:ind w:left="1134" w:hanging="425"/>
        <w:jc w:val="left"/>
        <w:rPr>
          <w:rFonts w:cs="Arial"/>
          <w:b/>
          <w:sz w:val="20"/>
        </w:rPr>
      </w:pPr>
      <w:r w:rsidRPr="00574BA6">
        <w:rPr>
          <w:rFonts w:cs="Arial"/>
          <w:b/>
          <w:sz w:val="20"/>
        </w:rPr>
        <w:t>Limit plnění 5 000 000 Kč</w:t>
      </w:r>
    </w:p>
    <w:p w14:paraId="5E4DAC9E" w14:textId="77777777" w:rsidR="005A0E66" w:rsidRPr="00574BA6" w:rsidRDefault="005A0E66" w:rsidP="00413950">
      <w:pPr>
        <w:pStyle w:val="Text11"/>
        <w:tabs>
          <w:tab w:val="clear" w:pos="907"/>
        </w:tabs>
        <w:spacing w:before="0" w:after="0"/>
        <w:ind w:left="1134" w:firstLine="0"/>
        <w:jc w:val="left"/>
        <w:rPr>
          <w:rStyle w:val="normln-tun"/>
          <w:rFonts w:cs="Arial"/>
          <w:b w:val="0"/>
        </w:rPr>
      </w:pPr>
      <w:r w:rsidRPr="00574BA6">
        <w:rPr>
          <w:rStyle w:val="normln-tun"/>
          <w:rFonts w:cs="Arial"/>
          <w:b w:val="0"/>
        </w:rPr>
        <w:t>Předmět pojištění je zabezpečen způsobem uvedeným pro limit plnění 1 000 000,- Kč a dále:</w:t>
      </w:r>
    </w:p>
    <w:p w14:paraId="64E41C30" w14:textId="77777777" w:rsidR="005A0E66" w:rsidRPr="00C70AF0" w:rsidRDefault="005A0E66" w:rsidP="003E3A9C">
      <w:pPr>
        <w:pStyle w:val="Text11"/>
        <w:numPr>
          <w:ilvl w:val="0"/>
          <w:numId w:val="23"/>
        </w:numPr>
        <w:spacing w:before="0" w:after="0"/>
        <w:ind w:left="1418" w:right="284" w:hanging="284"/>
        <w:jc w:val="left"/>
        <w:rPr>
          <w:rFonts w:cs="Arial"/>
          <w:sz w:val="20"/>
        </w:rPr>
      </w:pPr>
      <w:r w:rsidRPr="00C70AF0">
        <w:rPr>
          <w:rFonts w:cs="Arial"/>
          <w:sz w:val="20"/>
        </w:rPr>
        <w:t>je místo pojištění zabezpečeno funkčním systémem elektrické zabezpečovací signalizace</w:t>
      </w:r>
      <w:r>
        <w:rPr>
          <w:rFonts w:cs="Arial"/>
          <w:sz w:val="20"/>
        </w:rPr>
        <w:t xml:space="preserve"> (</w:t>
      </w:r>
      <w:r w:rsidRPr="00C70AF0">
        <w:rPr>
          <w:rFonts w:cs="Arial"/>
          <w:sz w:val="20"/>
        </w:rPr>
        <w:t>dále jen „EZS</w:t>
      </w:r>
      <w:r w:rsidRPr="00B46C71">
        <w:rPr>
          <w:rFonts w:cs="Arial"/>
          <w:sz w:val="20"/>
        </w:rPr>
        <w:t>“), jehož signál je sveden na pult centralizované ochrany (dále jen PCO) policie nebo bezpečnostní agentury se stálou obsluhou. Ostraha nesmí mít možnost zapnout nebo vypnout EZS;</w:t>
      </w:r>
      <w:r w:rsidRPr="00C70AF0">
        <w:rPr>
          <w:rFonts w:cs="Arial"/>
          <w:sz w:val="20"/>
        </w:rPr>
        <w:t xml:space="preserve"> nebo</w:t>
      </w:r>
    </w:p>
    <w:p w14:paraId="1E1A41C5" w14:textId="77777777" w:rsidR="005A0E66" w:rsidRDefault="005A0E66" w:rsidP="00FE038B">
      <w:pPr>
        <w:pStyle w:val="Text11"/>
        <w:numPr>
          <w:ilvl w:val="0"/>
          <w:numId w:val="23"/>
        </w:numPr>
        <w:spacing w:before="0" w:after="0"/>
        <w:ind w:left="1418" w:right="284" w:hanging="284"/>
        <w:jc w:val="left"/>
        <w:rPr>
          <w:rFonts w:cs="Arial"/>
          <w:sz w:val="20"/>
        </w:rPr>
      </w:pPr>
      <w:r w:rsidRPr="00C70AF0">
        <w:rPr>
          <w:rFonts w:cs="Arial"/>
          <w:sz w:val="20"/>
        </w:rPr>
        <w:t>je předmět pojištění nebo místo pojišt</w:t>
      </w:r>
      <w:r w:rsidRPr="00B46C71">
        <w:rPr>
          <w:rFonts w:cs="Arial"/>
          <w:sz w:val="20"/>
        </w:rPr>
        <w:t>ění trvale střeženo kvalifikovanou ostrahou ozbrojenou nabitou služební krátkou palnou zbraní.</w:t>
      </w:r>
    </w:p>
    <w:p w14:paraId="7059DE5B" w14:textId="77777777" w:rsidR="00FE038B" w:rsidRPr="00FE038B" w:rsidRDefault="00FE038B" w:rsidP="00FE038B">
      <w:pPr>
        <w:pStyle w:val="Zkladntext"/>
      </w:pPr>
    </w:p>
    <w:p w14:paraId="42B44750" w14:textId="77777777" w:rsidR="005A0E66" w:rsidRPr="009B6E54" w:rsidRDefault="005A0E66" w:rsidP="00FE038B">
      <w:pPr>
        <w:pStyle w:val="GPodstavec"/>
        <w:numPr>
          <w:ilvl w:val="3"/>
          <w:numId w:val="3"/>
        </w:numPr>
        <w:spacing w:before="0"/>
        <w:ind w:left="709" w:hanging="709"/>
        <w:rPr>
          <w:b/>
          <w:lang w:val="cs-CZ"/>
        </w:rPr>
      </w:pPr>
      <w:r w:rsidRPr="009B6E54">
        <w:rPr>
          <w:b/>
          <w:lang w:val="cs-CZ"/>
        </w:rPr>
        <w:t>Odcizení z motorového vozidla</w:t>
      </w:r>
      <w:r w:rsidR="00662CED" w:rsidRPr="009B6E54">
        <w:rPr>
          <w:b/>
          <w:lang w:val="cs-CZ"/>
        </w:rPr>
        <w:br/>
      </w:r>
      <w:r w:rsidRPr="009B6E54">
        <w:rPr>
          <w:snapToGrid w:val="0"/>
          <w:lang w:val="cs-CZ"/>
        </w:rPr>
        <w:t xml:space="preserve">Ujednává se, že odcizením předmětu pojištění </w:t>
      </w:r>
      <w:r w:rsidRPr="009B6E54">
        <w:rPr>
          <w:b/>
          <w:snapToGrid w:val="0"/>
          <w:lang w:val="cs-CZ"/>
        </w:rPr>
        <w:t>krádeží vloupáním</w:t>
      </w:r>
      <w:r w:rsidRPr="009B6E54">
        <w:rPr>
          <w:snapToGrid w:val="0"/>
          <w:lang w:val="cs-CZ"/>
        </w:rPr>
        <w:t xml:space="preserve"> z vnitřního prostoru motorového vozidla nebo odcizením motorového vozidla, ve kterém se předmět pojištění nacházel, se pro účely </w:t>
      </w:r>
      <w:r w:rsidRPr="009B6E54">
        <w:rPr>
          <w:snapToGrid w:val="0"/>
          <w:lang w:val="cs-CZ"/>
        </w:rPr>
        <w:lastRenderedPageBreak/>
        <w:t xml:space="preserve">tohoto pojištění rozumí přivlastnění si předmětu pojištění nebo jeho části v důsledku překonání následujících způsobů zabezpečení: </w:t>
      </w:r>
    </w:p>
    <w:p w14:paraId="1920A474" w14:textId="77777777" w:rsidR="00FE038B" w:rsidRPr="009B6E54" w:rsidRDefault="00FE038B" w:rsidP="00FE038B">
      <w:pPr>
        <w:pStyle w:val="GPodstavec"/>
        <w:spacing w:before="0"/>
        <w:ind w:left="709"/>
        <w:rPr>
          <w:b/>
          <w:lang w:val="cs-CZ"/>
        </w:rPr>
      </w:pPr>
    </w:p>
    <w:p w14:paraId="1451A832" w14:textId="77777777" w:rsidR="00FE038B" w:rsidRPr="009B6E54" w:rsidRDefault="00FE038B" w:rsidP="00FE038B">
      <w:pPr>
        <w:pStyle w:val="GPodstavec"/>
        <w:spacing w:before="0"/>
        <w:ind w:left="709"/>
        <w:rPr>
          <w:b/>
          <w:lang w:val="cs-CZ"/>
        </w:rPr>
      </w:pPr>
    </w:p>
    <w:p w14:paraId="1BAE4688" w14:textId="77777777" w:rsidR="00FE038B" w:rsidRPr="009B6E54" w:rsidRDefault="00FE038B" w:rsidP="00FE038B">
      <w:pPr>
        <w:pStyle w:val="GPodstavec"/>
        <w:spacing w:before="0"/>
        <w:rPr>
          <w:b/>
          <w:lang w:val="cs-CZ"/>
        </w:rPr>
      </w:pPr>
    </w:p>
    <w:p w14:paraId="07D48402" w14:textId="77777777" w:rsidR="005A0E66" w:rsidRPr="00BB0F1F" w:rsidRDefault="003A358F" w:rsidP="00FE038B">
      <w:pPr>
        <w:pStyle w:val="Text11"/>
        <w:keepLines/>
        <w:numPr>
          <w:ilvl w:val="0"/>
          <w:numId w:val="42"/>
        </w:numPr>
        <w:spacing w:before="0" w:after="0"/>
        <w:ind w:left="1134" w:hanging="425"/>
        <w:jc w:val="left"/>
        <w:rPr>
          <w:rFonts w:cs="Arial"/>
          <w:b/>
          <w:sz w:val="20"/>
        </w:rPr>
      </w:pPr>
      <w:r>
        <w:rPr>
          <w:rFonts w:cs="Arial"/>
          <w:b/>
          <w:sz w:val="20"/>
        </w:rPr>
        <w:t>Limit plnění 5</w:t>
      </w:r>
      <w:r w:rsidR="005A0E66" w:rsidRPr="00BB0F1F">
        <w:rPr>
          <w:rFonts w:cs="Arial"/>
          <w:b/>
          <w:sz w:val="20"/>
        </w:rPr>
        <w:t>00 000 Kč</w:t>
      </w:r>
    </w:p>
    <w:p w14:paraId="7ED907D4" w14:textId="77777777" w:rsidR="005A0E66" w:rsidRDefault="005A0E66" w:rsidP="00FE038B">
      <w:pPr>
        <w:pStyle w:val="Text11"/>
        <w:tabs>
          <w:tab w:val="clear" w:pos="907"/>
        </w:tabs>
        <w:spacing w:before="0" w:after="0"/>
        <w:ind w:left="1134" w:firstLine="0"/>
        <w:jc w:val="left"/>
        <w:rPr>
          <w:rStyle w:val="normln-tun"/>
          <w:rFonts w:cs="Arial"/>
          <w:b w:val="0"/>
        </w:rPr>
      </w:pPr>
      <w:r w:rsidRPr="00BB0F1F">
        <w:rPr>
          <w:rStyle w:val="normln-tun"/>
          <w:rFonts w:cs="Arial"/>
          <w:b w:val="0"/>
        </w:rPr>
        <w:t xml:space="preserve">Motorové vozidlo bylo řádně uzavřeno a uzamčeno. Předmět pojištění se nacházel v zavazadlovém prostoru nebo v palubní schránce tak, aby nebyl zvenku vidět. Odcizení se přihodilo mezi 6:00 – 22:00 hod. </w:t>
      </w:r>
      <w:r w:rsidRPr="00BB0F1F" w:rsidDel="00283072">
        <w:rPr>
          <w:rStyle w:val="normln-tun"/>
          <w:rFonts w:cs="Arial"/>
          <w:b w:val="0"/>
        </w:rPr>
        <w:t>Časov</w:t>
      </w:r>
      <w:r w:rsidRPr="00BB0F1F">
        <w:rPr>
          <w:rStyle w:val="normln-tun"/>
          <w:rFonts w:cs="Arial"/>
          <w:b w:val="0"/>
        </w:rPr>
        <w:t>é</w:t>
      </w:r>
      <w:r w:rsidRPr="00BB0F1F" w:rsidDel="00283072">
        <w:rPr>
          <w:rStyle w:val="normln-tun"/>
          <w:rFonts w:cs="Arial"/>
          <w:b w:val="0"/>
        </w:rPr>
        <w:t xml:space="preserve"> omezení neplatí, bylo-li vozidlo odstaveno v</w:t>
      </w:r>
      <w:r w:rsidR="00BB0F1F">
        <w:rPr>
          <w:rStyle w:val="normln-tun"/>
          <w:rFonts w:cs="Arial"/>
          <w:b w:val="0"/>
        </w:rPr>
        <w:t xml:space="preserve"> </w:t>
      </w:r>
      <w:r w:rsidRPr="00BB0F1F" w:rsidDel="00283072">
        <w:rPr>
          <w:rStyle w:val="normln-tun"/>
          <w:rFonts w:cs="Arial"/>
          <w:b w:val="0"/>
        </w:rPr>
        <w:t>uzamčeném místě pojištění nebo na celodenně hlídaném parkovišti.</w:t>
      </w:r>
    </w:p>
    <w:p w14:paraId="670E5EAD" w14:textId="77777777" w:rsidR="0012438D" w:rsidRPr="00A52960" w:rsidRDefault="0012438D" w:rsidP="00FE038B">
      <w:pPr>
        <w:pStyle w:val="Zkladntext"/>
      </w:pPr>
    </w:p>
    <w:p w14:paraId="2D530D0F" w14:textId="77777777" w:rsidR="00970F50" w:rsidRPr="009B6E54" w:rsidRDefault="00A63752" w:rsidP="00FE038B">
      <w:pPr>
        <w:pStyle w:val="GPodstavec"/>
        <w:numPr>
          <w:ilvl w:val="2"/>
          <w:numId w:val="3"/>
        </w:numPr>
        <w:spacing w:before="0"/>
        <w:ind w:left="709" w:hanging="709"/>
        <w:rPr>
          <w:b/>
          <w:color w:val="auto"/>
          <w:sz w:val="22"/>
          <w:szCs w:val="22"/>
          <w:lang w:val="cs-CZ"/>
        </w:rPr>
      </w:pPr>
      <w:r w:rsidRPr="009B6E54">
        <w:rPr>
          <w:b/>
          <w:lang w:val="cs-CZ"/>
        </w:rPr>
        <w:t>Připojištění výměnných dílů</w:t>
      </w:r>
      <w:r w:rsidRPr="009B6E54">
        <w:rPr>
          <w:b/>
          <w:lang w:val="cs-CZ"/>
        </w:rPr>
        <w:br/>
      </w:r>
      <w:r w:rsidRPr="009B6E54">
        <w:rPr>
          <w:lang w:val="cs-CZ"/>
        </w:rPr>
        <w:t xml:space="preserve">Odchylně od článku </w:t>
      </w:r>
      <w:r w:rsidRPr="009B6E54">
        <w:rPr>
          <w:b/>
          <w:lang w:val="cs-CZ"/>
        </w:rPr>
        <w:t>4</w:t>
      </w:r>
      <w:r w:rsidRPr="009B6E54">
        <w:rPr>
          <w:lang w:val="cs-CZ"/>
        </w:rPr>
        <w:t xml:space="preserve"> bodu </w:t>
      </w:r>
      <w:r w:rsidRPr="009B6E54">
        <w:rPr>
          <w:b/>
          <w:lang w:val="cs-CZ"/>
        </w:rPr>
        <w:t>1</w:t>
      </w:r>
      <w:r w:rsidRPr="009B6E54">
        <w:rPr>
          <w:lang w:val="cs-CZ"/>
        </w:rPr>
        <w:t xml:space="preserve"> písm. </w:t>
      </w:r>
      <w:r w:rsidR="004E5E87" w:rsidRPr="009B6E54">
        <w:rPr>
          <w:b/>
          <w:lang w:val="cs-CZ"/>
        </w:rPr>
        <w:t>e</w:t>
      </w:r>
      <w:r w:rsidRPr="009B6E54">
        <w:rPr>
          <w:lang w:val="cs-CZ"/>
        </w:rPr>
        <w:t xml:space="preserve"> </w:t>
      </w:r>
      <w:r w:rsidR="004E5E87" w:rsidRPr="009B6E54">
        <w:rPr>
          <w:lang w:val="cs-CZ"/>
        </w:rPr>
        <w:t>DPPEZ</w:t>
      </w:r>
      <w:r w:rsidRPr="009B6E54">
        <w:rPr>
          <w:lang w:val="cs-CZ"/>
        </w:rPr>
        <w:t xml:space="preserve">-P se sjednává připojištění dílů a nástrojů, které se pravidelně, často či opakovaně vyměňují v důsledku své specifické funkce, při změně pracovního úkonu nebo pro opotřebení. Ujednává se, že pokud došlo z téže příčiny a ve stejnou dobu i k jinému poškození předmětu pojištění, za které je pojišťovna povinna plnit, pojišťovna poskytne pojistné plnění i za poškození nebo zničení dílů a nástrojů, které se pravidelně, často či opakovaně vyměňují v důsledku své specifické funkce, při změně pracovního úkonu nebo pro opotřebení, a to ve výši </w:t>
      </w:r>
      <w:r w:rsidR="00DF0778" w:rsidRPr="009B6E54">
        <w:rPr>
          <w:lang w:val="cs-CZ"/>
        </w:rPr>
        <w:t>200 000,- Kč.</w:t>
      </w:r>
    </w:p>
    <w:p w14:paraId="6628B5BD" w14:textId="77777777" w:rsidR="00DF0778" w:rsidRPr="009B6E54" w:rsidRDefault="00DF0778" w:rsidP="00DF0778">
      <w:pPr>
        <w:pStyle w:val="Paragrafoelenco"/>
        <w:widowControl w:val="0"/>
        <w:autoSpaceDE w:val="0"/>
        <w:autoSpaceDN w:val="0"/>
        <w:ind w:left="709"/>
        <w:contextualSpacing/>
        <w:jc w:val="both"/>
        <w:rPr>
          <w:rFonts w:ascii="Arial" w:hAnsi="Arial" w:cs="Arial"/>
          <w:b/>
          <w:snapToGrid w:val="0"/>
          <w:color w:val="000000"/>
          <w:sz w:val="20"/>
          <w:szCs w:val="20"/>
          <w:lang w:val="cs-CZ"/>
        </w:rPr>
      </w:pPr>
    </w:p>
    <w:p w14:paraId="42D103D4" w14:textId="77777777" w:rsidR="00DF0778" w:rsidRPr="00252066" w:rsidRDefault="00DF0778" w:rsidP="00DF0778">
      <w:pPr>
        <w:pStyle w:val="Paragrafoelenco"/>
        <w:widowControl w:val="0"/>
        <w:numPr>
          <w:ilvl w:val="2"/>
          <w:numId w:val="3"/>
        </w:numPr>
        <w:autoSpaceDE w:val="0"/>
        <w:autoSpaceDN w:val="0"/>
        <w:contextualSpacing/>
        <w:jc w:val="both"/>
        <w:rPr>
          <w:rFonts w:ascii="Arial" w:hAnsi="Arial" w:cs="Arial"/>
          <w:b/>
          <w:snapToGrid w:val="0"/>
          <w:color w:val="000000"/>
          <w:sz w:val="20"/>
          <w:szCs w:val="20"/>
        </w:rPr>
      </w:pPr>
      <w:proofErr w:type="spellStart"/>
      <w:r w:rsidRPr="00252066">
        <w:rPr>
          <w:rFonts w:ascii="Arial" w:hAnsi="Arial" w:cs="Arial"/>
          <w:b/>
          <w:snapToGrid w:val="0"/>
          <w:color w:val="000000"/>
          <w:sz w:val="20"/>
          <w:szCs w:val="20"/>
        </w:rPr>
        <w:t>Výluka</w:t>
      </w:r>
      <w:proofErr w:type="spellEnd"/>
      <w:r w:rsidRPr="00252066">
        <w:rPr>
          <w:rFonts w:ascii="Arial" w:hAnsi="Arial" w:cs="Arial"/>
          <w:b/>
          <w:snapToGrid w:val="0"/>
          <w:color w:val="000000"/>
          <w:sz w:val="20"/>
          <w:szCs w:val="20"/>
        </w:rPr>
        <w:t xml:space="preserve"> </w:t>
      </w:r>
      <w:proofErr w:type="spellStart"/>
      <w:r w:rsidRPr="00252066">
        <w:rPr>
          <w:rFonts w:ascii="Arial" w:hAnsi="Arial" w:cs="Arial"/>
          <w:b/>
          <w:snapToGrid w:val="0"/>
          <w:color w:val="000000"/>
          <w:sz w:val="20"/>
          <w:szCs w:val="20"/>
        </w:rPr>
        <w:t>škod</w:t>
      </w:r>
      <w:proofErr w:type="spellEnd"/>
      <w:r w:rsidRPr="00252066">
        <w:rPr>
          <w:rFonts w:ascii="Arial" w:hAnsi="Arial" w:cs="Arial"/>
          <w:b/>
          <w:snapToGrid w:val="0"/>
          <w:color w:val="000000"/>
          <w:sz w:val="20"/>
          <w:szCs w:val="20"/>
        </w:rPr>
        <w:t xml:space="preserve"> </w:t>
      </w:r>
      <w:proofErr w:type="spellStart"/>
      <w:r w:rsidRPr="00252066">
        <w:rPr>
          <w:rFonts w:ascii="Arial" w:hAnsi="Arial" w:cs="Arial"/>
          <w:b/>
          <w:snapToGrid w:val="0"/>
          <w:color w:val="000000"/>
          <w:sz w:val="20"/>
          <w:szCs w:val="20"/>
        </w:rPr>
        <w:t>způsobených</w:t>
      </w:r>
      <w:proofErr w:type="spellEnd"/>
      <w:r w:rsidRPr="00252066">
        <w:rPr>
          <w:rFonts w:ascii="Arial" w:hAnsi="Arial" w:cs="Arial"/>
          <w:b/>
          <w:snapToGrid w:val="0"/>
          <w:color w:val="000000"/>
          <w:sz w:val="20"/>
          <w:szCs w:val="20"/>
        </w:rPr>
        <w:t xml:space="preserve"> </w:t>
      </w:r>
      <w:proofErr w:type="spellStart"/>
      <w:r w:rsidRPr="00252066">
        <w:rPr>
          <w:rFonts w:ascii="Arial" w:hAnsi="Arial" w:cs="Arial"/>
          <w:b/>
          <w:snapToGrid w:val="0"/>
          <w:color w:val="000000"/>
          <w:sz w:val="20"/>
          <w:szCs w:val="20"/>
        </w:rPr>
        <w:t>přenosnou</w:t>
      </w:r>
      <w:proofErr w:type="spellEnd"/>
      <w:r w:rsidRPr="00252066">
        <w:rPr>
          <w:rFonts w:ascii="Arial" w:hAnsi="Arial" w:cs="Arial"/>
          <w:b/>
          <w:snapToGrid w:val="0"/>
          <w:color w:val="000000"/>
          <w:sz w:val="20"/>
          <w:szCs w:val="20"/>
        </w:rPr>
        <w:t xml:space="preserve"> </w:t>
      </w:r>
      <w:proofErr w:type="spellStart"/>
      <w:r w:rsidRPr="00252066">
        <w:rPr>
          <w:rFonts w:ascii="Arial" w:hAnsi="Arial" w:cs="Arial"/>
          <w:b/>
          <w:snapToGrid w:val="0"/>
          <w:color w:val="000000"/>
          <w:sz w:val="20"/>
          <w:szCs w:val="20"/>
        </w:rPr>
        <w:t>nemocí</w:t>
      </w:r>
      <w:proofErr w:type="spellEnd"/>
    </w:p>
    <w:p w14:paraId="678CB2A1" w14:textId="77777777" w:rsidR="00DF0778" w:rsidRPr="00252066" w:rsidRDefault="00DF0778" w:rsidP="00DF0778">
      <w:pPr>
        <w:pStyle w:val="Paragrafoelenco"/>
        <w:widowControl w:val="0"/>
        <w:autoSpaceDE w:val="0"/>
        <w:autoSpaceDN w:val="0"/>
        <w:ind w:left="709"/>
        <w:contextualSpacing/>
        <w:jc w:val="both"/>
        <w:rPr>
          <w:rFonts w:ascii="Arial" w:eastAsia="Times New Roman" w:hAnsi="Arial" w:cs="Arial"/>
          <w:bCs/>
          <w:color w:val="000000" w:themeColor="text1"/>
          <w:sz w:val="20"/>
          <w:szCs w:val="20"/>
          <w:lang w:val="cs-CZ" w:eastAsia="it-IT"/>
        </w:rPr>
      </w:pPr>
      <w:r w:rsidRPr="00252066">
        <w:rPr>
          <w:rFonts w:ascii="Arial" w:eastAsia="Times New Roman" w:hAnsi="Arial" w:cs="Arial"/>
          <w:bCs/>
          <w:color w:val="000000" w:themeColor="text1"/>
          <w:sz w:val="20"/>
          <w:szCs w:val="20"/>
          <w:lang w:val="cs-CZ" w:eastAsia="it-IT"/>
        </w:rPr>
        <w:t>Z pojištění sjednaného touto pojistnou smlouvou je vyloučena jakákoli přímá i nepřímá škoda, poškození, odpovědnost, nárok, náklad nebo výdaj jakéhokoli druhu nebo škoda s časovým prvkem způsobená:</w:t>
      </w:r>
    </w:p>
    <w:p w14:paraId="1BADC9CB" w14:textId="77777777" w:rsidR="00DF0778" w:rsidRPr="00252066" w:rsidRDefault="00DF0778" w:rsidP="00DF0778">
      <w:pPr>
        <w:pStyle w:val="Paragrafoelenco"/>
        <w:widowControl w:val="0"/>
        <w:numPr>
          <w:ilvl w:val="0"/>
          <w:numId w:val="48"/>
        </w:numPr>
        <w:autoSpaceDE w:val="0"/>
        <w:autoSpaceDN w:val="0"/>
        <w:ind w:left="709" w:firstLine="0"/>
        <w:jc w:val="both"/>
        <w:rPr>
          <w:rFonts w:ascii="Arial" w:eastAsia="Times New Roman" w:hAnsi="Arial" w:cs="Arial"/>
          <w:bCs/>
          <w:color w:val="000000" w:themeColor="text1"/>
          <w:sz w:val="20"/>
          <w:szCs w:val="20"/>
          <w:lang w:val="cs-CZ" w:eastAsia="it-IT"/>
        </w:rPr>
      </w:pPr>
      <w:r w:rsidRPr="00252066">
        <w:rPr>
          <w:rFonts w:ascii="Arial" w:eastAsia="Times New Roman" w:hAnsi="Arial" w:cs="Arial"/>
          <w:bCs/>
          <w:color w:val="000000" w:themeColor="text1"/>
          <w:sz w:val="20"/>
          <w:szCs w:val="20"/>
          <w:lang w:val="cs-CZ" w:eastAsia="it-IT"/>
        </w:rPr>
        <w:t>nakažlivou nemocí nebo skutečnou či domnělou hrozbou či strachem z ní, nebo</w:t>
      </w:r>
    </w:p>
    <w:p w14:paraId="75233B86" w14:textId="77777777" w:rsidR="00DF0778" w:rsidRPr="00252066" w:rsidRDefault="00DF0778" w:rsidP="00DF0778">
      <w:pPr>
        <w:pStyle w:val="Paragrafoelenco"/>
        <w:widowControl w:val="0"/>
        <w:numPr>
          <w:ilvl w:val="0"/>
          <w:numId w:val="48"/>
        </w:numPr>
        <w:autoSpaceDE w:val="0"/>
        <w:autoSpaceDN w:val="0"/>
        <w:ind w:left="1418" w:hanging="709"/>
        <w:jc w:val="both"/>
        <w:rPr>
          <w:rFonts w:ascii="Arial" w:eastAsia="Times New Roman" w:hAnsi="Arial" w:cs="Arial"/>
          <w:bCs/>
          <w:color w:val="000000" w:themeColor="text1"/>
          <w:sz w:val="20"/>
          <w:szCs w:val="20"/>
          <w:lang w:val="cs-CZ" w:eastAsia="it-IT"/>
        </w:rPr>
      </w:pPr>
      <w:r w:rsidRPr="00252066">
        <w:rPr>
          <w:rFonts w:ascii="Arial" w:eastAsia="Times New Roman" w:hAnsi="Arial" w:cs="Arial"/>
          <w:bCs/>
          <w:color w:val="000000" w:themeColor="text1"/>
          <w:sz w:val="20"/>
          <w:szCs w:val="20"/>
          <w:lang w:val="cs-CZ" w:eastAsia="it-IT"/>
        </w:rPr>
        <w:t>nařízením zavřít provozy a provozovny z důvodu omezení nebo zastavení šíření takové    nakažlivé nemoci, nebo</w:t>
      </w:r>
    </w:p>
    <w:p w14:paraId="63AF6828" w14:textId="77777777" w:rsidR="00DF0778" w:rsidRPr="00252066" w:rsidRDefault="00DF0778" w:rsidP="00DF0778">
      <w:pPr>
        <w:pStyle w:val="Paragrafoelenco"/>
        <w:widowControl w:val="0"/>
        <w:numPr>
          <w:ilvl w:val="0"/>
          <w:numId w:val="48"/>
        </w:numPr>
        <w:autoSpaceDE w:val="0"/>
        <w:autoSpaceDN w:val="0"/>
        <w:spacing w:after="120"/>
        <w:ind w:left="709" w:firstLine="0"/>
        <w:jc w:val="both"/>
        <w:rPr>
          <w:rFonts w:ascii="Arial" w:eastAsia="Times New Roman" w:hAnsi="Arial" w:cs="Arial"/>
          <w:bCs/>
          <w:color w:val="000000" w:themeColor="text1"/>
          <w:sz w:val="20"/>
          <w:szCs w:val="20"/>
          <w:lang w:val="cs-CZ" w:eastAsia="it-IT"/>
        </w:rPr>
      </w:pPr>
      <w:r w:rsidRPr="00252066">
        <w:rPr>
          <w:rFonts w:ascii="Arial" w:eastAsia="Times New Roman" w:hAnsi="Arial" w:cs="Arial"/>
          <w:bCs/>
          <w:color w:val="000000" w:themeColor="text1"/>
          <w:sz w:val="20"/>
          <w:szCs w:val="20"/>
          <w:lang w:val="cs-CZ" w:eastAsia="it-IT"/>
        </w:rPr>
        <w:t>kombinací výše uvedených příčin.</w:t>
      </w:r>
    </w:p>
    <w:p w14:paraId="5B3BB6B3" w14:textId="77777777" w:rsidR="00DF0778" w:rsidRPr="00252066" w:rsidRDefault="00DF0778" w:rsidP="00DF0778">
      <w:pPr>
        <w:pStyle w:val="Paragrafoelenco"/>
        <w:widowControl w:val="0"/>
        <w:autoSpaceDE w:val="0"/>
        <w:autoSpaceDN w:val="0"/>
        <w:spacing w:after="120"/>
        <w:ind w:left="709"/>
        <w:jc w:val="both"/>
        <w:rPr>
          <w:rFonts w:ascii="Arial" w:eastAsia="Times New Roman" w:hAnsi="Arial" w:cs="Arial"/>
          <w:bCs/>
          <w:color w:val="000000" w:themeColor="text1"/>
          <w:sz w:val="20"/>
          <w:szCs w:val="20"/>
          <w:lang w:val="cs-CZ" w:eastAsia="it-IT"/>
        </w:rPr>
      </w:pPr>
      <w:r w:rsidRPr="00252066">
        <w:rPr>
          <w:rFonts w:ascii="Arial" w:eastAsia="Times New Roman" w:hAnsi="Arial" w:cs="Arial"/>
          <w:bCs/>
          <w:color w:val="000000" w:themeColor="text1"/>
          <w:sz w:val="20"/>
          <w:szCs w:val="20"/>
          <w:lang w:val="cs-CZ" w:eastAsia="it-IT"/>
        </w:rPr>
        <w:t xml:space="preserve">V souladu s ostatními podmínkami, ujednáními a výlukami tato pojistná smlouva kryje materiální škody na majetku nebo ztrátu majetku nebo přímo související škodu s časovým prvkem, které jsou přímo způsobeny jakoukoli jinou pojištěnou příčinou, která není z této pojistné smlouvy jinak vyloučena. </w:t>
      </w:r>
    </w:p>
    <w:p w14:paraId="1CDCC7A6" w14:textId="77777777" w:rsidR="00DF0778" w:rsidRPr="00252066" w:rsidRDefault="00DF0778" w:rsidP="00DF0778">
      <w:pPr>
        <w:autoSpaceDE w:val="0"/>
        <w:autoSpaceDN w:val="0"/>
        <w:spacing w:before="0" w:after="120"/>
        <w:ind w:left="709"/>
        <w:jc w:val="both"/>
        <w:rPr>
          <w:rFonts w:cs="Arial"/>
          <w:bCs/>
          <w:sz w:val="20"/>
          <w:szCs w:val="20"/>
          <w:lang w:val="cs-CZ"/>
        </w:rPr>
      </w:pPr>
      <w:r w:rsidRPr="00252066">
        <w:rPr>
          <w:rFonts w:cs="Arial"/>
          <w:bCs/>
          <w:sz w:val="20"/>
          <w:szCs w:val="20"/>
          <w:lang w:val="cs-CZ"/>
        </w:rPr>
        <w:t>Pro vyloučení veškerých pochybností se ujednává, že: (i) nakažlivá nemoc a mezi jiným také úřední zásah proti této nemoci není příčinou pojištěnou z této pojistné smlouvy, a (</w:t>
      </w:r>
      <w:proofErr w:type="spellStart"/>
      <w:r w:rsidRPr="00252066">
        <w:rPr>
          <w:rFonts w:cs="Arial"/>
          <w:bCs/>
          <w:sz w:val="20"/>
          <w:szCs w:val="20"/>
          <w:lang w:val="cs-CZ"/>
        </w:rPr>
        <w:t>ii</w:t>
      </w:r>
      <w:proofErr w:type="spellEnd"/>
      <w:r w:rsidRPr="00252066">
        <w:rPr>
          <w:rFonts w:cs="Arial"/>
          <w:bCs/>
          <w:sz w:val="20"/>
          <w:szCs w:val="20"/>
          <w:lang w:val="cs-CZ"/>
        </w:rPr>
        <w:t>) skutečná nebo domnělá přítomnost nebo hrozba či obava z přítomnosti nakažlivé nemoci, látky nebo činidla schopného či domněle schopného způsobit nakažlivou nemoc není pro účely této doložky považována za příčinu způsobující škodu na majetku, nebo ztrátu majetku.</w:t>
      </w:r>
    </w:p>
    <w:p w14:paraId="5CE3DDE1" w14:textId="77777777" w:rsidR="00DF0778" w:rsidRPr="002D079F" w:rsidRDefault="00DF0778" w:rsidP="00DF0778">
      <w:pPr>
        <w:autoSpaceDE w:val="0"/>
        <w:autoSpaceDN w:val="0"/>
        <w:spacing w:before="0" w:after="120"/>
        <w:ind w:left="709"/>
        <w:jc w:val="both"/>
        <w:rPr>
          <w:rFonts w:cs="Arial"/>
          <w:bCs/>
          <w:sz w:val="20"/>
          <w:szCs w:val="20"/>
          <w:lang w:val="cs-CZ"/>
        </w:rPr>
      </w:pPr>
    </w:p>
    <w:p w14:paraId="2CC3F1E2" w14:textId="77777777" w:rsidR="00DF0778" w:rsidRDefault="00DF0778" w:rsidP="00DF0778">
      <w:pPr>
        <w:autoSpaceDE w:val="0"/>
        <w:autoSpaceDN w:val="0"/>
        <w:spacing w:before="0" w:after="120"/>
        <w:ind w:left="709"/>
        <w:jc w:val="both"/>
        <w:rPr>
          <w:rFonts w:cs="Arial"/>
          <w:bCs/>
          <w:sz w:val="20"/>
          <w:szCs w:val="20"/>
          <w:lang w:val="cs-CZ"/>
        </w:rPr>
      </w:pPr>
      <w:r w:rsidRPr="002D079F">
        <w:rPr>
          <w:rFonts w:cs="Arial"/>
          <w:bCs/>
          <w:sz w:val="20"/>
          <w:szCs w:val="20"/>
          <w:lang w:val="cs-CZ"/>
        </w:rPr>
        <w:t>V případě rozporu s jinými ustanoveními v této pojistné smlouvě má vždy přednost ujednání v této doložce.</w:t>
      </w:r>
    </w:p>
    <w:p w14:paraId="74232937" w14:textId="77777777" w:rsidR="00DF0778" w:rsidRPr="002D079F" w:rsidRDefault="00DF0778" w:rsidP="00DF0778">
      <w:pPr>
        <w:autoSpaceDE w:val="0"/>
        <w:autoSpaceDN w:val="0"/>
        <w:spacing w:before="0" w:after="120"/>
        <w:ind w:left="1418"/>
        <w:rPr>
          <w:rFonts w:cs="Arial"/>
          <w:bCs/>
          <w:sz w:val="20"/>
          <w:szCs w:val="20"/>
          <w:lang w:val="cs-CZ"/>
        </w:rPr>
      </w:pPr>
    </w:p>
    <w:p w14:paraId="03F11314" w14:textId="77777777" w:rsidR="00DF0778" w:rsidRPr="002D079F" w:rsidRDefault="00DF0778" w:rsidP="00DF0778">
      <w:pPr>
        <w:autoSpaceDE w:val="0"/>
        <w:autoSpaceDN w:val="0"/>
        <w:spacing w:before="0" w:after="0"/>
        <w:ind w:left="709"/>
        <w:rPr>
          <w:rFonts w:cs="Arial"/>
          <w:b/>
          <w:bCs/>
          <w:sz w:val="20"/>
          <w:szCs w:val="20"/>
          <w:lang w:val="cs-CZ"/>
        </w:rPr>
      </w:pPr>
      <w:r w:rsidRPr="002D079F">
        <w:rPr>
          <w:rFonts w:cs="Arial"/>
          <w:b/>
          <w:bCs/>
          <w:sz w:val="20"/>
          <w:szCs w:val="20"/>
          <w:lang w:val="cs-CZ"/>
        </w:rPr>
        <w:t>Vysvětlení pojmů</w:t>
      </w:r>
    </w:p>
    <w:p w14:paraId="52758F8D" w14:textId="77777777" w:rsidR="00DF0778" w:rsidRPr="002D079F" w:rsidRDefault="00DF0778" w:rsidP="00DF0778">
      <w:pPr>
        <w:pStyle w:val="Paragrafoelenco"/>
        <w:widowControl w:val="0"/>
        <w:autoSpaceDE w:val="0"/>
        <w:autoSpaceDN w:val="0"/>
        <w:spacing w:before="120"/>
        <w:ind w:left="709"/>
        <w:contextualSpacing/>
        <w:jc w:val="both"/>
        <w:rPr>
          <w:rFonts w:ascii="Arial" w:eastAsia="Times New Roman" w:hAnsi="Arial" w:cs="Arial"/>
          <w:bCs/>
          <w:color w:val="000000" w:themeColor="text1"/>
          <w:sz w:val="20"/>
          <w:szCs w:val="20"/>
          <w:lang w:val="cs-CZ" w:eastAsia="it-IT"/>
        </w:rPr>
      </w:pPr>
      <w:r w:rsidRPr="002D079F">
        <w:rPr>
          <w:rFonts w:ascii="Arial" w:eastAsia="Times New Roman" w:hAnsi="Arial" w:cs="Arial"/>
          <w:bCs/>
          <w:color w:val="000000" w:themeColor="text1"/>
          <w:sz w:val="20"/>
          <w:szCs w:val="20"/>
          <w:lang w:val="cs-CZ" w:eastAsia="it-IT"/>
        </w:rPr>
        <w:t>Nakažlivá nemoc je jakákoli nemoc, která se může přenášet jakoukoli látkou nebo činidlem z organismu na organismus, kde:</w:t>
      </w:r>
    </w:p>
    <w:p w14:paraId="0310F14A" w14:textId="77777777" w:rsidR="00DF0778" w:rsidRPr="002D079F" w:rsidRDefault="00DF0778" w:rsidP="00DF0778">
      <w:pPr>
        <w:pStyle w:val="Paragrafoelenco"/>
        <w:widowControl w:val="0"/>
        <w:numPr>
          <w:ilvl w:val="1"/>
          <w:numId w:val="47"/>
        </w:numPr>
        <w:autoSpaceDE w:val="0"/>
        <w:autoSpaceDN w:val="0"/>
        <w:ind w:left="1418" w:hanging="709"/>
        <w:contextualSpacing/>
        <w:jc w:val="both"/>
        <w:rPr>
          <w:rFonts w:ascii="Arial" w:eastAsia="Times New Roman" w:hAnsi="Arial" w:cs="Arial"/>
          <w:bCs/>
          <w:color w:val="000000" w:themeColor="text1"/>
          <w:sz w:val="20"/>
          <w:szCs w:val="20"/>
          <w:lang w:val="cs-CZ" w:eastAsia="it-IT"/>
        </w:rPr>
      </w:pPr>
      <w:r w:rsidRPr="002D079F">
        <w:rPr>
          <w:rFonts w:ascii="Arial" w:eastAsia="Times New Roman" w:hAnsi="Arial" w:cs="Arial"/>
          <w:bCs/>
          <w:color w:val="000000" w:themeColor="text1"/>
          <w:sz w:val="20"/>
          <w:szCs w:val="20"/>
          <w:lang w:val="cs-CZ" w:eastAsia="it-IT"/>
        </w:rPr>
        <w:t>látka nebo činidlo zahrnují mimo jiné viry, bakterie, parazity, nebo jiný organismus nebo jeho variaci, živou i neživou,</w:t>
      </w:r>
    </w:p>
    <w:p w14:paraId="3C0547ED" w14:textId="77777777" w:rsidR="00DF0778" w:rsidRPr="002D079F" w:rsidRDefault="00DF0778" w:rsidP="00DF0778">
      <w:pPr>
        <w:pStyle w:val="Paragrafoelenco"/>
        <w:widowControl w:val="0"/>
        <w:numPr>
          <w:ilvl w:val="1"/>
          <w:numId w:val="47"/>
        </w:numPr>
        <w:autoSpaceDE w:val="0"/>
        <w:autoSpaceDN w:val="0"/>
        <w:ind w:left="1418" w:hanging="709"/>
        <w:contextualSpacing/>
        <w:jc w:val="both"/>
        <w:rPr>
          <w:rFonts w:ascii="Arial" w:eastAsia="Times New Roman" w:hAnsi="Arial" w:cs="Arial"/>
          <w:bCs/>
          <w:color w:val="000000" w:themeColor="text1"/>
          <w:sz w:val="20"/>
          <w:szCs w:val="20"/>
          <w:lang w:val="cs-CZ" w:eastAsia="it-IT"/>
        </w:rPr>
      </w:pPr>
      <w:r w:rsidRPr="002D079F">
        <w:rPr>
          <w:rFonts w:ascii="Arial" w:eastAsia="Times New Roman" w:hAnsi="Arial" w:cs="Arial"/>
          <w:bCs/>
          <w:color w:val="000000" w:themeColor="text1"/>
          <w:sz w:val="20"/>
          <w:szCs w:val="20"/>
          <w:lang w:val="cs-CZ" w:eastAsia="it-IT"/>
        </w:rPr>
        <w:t>přímý i nepřímý způsob přenosu zahrnuje mimo jiné přenos vzduchem, tělními tekutinami, přenos přes různé povrchy nebo předměty, přenos pevným, kapalným nebo plynným skupenstvím nebo přenos mezi organismy,</w:t>
      </w:r>
    </w:p>
    <w:p w14:paraId="31A510BD" w14:textId="77777777" w:rsidR="00DF0778" w:rsidRPr="002D079F" w:rsidRDefault="00DF0778" w:rsidP="00DF0778">
      <w:pPr>
        <w:pStyle w:val="Paragrafoelenco"/>
        <w:widowControl w:val="0"/>
        <w:numPr>
          <w:ilvl w:val="1"/>
          <w:numId w:val="47"/>
        </w:numPr>
        <w:autoSpaceDE w:val="0"/>
        <w:autoSpaceDN w:val="0"/>
        <w:ind w:left="1418" w:hanging="709"/>
        <w:contextualSpacing/>
        <w:jc w:val="both"/>
        <w:rPr>
          <w:rFonts w:ascii="Arial" w:eastAsia="Times New Roman" w:hAnsi="Arial" w:cs="Arial"/>
          <w:bCs/>
          <w:color w:val="000000" w:themeColor="text1"/>
          <w:sz w:val="20"/>
          <w:szCs w:val="20"/>
          <w:lang w:val="cs-CZ" w:eastAsia="it-IT"/>
        </w:rPr>
      </w:pPr>
      <w:r w:rsidRPr="002D079F">
        <w:rPr>
          <w:rFonts w:ascii="Arial" w:eastAsia="Times New Roman" w:hAnsi="Arial" w:cs="Arial"/>
          <w:bCs/>
          <w:color w:val="000000" w:themeColor="text1"/>
          <w:sz w:val="20"/>
          <w:szCs w:val="20"/>
          <w:lang w:val="cs-CZ" w:eastAsia="it-IT"/>
        </w:rPr>
        <w:t>nemoc, látka nebo činidlo mohou způsobit škodu na zdraví nebo ohrožení lidského zdraví a lidského blaha, nebo mohou způsobit či vyvolat škodu, poškození nebo znehodnocení majetku, nebo ztrátu jeho obchodovatelnosti, prodejnosti, či ztrátu jeho užití.</w:t>
      </w:r>
    </w:p>
    <w:p w14:paraId="247FF1A3" w14:textId="77777777" w:rsidR="00DF0778" w:rsidRPr="00763B80" w:rsidRDefault="00DF0778" w:rsidP="00DF0778">
      <w:pPr>
        <w:pStyle w:val="Odstavecseseznamem"/>
        <w:tabs>
          <w:tab w:val="left" w:pos="709"/>
        </w:tabs>
        <w:autoSpaceDE w:val="0"/>
        <w:autoSpaceDN w:val="0"/>
        <w:spacing w:before="120" w:after="0"/>
        <w:ind w:left="709"/>
        <w:rPr>
          <w:rFonts w:cs="Arial"/>
          <w:bCs/>
          <w:sz w:val="20"/>
          <w:szCs w:val="20"/>
          <w:lang w:val="cs-CZ"/>
        </w:rPr>
      </w:pPr>
      <w:r w:rsidRPr="002D079F">
        <w:rPr>
          <w:rFonts w:cs="Arial"/>
          <w:bCs/>
          <w:sz w:val="20"/>
          <w:szCs w:val="20"/>
          <w:lang w:val="cs-CZ"/>
        </w:rPr>
        <w:t>Škoda s časovým prvkem je škoda z přerušení provozu, následného přerušení provozu nebo jakákoli následná škoda.</w:t>
      </w:r>
    </w:p>
    <w:p w14:paraId="5B65BEEC" w14:textId="77777777" w:rsidR="00DF0778" w:rsidRDefault="00DF0778" w:rsidP="00DF0778">
      <w:pPr>
        <w:pStyle w:val="Odstavecseseznamem"/>
        <w:tabs>
          <w:tab w:val="left" w:pos="709"/>
        </w:tabs>
        <w:autoSpaceDE w:val="0"/>
        <w:autoSpaceDN w:val="0"/>
        <w:spacing w:before="120" w:after="0"/>
        <w:ind w:left="1276" w:hanging="426"/>
        <w:rPr>
          <w:rFonts w:cs="Arial"/>
          <w:bCs/>
          <w:sz w:val="20"/>
          <w:szCs w:val="20"/>
          <w:lang w:val="cs-CZ"/>
        </w:rPr>
      </w:pPr>
    </w:p>
    <w:p w14:paraId="695A533A" w14:textId="77777777" w:rsidR="00DF0778" w:rsidRDefault="00DF0778" w:rsidP="00DF0778">
      <w:pPr>
        <w:pStyle w:val="Odstavecseseznamem"/>
        <w:numPr>
          <w:ilvl w:val="2"/>
          <w:numId w:val="3"/>
        </w:numPr>
        <w:tabs>
          <w:tab w:val="left" w:pos="567"/>
          <w:tab w:val="left" w:pos="709"/>
          <w:tab w:val="left" w:pos="1418"/>
        </w:tabs>
        <w:autoSpaceDE w:val="0"/>
        <w:autoSpaceDN w:val="0"/>
        <w:spacing w:before="120" w:after="0"/>
        <w:ind w:left="851"/>
        <w:rPr>
          <w:rFonts w:cs="Arial"/>
          <w:b/>
          <w:bCs/>
          <w:sz w:val="20"/>
          <w:szCs w:val="20"/>
          <w:lang w:val="cs-CZ"/>
        </w:rPr>
      </w:pPr>
      <w:r w:rsidRPr="006F4016">
        <w:rPr>
          <w:rFonts w:cs="Arial"/>
          <w:b/>
          <w:bCs/>
          <w:sz w:val="20"/>
          <w:szCs w:val="20"/>
          <w:lang w:val="cs-CZ"/>
        </w:rPr>
        <w:t>Elektronická data (ekvivalent NMA 2915)</w:t>
      </w:r>
    </w:p>
    <w:p w14:paraId="4937BCB3" w14:textId="77777777" w:rsidR="00DF0778" w:rsidRPr="00E97839" w:rsidRDefault="00DF0778" w:rsidP="00DF0778">
      <w:pPr>
        <w:autoSpaceDE w:val="0"/>
        <w:autoSpaceDN w:val="0"/>
        <w:spacing w:before="0" w:after="0"/>
        <w:ind w:left="1418" w:hanging="709"/>
        <w:rPr>
          <w:rFonts w:cs="Arial"/>
          <w:b/>
          <w:bCs/>
          <w:sz w:val="20"/>
          <w:szCs w:val="20"/>
          <w:lang w:val="cs-CZ"/>
        </w:rPr>
      </w:pPr>
      <w:r w:rsidRPr="00E97839">
        <w:rPr>
          <w:rFonts w:cs="Arial"/>
          <w:b/>
          <w:bCs/>
          <w:sz w:val="20"/>
          <w:szCs w:val="20"/>
          <w:lang w:val="cs-CZ"/>
        </w:rPr>
        <w:lastRenderedPageBreak/>
        <w:t>Výluka elektronických dat</w:t>
      </w:r>
    </w:p>
    <w:p w14:paraId="7A4EF6B1" w14:textId="77777777" w:rsidR="00DF0778" w:rsidRPr="00E97839" w:rsidRDefault="00DF0778" w:rsidP="00DF0778">
      <w:pPr>
        <w:pStyle w:val="Paragrafoelenco"/>
        <w:widowControl w:val="0"/>
        <w:autoSpaceDE w:val="0"/>
        <w:autoSpaceDN w:val="0"/>
        <w:ind w:left="1418" w:hanging="709"/>
        <w:contextualSpacing/>
        <w:jc w:val="both"/>
        <w:rPr>
          <w:rFonts w:ascii="Arial" w:eastAsia="Times New Roman" w:hAnsi="Arial" w:cs="Arial"/>
          <w:bCs/>
          <w:color w:val="000000" w:themeColor="text1"/>
          <w:sz w:val="20"/>
          <w:szCs w:val="20"/>
          <w:lang w:val="cs-CZ" w:eastAsia="it-IT"/>
        </w:rPr>
      </w:pPr>
      <w:r w:rsidRPr="00E97839">
        <w:rPr>
          <w:rFonts w:ascii="Arial" w:eastAsia="Times New Roman" w:hAnsi="Arial" w:cs="Arial"/>
          <w:bCs/>
          <w:color w:val="000000" w:themeColor="text1"/>
          <w:sz w:val="20"/>
          <w:szCs w:val="20"/>
          <w:lang w:val="cs-CZ" w:eastAsia="it-IT"/>
        </w:rPr>
        <w:t>Nehledě na jiná ustanovení v pojistné smlouvě nebo jejích dodatcích se ujednává toto:</w:t>
      </w:r>
    </w:p>
    <w:p w14:paraId="425AD212" w14:textId="77777777" w:rsidR="00DF0778" w:rsidRPr="00E97839" w:rsidRDefault="00DF0778" w:rsidP="00DF0778">
      <w:pPr>
        <w:pStyle w:val="Paragrafoelenco"/>
        <w:widowControl w:val="0"/>
        <w:autoSpaceDE w:val="0"/>
        <w:autoSpaceDN w:val="0"/>
        <w:ind w:left="709"/>
        <w:contextualSpacing/>
        <w:jc w:val="both"/>
        <w:rPr>
          <w:rFonts w:ascii="Arial" w:eastAsia="Times New Roman" w:hAnsi="Arial" w:cs="Arial"/>
          <w:bCs/>
          <w:color w:val="000000" w:themeColor="text1"/>
          <w:sz w:val="20"/>
          <w:szCs w:val="20"/>
          <w:lang w:val="cs-CZ" w:eastAsia="it-IT"/>
        </w:rPr>
      </w:pPr>
      <w:r w:rsidRPr="00E97839">
        <w:rPr>
          <w:rFonts w:ascii="Arial" w:eastAsia="Times New Roman" w:hAnsi="Arial" w:cs="Arial"/>
          <w:bCs/>
          <w:color w:val="000000" w:themeColor="text1"/>
          <w:sz w:val="20"/>
          <w:szCs w:val="20"/>
          <w:lang w:val="cs-CZ" w:eastAsia="it-IT"/>
        </w:rPr>
        <w:t xml:space="preserve">a) </w:t>
      </w:r>
      <w:r>
        <w:rPr>
          <w:rFonts w:ascii="Arial" w:eastAsia="Times New Roman" w:hAnsi="Arial" w:cs="Arial"/>
          <w:bCs/>
          <w:color w:val="000000" w:themeColor="text1"/>
          <w:sz w:val="20"/>
          <w:szCs w:val="20"/>
          <w:lang w:val="cs-CZ" w:eastAsia="it-IT"/>
        </w:rPr>
        <w:tab/>
      </w:r>
      <w:r w:rsidRPr="00E97839">
        <w:rPr>
          <w:rFonts w:ascii="Arial" w:eastAsia="Times New Roman" w:hAnsi="Arial" w:cs="Arial"/>
          <w:bCs/>
          <w:color w:val="000000" w:themeColor="text1"/>
          <w:sz w:val="20"/>
          <w:szCs w:val="20"/>
          <w:lang w:val="cs-CZ" w:eastAsia="it-IT"/>
        </w:rPr>
        <w:t>Pojišťovna neposkytne pojistné plnění za ztrátu, poškození, zničení, zkreslení, vymazání, porušení nebo změnu elektronických dat, která nastala z jakékoliv příčiny (včetně např. způsobení počítačovým virem) nebo za jakoukoliv ztrátu v důsledku nemožnosti užívat elektronická data nebo omezení funkčnosti elektronických dat. Pojištění se rovněž nevztahuje na jakékoliv náklady či výdaje vyplývající ze shora uvedených skutečností. Pojištění se nevztahuje na výše uvedené případy bez ohledu na jinou současně nebo v jiném časovém sledu působící skutečnost či příčinu.</w:t>
      </w:r>
    </w:p>
    <w:p w14:paraId="3139DA6D" w14:textId="77777777" w:rsidR="00DF0778" w:rsidRDefault="00DF0778" w:rsidP="00DF0778">
      <w:pPr>
        <w:pStyle w:val="Paragrafoelenco"/>
        <w:widowControl w:val="0"/>
        <w:autoSpaceDE w:val="0"/>
        <w:autoSpaceDN w:val="0"/>
        <w:ind w:left="709"/>
        <w:contextualSpacing/>
        <w:jc w:val="both"/>
        <w:rPr>
          <w:rFonts w:ascii="Arial" w:eastAsia="Times New Roman" w:hAnsi="Arial" w:cs="Arial"/>
          <w:b/>
          <w:bCs/>
          <w:color w:val="000000" w:themeColor="text1"/>
          <w:sz w:val="20"/>
          <w:szCs w:val="20"/>
          <w:lang w:val="cs-CZ" w:eastAsia="it-IT"/>
        </w:rPr>
      </w:pPr>
    </w:p>
    <w:p w14:paraId="137D51EE" w14:textId="77777777" w:rsidR="00DF0778" w:rsidRDefault="00DF0778" w:rsidP="00DF0778">
      <w:pPr>
        <w:pStyle w:val="Paragrafoelenco"/>
        <w:widowControl w:val="0"/>
        <w:autoSpaceDE w:val="0"/>
        <w:autoSpaceDN w:val="0"/>
        <w:ind w:left="709"/>
        <w:contextualSpacing/>
        <w:jc w:val="both"/>
        <w:rPr>
          <w:rFonts w:ascii="Arial" w:eastAsia="Times New Roman" w:hAnsi="Arial" w:cs="Arial"/>
          <w:bCs/>
          <w:color w:val="000000" w:themeColor="text1"/>
          <w:sz w:val="20"/>
          <w:szCs w:val="20"/>
          <w:lang w:val="cs-CZ" w:eastAsia="it-IT"/>
        </w:rPr>
      </w:pPr>
      <w:r w:rsidRPr="00E97839">
        <w:rPr>
          <w:rFonts w:ascii="Arial" w:eastAsia="Times New Roman" w:hAnsi="Arial" w:cs="Arial"/>
          <w:b/>
          <w:bCs/>
          <w:color w:val="000000" w:themeColor="text1"/>
          <w:sz w:val="20"/>
          <w:szCs w:val="20"/>
          <w:lang w:val="cs-CZ" w:eastAsia="it-IT"/>
        </w:rPr>
        <w:t>Elektronickými daty</w:t>
      </w:r>
      <w:r w:rsidRPr="00E97839">
        <w:rPr>
          <w:rFonts w:ascii="Arial" w:eastAsia="Times New Roman" w:hAnsi="Arial" w:cs="Arial"/>
          <w:bCs/>
          <w:color w:val="000000" w:themeColor="text1"/>
          <w:sz w:val="20"/>
          <w:szCs w:val="20"/>
          <w:lang w:val="cs-CZ" w:eastAsia="it-IT"/>
        </w:rPr>
        <w:t xml:space="preserve"> se rozumí skutečnosti, pojmy a informace převedené do formy použitelné pro přenos, sdělování a zpracování elektronickými a elektromechanickými datovými procesy nebo elektronicky ovládaným zařízením. Pojem elektronická data zahrnuje rovněž programy, programová vybavení a jiné kódové příkazy pro zpracování a manipulaci s daty nebo pro řízení a manipulaci s elektronicky ovládaným zařízením.</w:t>
      </w:r>
    </w:p>
    <w:p w14:paraId="49BCD221" w14:textId="77777777" w:rsidR="00DF0778" w:rsidRPr="00E97839" w:rsidRDefault="00DF0778" w:rsidP="00DF0778">
      <w:pPr>
        <w:pStyle w:val="Paragrafoelenco"/>
        <w:widowControl w:val="0"/>
        <w:autoSpaceDE w:val="0"/>
        <w:autoSpaceDN w:val="0"/>
        <w:ind w:left="709"/>
        <w:contextualSpacing/>
        <w:jc w:val="both"/>
        <w:rPr>
          <w:rFonts w:ascii="Arial" w:eastAsia="Times New Roman" w:hAnsi="Arial" w:cs="Arial"/>
          <w:bCs/>
          <w:color w:val="000000" w:themeColor="text1"/>
          <w:sz w:val="20"/>
          <w:szCs w:val="20"/>
          <w:lang w:val="cs-CZ" w:eastAsia="it-IT"/>
        </w:rPr>
      </w:pPr>
    </w:p>
    <w:p w14:paraId="6BD61E71" w14:textId="77777777" w:rsidR="00DF0778" w:rsidRDefault="00DF0778" w:rsidP="00DF0778">
      <w:pPr>
        <w:pStyle w:val="Paragrafoelenco"/>
        <w:widowControl w:val="0"/>
        <w:autoSpaceDE w:val="0"/>
        <w:autoSpaceDN w:val="0"/>
        <w:ind w:left="709"/>
        <w:contextualSpacing/>
        <w:jc w:val="both"/>
        <w:rPr>
          <w:rFonts w:ascii="Arial" w:eastAsia="Times New Roman" w:hAnsi="Arial" w:cs="Arial"/>
          <w:bCs/>
          <w:color w:val="000000" w:themeColor="text1"/>
          <w:sz w:val="20"/>
          <w:szCs w:val="20"/>
          <w:lang w:val="cs-CZ" w:eastAsia="it-IT"/>
        </w:rPr>
      </w:pPr>
      <w:r w:rsidRPr="00E97839">
        <w:rPr>
          <w:rFonts w:ascii="Arial" w:eastAsia="Times New Roman" w:hAnsi="Arial" w:cs="Arial"/>
          <w:b/>
          <w:bCs/>
          <w:color w:val="000000" w:themeColor="text1"/>
          <w:sz w:val="20"/>
          <w:szCs w:val="20"/>
          <w:lang w:val="cs-CZ" w:eastAsia="it-IT"/>
        </w:rPr>
        <w:t>Počítačovým virem</w:t>
      </w:r>
      <w:r w:rsidRPr="00E97839">
        <w:rPr>
          <w:rFonts w:ascii="Arial" w:eastAsia="Times New Roman" w:hAnsi="Arial" w:cs="Arial"/>
          <w:bCs/>
          <w:color w:val="000000" w:themeColor="text1"/>
          <w:sz w:val="20"/>
          <w:szCs w:val="20"/>
          <w:lang w:val="cs-CZ" w:eastAsia="it-IT"/>
        </w:rPr>
        <w:t xml:space="preserve"> se rozumí soubor rušivých, škodlivých nebo jiných neoprávněných příkazů či kódů včetně souboru neoprávněných programových či jiných příkazů či kódů, které byly v úmyslu způsobit škodu zavedeny do počítače a které se samy šíří počítačovým systémem či sítí jakéhokoliv druhu. Počítačovým virem jsou např. „trojští koně“, „červi“ nebo „časované či logické bomby“.</w:t>
      </w:r>
    </w:p>
    <w:p w14:paraId="105AC8D1" w14:textId="77777777" w:rsidR="00DF0778" w:rsidRPr="00E97839" w:rsidRDefault="00DF0778" w:rsidP="00DF0778">
      <w:pPr>
        <w:pStyle w:val="Paragrafoelenco"/>
        <w:widowControl w:val="0"/>
        <w:autoSpaceDE w:val="0"/>
        <w:autoSpaceDN w:val="0"/>
        <w:ind w:left="1418" w:hanging="709"/>
        <w:contextualSpacing/>
        <w:jc w:val="both"/>
        <w:rPr>
          <w:rFonts w:ascii="Arial" w:eastAsia="Times New Roman" w:hAnsi="Arial" w:cs="Arial"/>
          <w:bCs/>
          <w:color w:val="000000" w:themeColor="text1"/>
          <w:sz w:val="20"/>
          <w:szCs w:val="20"/>
          <w:lang w:val="cs-CZ" w:eastAsia="it-IT"/>
        </w:rPr>
      </w:pPr>
    </w:p>
    <w:p w14:paraId="05D6C5D5" w14:textId="5A13B515" w:rsidR="00DF0778" w:rsidRDefault="00DF0778" w:rsidP="004139DB">
      <w:pPr>
        <w:pStyle w:val="Paragrafoelenco"/>
        <w:widowControl w:val="0"/>
        <w:numPr>
          <w:ilvl w:val="0"/>
          <w:numId w:val="23"/>
        </w:numPr>
        <w:autoSpaceDE w:val="0"/>
        <w:autoSpaceDN w:val="0"/>
        <w:contextualSpacing/>
        <w:jc w:val="both"/>
        <w:rPr>
          <w:rFonts w:ascii="Arial" w:eastAsia="Times New Roman" w:hAnsi="Arial" w:cs="Arial"/>
          <w:bCs/>
          <w:color w:val="000000" w:themeColor="text1"/>
          <w:sz w:val="20"/>
          <w:szCs w:val="20"/>
          <w:lang w:val="cs-CZ" w:eastAsia="it-IT"/>
        </w:rPr>
      </w:pPr>
      <w:r w:rsidRPr="00E97839">
        <w:rPr>
          <w:rFonts w:ascii="Arial" w:eastAsia="Times New Roman" w:hAnsi="Arial" w:cs="Arial"/>
          <w:bCs/>
          <w:color w:val="000000" w:themeColor="text1"/>
          <w:sz w:val="20"/>
          <w:szCs w:val="20"/>
          <w:lang w:val="cs-CZ" w:eastAsia="it-IT"/>
        </w:rPr>
        <w:t>Pojišťovna však v souladu s ustanoveními pojistné smlouvy, pojistných podmínek a výluk poskytne pojistné plnění za věcnou škodu na pojištěných věcech, ke které došlo v době trvání pojištění následkem požáru nebo výbuchu, pokud tento požár nebo výbuch vznikl v důsledku některé ze skutečností uvedených v odstavci a) výše.</w:t>
      </w:r>
    </w:p>
    <w:p w14:paraId="3CAF0233" w14:textId="77777777" w:rsidR="004139DB" w:rsidRDefault="004139DB" w:rsidP="004139DB">
      <w:pPr>
        <w:pStyle w:val="Paragrafoelenco"/>
        <w:widowControl w:val="0"/>
        <w:autoSpaceDE w:val="0"/>
        <w:autoSpaceDN w:val="0"/>
        <w:contextualSpacing/>
        <w:jc w:val="both"/>
        <w:rPr>
          <w:rFonts w:ascii="Arial" w:eastAsia="Times New Roman" w:hAnsi="Arial" w:cs="Arial"/>
          <w:b/>
          <w:bCs/>
          <w:color w:val="000000" w:themeColor="text1"/>
          <w:sz w:val="20"/>
          <w:szCs w:val="20"/>
          <w:lang w:val="cs-CZ" w:eastAsia="it-IT"/>
        </w:rPr>
      </w:pPr>
    </w:p>
    <w:p w14:paraId="418FB299" w14:textId="65E927F6" w:rsidR="004139DB" w:rsidRDefault="004139DB" w:rsidP="004139DB">
      <w:pPr>
        <w:pStyle w:val="Paragrafoelenco"/>
        <w:widowControl w:val="0"/>
        <w:autoSpaceDE w:val="0"/>
        <w:autoSpaceDN w:val="0"/>
        <w:ind w:left="0"/>
        <w:contextualSpacing/>
        <w:jc w:val="both"/>
        <w:rPr>
          <w:rFonts w:ascii="Arial" w:eastAsia="Times New Roman" w:hAnsi="Arial" w:cs="Arial"/>
          <w:b/>
          <w:bCs/>
          <w:color w:val="000000" w:themeColor="text1"/>
          <w:sz w:val="20"/>
          <w:szCs w:val="20"/>
          <w:lang w:val="cs-CZ" w:eastAsia="it-IT"/>
        </w:rPr>
      </w:pPr>
      <w:r>
        <w:rPr>
          <w:rFonts w:ascii="Arial" w:eastAsia="Times New Roman" w:hAnsi="Arial" w:cs="Arial"/>
          <w:b/>
          <w:bCs/>
          <w:color w:val="000000" w:themeColor="text1"/>
          <w:sz w:val="20"/>
          <w:szCs w:val="20"/>
          <w:lang w:val="cs-CZ" w:eastAsia="it-IT"/>
        </w:rPr>
        <w:t xml:space="preserve">2.4.5. </w:t>
      </w:r>
      <w:r w:rsidRPr="00EB423B">
        <w:rPr>
          <w:rFonts w:ascii="Arial" w:eastAsia="Times New Roman" w:hAnsi="Arial" w:cs="Arial"/>
          <w:b/>
          <w:bCs/>
          <w:color w:val="000000" w:themeColor="text1"/>
          <w:sz w:val="20"/>
          <w:szCs w:val="20"/>
          <w:lang w:val="cs-CZ" w:eastAsia="it-IT"/>
        </w:rPr>
        <w:t xml:space="preserve">Zabezpečení proti odcizení pro měřící přístroje dočasně umístěné mimo budovu: </w:t>
      </w:r>
    </w:p>
    <w:p w14:paraId="40C35C5E" w14:textId="77777777" w:rsidR="004139DB" w:rsidRDefault="004139DB" w:rsidP="004139DB">
      <w:pPr>
        <w:pStyle w:val="Paragrafoelenco"/>
        <w:widowControl w:val="0"/>
        <w:autoSpaceDE w:val="0"/>
        <w:autoSpaceDN w:val="0"/>
        <w:contextualSpacing/>
        <w:jc w:val="both"/>
        <w:rPr>
          <w:rFonts w:ascii="Arial" w:eastAsia="Times New Roman" w:hAnsi="Arial" w:cs="Arial"/>
          <w:b/>
          <w:bCs/>
          <w:color w:val="000000" w:themeColor="text1"/>
          <w:sz w:val="20"/>
          <w:szCs w:val="20"/>
          <w:lang w:val="cs-CZ" w:eastAsia="it-IT"/>
        </w:rPr>
      </w:pPr>
    </w:p>
    <w:p w14:paraId="21BB5240" w14:textId="11F1EAEA" w:rsidR="004139DB" w:rsidRPr="00A0531A" w:rsidRDefault="004139DB" w:rsidP="004139DB">
      <w:pPr>
        <w:pStyle w:val="Paragrafoelenco"/>
        <w:widowControl w:val="0"/>
        <w:autoSpaceDE w:val="0"/>
        <w:autoSpaceDN w:val="0"/>
        <w:ind w:left="567"/>
        <w:contextualSpacing/>
        <w:jc w:val="both"/>
        <w:rPr>
          <w:rFonts w:ascii="Arial" w:eastAsia="Times New Roman" w:hAnsi="Arial" w:cs="Arial"/>
          <w:b/>
          <w:bCs/>
          <w:color w:val="000000" w:themeColor="text1"/>
          <w:sz w:val="20"/>
          <w:szCs w:val="20"/>
          <w:lang w:val="cs-CZ" w:eastAsia="it-IT"/>
        </w:rPr>
      </w:pPr>
      <w:r w:rsidRPr="00A0531A">
        <w:rPr>
          <w:rFonts w:ascii="Arial" w:eastAsia="Times New Roman" w:hAnsi="Arial" w:cs="Arial"/>
          <w:b/>
          <w:bCs/>
          <w:color w:val="000000" w:themeColor="text1"/>
          <w:sz w:val="20"/>
          <w:szCs w:val="20"/>
          <w:lang w:val="cs-CZ" w:eastAsia="it-IT"/>
        </w:rPr>
        <w:t xml:space="preserve">Pojištěná pojistná nebezpečí se </w:t>
      </w:r>
      <w:r w:rsidR="002D1E66">
        <w:rPr>
          <w:rFonts w:ascii="Arial" w:eastAsia="Times New Roman" w:hAnsi="Arial" w:cs="Arial"/>
          <w:b/>
          <w:bCs/>
          <w:color w:val="000000" w:themeColor="text1"/>
          <w:sz w:val="20"/>
          <w:szCs w:val="20"/>
          <w:lang w:val="cs-CZ" w:eastAsia="it-IT"/>
        </w:rPr>
        <w:t>doplňují</w:t>
      </w:r>
      <w:r w:rsidRPr="00A0531A">
        <w:rPr>
          <w:rFonts w:ascii="Arial" w:eastAsia="Times New Roman" w:hAnsi="Arial" w:cs="Arial"/>
          <w:b/>
          <w:bCs/>
          <w:color w:val="000000" w:themeColor="text1"/>
          <w:sz w:val="20"/>
          <w:szCs w:val="20"/>
          <w:lang w:val="cs-CZ" w:eastAsia="it-IT"/>
        </w:rPr>
        <w:t xml:space="preserve"> o následující ujednání pro zařízení </w:t>
      </w:r>
      <w:proofErr w:type="spellStart"/>
      <w:r w:rsidRPr="00A0531A">
        <w:rPr>
          <w:rFonts w:ascii="Arial" w:eastAsia="Times New Roman" w:hAnsi="Arial" w:cs="Arial"/>
          <w:b/>
          <w:bCs/>
          <w:color w:val="000000" w:themeColor="text1"/>
          <w:sz w:val="20"/>
          <w:szCs w:val="20"/>
          <w:lang w:val="cs-CZ" w:eastAsia="it-IT"/>
        </w:rPr>
        <w:t>Airpointer</w:t>
      </w:r>
      <w:proofErr w:type="spellEnd"/>
      <w:r w:rsidRPr="00A0531A">
        <w:rPr>
          <w:rFonts w:ascii="Arial" w:eastAsia="Times New Roman" w:hAnsi="Arial" w:cs="Arial"/>
          <w:b/>
          <w:bCs/>
          <w:color w:val="000000" w:themeColor="text1"/>
          <w:sz w:val="20"/>
          <w:szCs w:val="20"/>
          <w:lang w:val="cs-CZ" w:eastAsia="it-IT"/>
        </w:rPr>
        <w:t xml:space="preserve"> Base Unit – </w:t>
      </w:r>
      <w:proofErr w:type="gramStart"/>
      <w:r w:rsidRPr="00A0531A">
        <w:rPr>
          <w:rFonts w:ascii="Arial" w:eastAsia="Times New Roman" w:hAnsi="Arial" w:cs="Arial"/>
          <w:b/>
          <w:bCs/>
          <w:color w:val="000000" w:themeColor="text1"/>
          <w:sz w:val="20"/>
          <w:szCs w:val="20"/>
          <w:lang w:val="cs-CZ" w:eastAsia="it-IT"/>
        </w:rPr>
        <w:t>4D</w:t>
      </w:r>
      <w:proofErr w:type="gramEnd"/>
      <w:r w:rsidRPr="00A0531A">
        <w:rPr>
          <w:rFonts w:ascii="Arial" w:eastAsia="Times New Roman" w:hAnsi="Arial" w:cs="Arial"/>
          <w:b/>
          <w:bCs/>
          <w:color w:val="000000" w:themeColor="text1"/>
          <w:sz w:val="20"/>
          <w:szCs w:val="20"/>
          <w:lang w:val="cs-CZ" w:eastAsia="it-IT"/>
        </w:rPr>
        <w:t>, 2013-00435:</w:t>
      </w:r>
    </w:p>
    <w:p w14:paraId="2A4F1B65" w14:textId="77777777" w:rsidR="004139DB" w:rsidRPr="00EB423B" w:rsidRDefault="004139DB" w:rsidP="004139DB">
      <w:pPr>
        <w:pStyle w:val="Paragrafoelenco"/>
        <w:widowControl w:val="0"/>
        <w:autoSpaceDE w:val="0"/>
        <w:autoSpaceDN w:val="0"/>
        <w:ind w:left="567"/>
        <w:contextualSpacing/>
        <w:jc w:val="both"/>
        <w:rPr>
          <w:rFonts w:ascii="Arial" w:eastAsia="Times New Roman" w:hAnsi="Arial" w:cs="Arial"/>
          <w:b/>
          <w:bCs/>
          <w:color w:val="000000" w:themeColor="text1"/>
          <w:sz w:val="20"/>
          <w:szCs w:val="20"/>
          <w:lang w:val="cs-CZ" w:eastAsia="it-IT"/>
        </w:rPr>
      </w:pPr>
    </w:p>
    <w:p w14:paraId="37DAC9BC" w14:textId="77777777" w:rsidR="004139DB" w:rsidRDefault="004139DB" w:rsidP="004139DB">
      <w:pPr>
        <w:pStyle w:val="Paragrafoelenco"/>
        <w:widowControl w:val="0"/>
        <w:autoSpaceDE w:val="0"/>
        <w:autoSpaceDN w:val="0"/>
        <w:ind w:left="567"/>
        <w:contextualSpacing/>
        <w:jc w:val="both"/>
        <w:rPr>
          <w:rFonts w:ascii="Arial" w:eastAsia="Times New Roman" w:hAnsi="Arial" w:cs="Arial"/>
          <w:bCs/>
          <w:color w:val="000000" w:themeColor="text1"/>
          <w:sz w:val="20"/>
          <w:szCs w:val="20"/>
          <w:lang w:val="cs-CZ" w:eastAsia="it-IT"/>
        </w:rPr>
      </w:pPr>
      <w:r>
        <w:rPr>
          <w:rFonts w:ascii="Arial" w:eastAsia="Times New Roman" w:hAnsi="Arial" w:cs="Arial"/>
          <w:bCs/>
          <w:color w:val="000000" w:themeColor="text1"/>
          <w:sz w:val="20"/>
          <w:szCs w:val="20"/>
          <w:lang w:val="cs-CZ" w:eastAsia="it-IT"/>
        </w:rPr>
        <w:t xml:space="preserve">Přístroj má zabudovaný alarm pro neoprávněné vniknutí (zaslání varovné SMS a emailu) a GPS pro určení přesné polohy. </w:t>
      </w:r>
    </w:p>
    <w:p w14:paraId="5F79F52E" w14:textId="77777777" w:rsidR="004139DB" w:rsidRDefault="004139DB" w:rsidP="004139DB">
      <w:pPr>
        <w:pStyle w:val="Paragrafoelenco"/>
        <w:widowControl w:val="0"/>
        <w:autoSpaceDE w:val="0"/>
        <w:autoSpaceDN w:val="0"/>
        <w:ind w:left="567"/>
        <w:contextualSpacing/>
        <w:jc w:val="both"/>
        <w:rPr>
          <w:rFonts w:ascii="Arial" w:eastAsia="Times New Roman" w:hAnsi="Arial" w:cs="Arial"/>
          <w:bCs/>
          <w:color w:val="000000" w:themeColor="text1"/>
          <w:sz w:val="20"/>
          <w:szCs w:val="20"/>
          <w:lang w:val="cs-CZ" w:eastAsia="it-IT"/>
        </w:rPr>
      </w:pPr>
    </w:p>
    <w:p w14:paraId="64BFD547" w14:textId="77777777" w:rsidR="004139DB" w:rsidRDefault="004139DB" w:rsidP="004139DB">
      <w:pPr>
        <w:pStyle w:val="Paragrafoelenco"/>
        <w:widowControl w:val="0"/>
        <w:autoSpaceDE w:val="0"/>
        <w:autoSpaceDN w:val="0"/>
        <w:ind w:left="567"/>
        <w:contextualSpacing/>
        <w:jc w:val="both"/>
        <w:rPr>
          <w:rFonts w:ascii="Arial" w:eastAsia="Times New Roman" w:hAnsi="Arial" w:cs="Arial"/>
          <w:bCs/>
          <w:color w:val="000000" w:themeColor="text1"/>
          <w:sz w:val="20"/>
          <w:szCs w:val="20"/>
          <w:lang w:val="cs-CZ" w:eastAsia="it-IT"/>
        </w:rPr>
      </w:pPr>
      <w:r>
        <w:rPr>
          <w:rFonts w:ascii="Arial" w:eastAsia="Times New Roman" w:hAnsi="Arial" w:cs="Arial"/>
          <w:bCs/>
          <w:color w:val="000000" w:themeColor="text1"/>
          <w:sz w:val="20"/>
          <w:szCs w:val="20"/>
          <w:lang w:val="cs-CZ" w:eastAsia="it-IT"/>
        </w:rPr>
        <w:t xml:space="preserve">Při měření v tunelu: </w:t>
      </w:r>
    </w:p>
    <w:p w14:paraId="2E65F064" w14:textId="77777777" w:rsidR="004139DB" w:rsidRDefault="004139DB" w:rsidP="004139DB">
      <w:pPr>
        <w:pStyle w:val="Paragrafoelenco"/>
        <w:widowControl w:val="0"/>
        <w:autoSpaceDE w:val="0"/>
        <w:autoSpaceDN w:val="0"/>
        <w:ind w:left="567"/>
        <w:contextualSpacing/>
        <w:jc w:val="both"/>
        <w:rPr>
          <w:rFonts w:ascii="Arial" w:eastAsia="Times New Roman" w:hAnsi="Arial" w:cs="Arial"/>
          <w:bCs/>
          <w:color w:val="000000" w:themeColor="text1"/>
          <w:sz w:val="20"/>
          <w:szCs w:val="20"/>
          <w:lang w:val="cs-CZ" w:eastAsia="it-IT"/>
        </w:rPr>
      </w:pPr>
      <w:r>
        <w:rPr>
          <w:rFonts w:ascii="Arial" w:eastAsia="Times New Roman" w:hAnsi="Arial" w:cs="Arial"/>
          <w:bCs/>
          <w:color w:val="000000" w:themeColor="text1"/>
          <w:sz w:val="20"/>
          <w:szCs w:val="20"/>
          <w:lang w:val="cs-CZ" w:eastAsia="it-IT"/>
        </w:rPr>
        <w:t xml:space="preserve">Umístění pod dohledem kamerového systému, řetězem (rozměr oka 12 x </w:t>
      </w:r>
      <w:proofErr w:type="gramStart"/>
      <w:r>
        <w:rPr>
          <w:rFonts w:ascii="Arial" w:eastAsia="Times New Roman" w:hAnsi="Arial" w:cs="Arial"/>
          <w:bCs/>
          <w:color w:val="000000" w:themeColor="text1"/>
          <w:sz w:val="20"/>
          <w:szCs w:val="20"/>
          <w:lang w:val="cs-CZ" w:eastAsia="it-IT"/>
        </w:rPr>
        <w:t>45mm</w:t>
      </w:r>
      <w:proofErr w:type="gramEnd"/>
      <w:r>
        <w:rPr>
          <w:rFonts w:ascii="Arial" w:eastAsia="Times New Roman" w:hAnsi="Arial" w:cs="Arial"/>
          <w:bCs/>
          <w:color w:val="000000" w:themeColor="text1"/>
          <w:sz w:val="20"/>
          <w:szCs w:val="20"/>
          <w:lang w:val="cs-CZ" w:eastAsia="it-IT"/>
        </w:rPr>
        <w:t xml:space="preserve">, tloušťka materiálu 5 mm) je přístroj spojen s dalšími přístroji a k trvale připevněné konstrukci. </w:t>
      </w:r>
    </w:p>
    <w:p w14:paraId="17C3FFE0" w14:textId="77777777" w:rsidR="004139DB" w:rsidRDefault="004139DB" w:rsidP="004139DB">
      <w:pPr>
        <w:pStyle w:val="Paragrafoelenco"/>
        <w:widowControl w:val="0"/>
        <w:autoSpaceDE w:val="0"/>
        <w:autoSpaceDN w:val="0"/>
        <w:ind w:left="567"/>
        <w:contextualSpacing/>
        <w:jc w:val="both"/>
        <w:rPr>
          <w:rFonts w:ascii="Arial" w:eastAsia="Times New Roman" w:hAnsi="Arial" w:cs="Arial"/>
          <w:bCs/>
          <w:color w:val="000000" w:themeColor="text1"/>
          <w:sz w:val="20"/>
          <w:szCs w:val="20"/>
          <w:lang w:val="cs-CZ" w:eastAsia="it-IT"/>
        </w:rPr>
      </w:pPr>
    </w:p>
    <w:p w14:paraId="553BFC28" w14:textId="77777777" w:rsidR="004139DB" w:rsidRDefault="004139DB" w:rsidP="004139DB">
      <w:pPr>
        <w:pStyle w:val="Paragrafoelenco"/>
        <w:widowControl w:val="0"/>
        <w:autoSpaceDE w:val="0"/>
        <w:autoSpaceDN w:val="0"/>
        <w:ind w:left="567"/>
        <w:contextualSpacing/>
        <w:jc w:val="both"/>
        <w:rPr>
          <w:rFonts w:ascii="Arial" w:eastAsia="Times New Roman" w:hAnsi="Arial" w:cs="Arial"/>
          <w:bCs/>
          <w:color w:val="000000" w:themeColor="text1"/>
          <w:sz w:val="20"/>
          <w:szCs w:val="20"/>
          <w:lang w:val="cs-CZ" w:eastAsia="it-IT"/>
        </w:rPr>
      </w:pPr>
      <w:r>
        <w:rPr>
          <w:rFonts w:ascii="Arial" w:eastAsia="Times New Roman" w:hAnsi="Arial" w:cs="Arial"/>
          <w:bCs/>
          <w:color w:val="000000" w:themeColor="text1"/>
          <w:sz w:val="20"/>
          <w:szCs w:val="20"/>
          <w:lang w:val="cs-CZ" w:eastAsia="it-IT"/>
        </w:rPr>
        <w:t xml:space="preserve">Při měření vnějšího ovzduší: </w:t>
      </w:r>
    </w:p>
    <w:p w14:paraId="794564D1" w14:textId="77777777" w:rsidR="004139DB" w:rsidRDefault="004139DB" w:rsidP="004139DB">
      <w:pPr>
        <w:pStyle w:val="Paragrafoelenco"/>
        <w:widowControl w:val="0"/>
        <w:autoSpaceDE w:val="0"/>
        <w:autoSpaceDN w:val="0"/>
        <w:ind w:left="567"/>
        <w:contextualSpacing/>
        <w:jc w:val="both"/>
        <w:rPr>
          <w:rFonts w:ascii="Arial" w:eastAsia="Times New Roman" w:hAnsi="Arial" w:cs="Arial"/>
          <w:bCs/>
          <w:color w:val="000000" w:themeColor="text1"/>
          <w:sz w:val="20"/>
          <w:szCs w:val="20"/>
          <w:lang w:val="cs-CZ" w:eastAsia="it-IT"/>
        </w:rPr>
      </w:pPr>
      <w:r>
        <w:rPr>
          <w:rFonts w:ascii="Arial" w:eastAsia="Times New Roman" w:hAnsi="Arial" w:cs="Arial"/>
          <w:bCs/>
          <w:color w:val="000000" w:themeColor="text1"/>
          <w:sz w:val="20"/>
          <w:szCs w:val="20"/>
          <w:lang w:val="cs-CZ" w:eastAsia="it-IT"/>
        </w:rPr>
        <w:t xml:space="preserve">Umístění v oploceném areálu – řetězem (rozměr oka 12 x </w:t>
      </w:r>
      <w:proofErr w:type="gramStart"/>
      <w:r>
        <w:rPr>
          <w:rFonts w:ascii="Arial" w:eastAsia="Times New Roman" w:hAnsi="Arial" w:cs="Arial"/>
          <w:bCs/>
          <w:color w:val="000000" w:themeColor="text1"/>
          <w:sz w:val="20"/>
          <w:szCs w:val="20"/>
          <w:lang w:val="cs-CZ" w:eastAsia="it-IT"/>
        </w:rPr>
        <w:t>45mm</w:t>
      </w:r>
      <w:proofErr w:type="gramEnd"/>
      <w:r>
        <w:rPr>
          <w:rFonts w:ascii="Arial" w:eastAsia="Times New Roman" w:hAnsi="Arial" w:cs="Arial"/>
          <w:bCs/>
          <w:color w:val="000000" w:themeColor="text1"/>
          <w:sz w:val="20"/>
          <w:szCs w:val="20"/>
          <w:lang w:val="cs-CZ" w:eastAsia="it-IT"/>
        </w:rPr>
        <w:t>, tloušťka materiálu 5 mm) je přístroj spojen s dalšími přístroji a k trvale připevněné konstrukci (plot, hromosvod, mříž okna atd.)</w:t>
      </w:r>
    </w:p>
    <w:p w14:paraId="7639A168" w14:textId="77777777" w:rsidR="004139DB" w:rsidRDefault="004139DB" w:rsidP="004139DB">
      <w:pPr>
        <w:pStyle w:val="Paragrafoelenco"/>
        <w:widowControl w:val="0"/>
        <w:autoSpaceDE w:val="0"/>
        <w:autoSpaceDN w:val="0"/>
        <w:ind w:left="567"/>
        <w:contextualSpacing/>
        <w:jc w:val="both"/>
        <w:rPr>
          <w:rFonts w:ascii="Arial" w:eastAsia="Times New Roman" w:hAnsi="Arial" w:cs="Arial"/>
          <w:bCs/>
          <w:color w:val="000000" w:themeColor="text1"/>
          <w:sz w:val="20"/>
          <w:szCs w:val="20"/>
          <w:lang w:val="cs-CZ" w:eastAsia="it-IT"/>
        </w:rPr>
      </w:pPr>
    </w:p>
    <w:p w14:paraId="1BF1F9CF" w14:textId="77777777" w:rsidR="004139DB" w:rsidRDefault="004139DB" w:rsidP="004139DB">
      <w:pPr>
        <w:pStyle w:val="Paragrafoelenco"/>
        <w:widowControl w:val="0"/>
        <w:autoSpaceDE w:val="0"/>
        <w:autoSpaceDN w:val="0"/>
        <w:ind w:left="567"/>
        <w:contextualSpacing/>
        <w:jc w:val="both"/>
        <w:rPr>
          <w:rFonts w:ascii="Arial" w:eastAsia="Times New Roman" w:hAnsi="Arial" w:cs="Arial"/>
          <w:bCs/>
          <w:color w:val="000000" w:themeColor="text1"/>
          <w:sz w:val="20"/>
          <w:szCs w:val="20"/>
          <w:lang w:val="cs-CZ" w:eastAsia="it-IT"/>
        </w:rPr>
      </w:pPr>
      <w:r>
        <w:rPr>
          <w:rFonts w:ascii="Arial" w:eastAsia="Times New Roman" w:hAnsi="Arial" w:cs="Arial"/>
          <w:bCs/>
          <w:color w:val="000000" w:themeColor="text1"/>
          <w:sz w:val="20"/>
          <w:szCs w:val="20"/>
          <w:lang w:val="cs-CZ" w:eastAsia="it-IT"/>
        </w:rPr>
        <w:t xml:space="preserve">Umístění na veřejně přístupném místě – řetězem (rozměr oka 12 x </w:t>
      </w:r>
      <w:proofErr w:type="gramStart"/>
      <w:r>
        <w:rPr>
          <w:rFonts w:ascii="Arial" w:eastAsia="Times New Roman" w:hAnsi="Arial" w:cs="Arial"/>
          <w:bCs/>
          <w:color w:val="000000" w:themeColor="text1"/>
          <w:sz w:val="20"/>
          <w:szCs w:val="20"/>
          <w:lang w:val="cs-CZ" w:eastAsia="it-IT"/>
        </w:rPr>
        <w:t>45mm</w:t>
      </w:r>
      <w:proofErr w:type="gramEnd"/>
      <w:r>
        <w:rPr>
          <w:rFonts w:ascii="Arial" w:eastAsia="Times New Roman" w:hAnsi="Arial" w:cs="Arial"/>
          <w:bCs/>
          <w:color w:val="000000" w:themeColor="text1"/>
          <w:sz w:val="20"/>
          <w:szCs w:val="20"/>
          <w:lang w:val="cs-CZ" w:eastAsia="it-IT"/>
        </w:rPr>
        <w:t>, tloušťka materiálu 5 mm) je přístroj spojen s dalšími přístroji a k trvale připevněné konstrukci (plot, hromosvod, mříž okna atd.) nebo k lampě veřejného osvětlení, dopravnímu značení, svodidlu, zábradlí</w:t>
      </w:r>
    </w:p>
    <w:p w14:paraId="2D094AC0" w14:textId="77777777" w:rsidR="004139DB" w:rsidRDefault="004139DB" w:rsidP="004139DB">
      <w:pPr>
        <w:pStyle w:val="Paragrafoelenco"/>
        <w:widowControl w:val="0"/>
        <w:autoSpaceDE w:val="0"/>
        <w:autoSpaceDN w:val="0"/>
        <w:ind w:left="567"/>
        <w:contextualSpacing/>
        <w:jc w:val="both"/>
        <w:rPr>
          <w:rFonts w:ascii="Arial" w:eastAsia="Times New Roman" w:hAnsi="Arial" w:cs="Arial"/>
          <w:bCs/>
          <w:color w:val="000000" w:themeColor="text1"/>
          <w:sz w:val="20"/>
          <w:szCs w:val="20"/>
          <w:lang w:val="cs-CZ" w:eastAsia="it-IT"/>
        </w:rPr>
      </w:pPr>
    </w:p>
    <w:p w14:paraId="58856557" w14:textId="77777777" w:rsidR="004139DB" w:rsidRDefault="004139DB" w:rsidP="004139DB">
      <w:pPr>
        <w:pStyle w:val="Paragrafoelenco"/>
        <w:widowControl w:val="0"/>
        <w:autoSpaceDE w:val="0"/>
        <w:autoSpaceDN w:val="0"/>
        <w:ind w:left="567"/>
        <w:contextualSpacing/>
        <w:jc w:val="both"/>
        <w:rPr>
          <w:rFonts w:ascii="Arial" w:eastAsia="Times New Roman" w:hAnsi="Arial" w:cs="Arial"/>
          <w:bCs/>
          <w:color w:val="000000" w:themeColor="text1"/>
          <w:sz w:val="20"/>
          <w:szCs w:val="20"/>
          <w:lang w:val="cs-CZ" w:eastAsia="it-IT"/>
        </w:rPr>
      </w:pPr>
      <w:r>
        <w:rPr>
          <w:rFonts w:ascii="Arial" w:eastAsia="Times New Roman" w:hAnsi="Arial" w:cs="Arial"/>
          <w:bCs/>
          <w:color w:val="000000" w:themeColor="text1"/>
          <w:sz w:val="20"/>
          <w:szCs w:val="20"/>
          <w:lang w:val="cs-CZ" w:eastAsia="it-IT"/>
        </w:rPr>
        <w:t>-použít min. bezpečnostní visací zámek, který je se zvýšenou ochranou třmene, bez možnosti odemčení universálním klíčem. Klíče musí být uloženy na bezpečném, volně nepřístupném místě.</w:t>
      </w:r>
    </w:p>
    <w:p w14:paraId="108DA049" w14:textId="77777777" w:rsidR="004139DB" w:rsidRDefault="004139DB" w:rsidP="004139DB">
      <w:pPr>
        <w:pStyle w:val="Paragrafoelenco"/>
        <w:widowControl w:val="0"/>
        <w:autoSpaceDE w:val="0"/>
        <w:autoSpaceDN w:val="0"/>
        <w:ind w:left="567"/>
        <w:contextualSpacing/>
        <w:jc w:val="both"/>
        <w:rPr>
          <w:rFonts w:ascii="Arial" w:eastAsia="Times New Roman" w:hAnsi="Arial" w:cs="Arial"/>
          <w:bCs/>
          <w:color w:val="000000" w:themeColor="text1"/>
          <w:sz w:val="20"/>
          <w:szCs w:val="20"/>
          <w:lang w:val="cs-CZ" w:eastAsia="it-IT"/>
        </w:rPr>
      </w:pPr>
      <w:r>
        <w:rPr>
          <w:rFonts w:ascii="Arial" w:eastAsia="Times New Roman" w:hAnsi="Arial" w:cs="Arial"/>
          <w:bCs/>
          <w:color w:val="000000" w:themeColor="text1"/>
          <w:sz w:val="20"/>
          <w:szCs w:val="20"/>
          <w:lang w:val="cs-CZ" w:eastAsia="it-IT"/>
        </w:rPr>
        <w:t>-pro zvýšení bezpečnosti připoutání provést ve dvou úrovních nebo ke dvěma konstrukcím.</w:t>
      </w:r>
    </w:p>
    <w:p w14:paraId="1387C16A" w14:textId="77777777" w:rsidR="004139DB" w:rsidRDefault="004139DB" w:rsidP="004139DB">
      <w:pPr>
        <w:pStyle w:val="Paragrafoelenco"/>
        <w:widowControl w:val="0"/>
        <w:autoSpaceDE w:val="0"/>
        <w:autoSpaceDN w:val="0"/>
        <w:contextualSpacing/>
        <w:jc w:val="both"/>
        <w:rPr>
          <w:rFonts w:ascii="Arial" w:eastAsia="Times New Roman" w:hAnsi="Arial" w:cs="Arial"/>
          <w:bCs/>
          <w:color w:val="000000" w:themeColor="text1"/>
          <w:sz w:val="20"/>
          <w:szCs w:val="20"/>
          <w:lang w:val="cs-CZ" w:eastAsia="it-IT"/>
        </w:rPr>
      </w:pPr>
    </w:p>
    <w:p w14:paraId="1B702FEF" w14:textId="77777777" w:rsidR="00DF0778" w:rsidRPr="009B6E54" w:rsidRDefault="00DF0778" w:rsidP="00DF0778">
      <w:pPr>
        <w:pStyle w:val="GPodstavec"/>
        <w:spacing w:before="0"/>
        <w:ind w:left="709"/>
        <w:rPr>
          <w:b/>
          <w:color w:val="auto"/>
          <w:sz w:val="22"/>
          <w:szCs w:val="22"/>
          <w:lang w:val="cs-CZ"/>
        </w:rPr>
      </w:pPr>
    </w:p>
    <w:p w14:paraId="39EB961A" w14:textId="77777777" w:rsidR="00E45C79" w:rsidRPr="005F7AC4" w:rsidRDefault="00E45C79" w:rsidP="005F7AC4">
      <w:pPr>
        <w:widowControl/>
        <w:numPr>
          <w:ilvl w:val="0"/>
          <w:numId w:val="3"/>
        </w:numPr>
        <w:spacing w:before="480" w:after="240" w:line="240" w:lineRule="auto"/>
        <w:ind w:left="709" w:hanging="709"/>
        <w:contextualSpacing w:val="0"/>
        <w:rPr>
          <w:rFonts w:cs="Arial"/>
          <w:b/>
          <w:color w:val="auto"/>
          <w:sz w:val="22"/>
          <w:szCs w:val="22"/>
        </w:rPr>
      </w:pPr>
      <w:r w:rsidRPr="005F7AC4">
        <w:rPr>
          <w:rFonts w:cs="Arial"/>
          <w:b/>
          <w:color w:val="auto"/>
          <w:sz w:val="22"/>
          <w:szCs w:val="22"/>
        </w:rPr>
        <w:t xml:space="preserve">Pojistná doba </w:t>
      </w:r>
    </w:p>
    <w:p w14:paraId="1DEA38B7" w14:textId="77777777" w:rsidR="008F71B2" w:rsidRDefault="003C4960" w:rsidP="008F71B2">
      <w:pPr>
        <w:pStyle w:val="GPodstavec"/>
        <w:numPr>
          <w:ilvl w:val="1"/>
          <w:numId w:val="3"/>
        </w:numPr>
        <w:ind w:left="709" w:hanging="709"/>
      </w:pPr>
      <w:r w:rsidRPr="003C4960">
        <w:t xml:space="preserve">Pojištění se sjednává na dobu jednoho pojistného roku, </w:t>
      </w:r>
      <w:r w:rsidRPr="008F71B2">
        <w:t xml:space="preserve">počínaje dnem </w:t>
      </w:r>
      <w:r w:rsidR="00E55FEA">
        <w:t>15</w:t>
      </w:r>
      <w:r w:rsidR="00DF0778">
        <w:t>.10.2022.</w:t>
      </w:r>
      <w:r w:rsidRPr="003C4960">
        <w:br/>
        <w:t xml:space="preserve">Ve smyslu zákoníku se ujednává, že uplynutím doby, na kterou bylo pojištění sjednáno, pojištění </w:t>
      </w:r>
      <w:r w:rsidRPr="003C4960">
        <w:lastRenderedPageBreak/>
        <w:t>nezaniká a prodlužuje se za stejných podmínek o další pojistný rok, pokud pojistník nebo pojišťovna nesdělí druhé straně pojistné smlouvy nejméně šest týdnů před uplynutím pojistného roku,</w:t>
      </w:r>
      <w:r w:rsidRPr="003C4960">
        <w:br/>
        <w:t xml:space="preserve">že na dalším trvání pojištění nemá zájem (automatická prolongace). Počátek dalšího pojistného roku </w:t>
      </w:r>
      <w:r w:rsidRPr="006553F5">
        <w:t>(datum obnovy)</w:t>
      </w:r>
      <w:r w:rsidRPr="003C4960">
        <w:t xml:space="preserve"> je stanoven </w:t>
      </w:r>
      <w:r w:rsidRPr="006553F5">
        <w:t xml:space="preserve">na </w:t>
      </w:r>
      <w:r w:rsidR="00E55FEA">
        <w:t>15</w:t>
      </w:r>
      <w:r w:rsidR="00DF0778">
        <w:t>.10.2023.</w:t>
      </w:r>
    </w:p>
    <w:p w14:paraId="3D8E9315" w14:textId="77777777" w:rsidR="00644538" w:rsidRDefault="00644538" w:rsidP="00644538">
      <w:pPr>
        <w:pStyle w:val="GPodstavec"/>
        <w:numPr>
          <w:ilvl w:val="1"/>
          <w:numId w:val="3"/>
        </w:numPr>
        <w:ind w:left="709" w:hanging="709"/>
      </w:pPr>
      <w:r w:rsidRPr="003C4960">
        <w:t xml:space="preserve">Pojistník se zavazuje ponechat tuto pojistnou smlouvu v platnosti </w:t>
      </w:r>
      <w:r>
        <w:t>minimálně 3 roky.</w:t>
      </w:r>
      <w:r w:rsidRPr="003C4960">
        <w:br/>
      </w:r>
      <w:r>
        <w:t>Pojistná</w:t>
      </w:r>
      <w:r w:rsidR="00E55FEA">
        <w:t xml:space="preserve"> smlouva je platná nejméně do 14</w:t>
      </w:r>
      <w:r>
        <w:t>.10.2025.</w:t>
      </w:r>
    </w:p>
    <w:p w14:paraId="21AD54DD" w14:textId="77777777" w:rsidR="00E45C79" w:rsidRPr="008F71B2" w:rsidRDefault="00E45C79" w:rsidP="008F71B2">
      <w:pPr>
        <w:widowControl/>
        <w:numPr>
          <w:ilvl w:val="0"/>
          <w:numId w:val="3"/>
        </w:numPr>
        <w:spacing w:before="480" w:after="240" w:line="240" w:lineRule="auto"/>
        <w:ind w:left="709" w:hanging="709"/>
        <w:contextualSpacing w:val="0"/>
        <w:rPr>
          <w:rFonts w:cs="Arial"/>
          <w:b/>
          <w:color w:val="auto"/>
          <w:sz w:val="22"/>
          <w:szCs w:val="22"/>
        </w:rPr>
      </w:pPr>
      <w:r w:rsidRPr="008F71B2">
        <w:rPr>
          <w:rFonts w:cs="Arial"/>
          <w:b/>
          <w:color w:val="auto"/>
          <w:sz w:val="22"/>
          <w:szCs w:val="22"/>
        </w:rPr>
        <w:t>Pojistné a jeho splatnost</w:t>
      </w:r>
    </w:p>
    <w:p w14:paraId="119D59A9" w14:textId="450508E6" w:rsidR="00E45C79" w:rsidRPr="00DD38D6" w:rsidRDefault="008F71B2" w:rsidP="001A6D73">
      <w:pPr>
        <w:pStyle w:val="GPodstavec"/>
        <w:numPr>
          <w:ilvl w:val="1"/>
          <w:numId w:val="3"/>
        </w:numPr>
        <w:spacing w:after="120"/>
        <w:ind w:left="567" w:hanging="567"/>
      </w:pPr>
      <w:r>
        <w:t xml:space="preserve"> </w:t>
      </w:r>
      <w:r w:rsidR="001A6D73">
        <w:t xml:space="preserve">  </w:t>
      </w:r>
      <w:r w:rsidR="00E45C79" w:rsidRPr="00DD38D6">
        <w:t>Přehled pojistného za pojištění sjednaná v pojistné smlouvě</w:t>
      </w:r>
      <w:r w:rsidR="004139DB" w:rsidRPr="00DD38D6">
        <w:t xml:space="preserve"> ke dni: </w:t>
      </w:r>
      <w:r w:rsidR="00E24B12">
        <w:t>19.11.2024.</w:t>
      </w:r>
    </w:p>
    <w:tbl>
      <w:tblPr>
        <w:tblStyle w:val="Mkatabulky"/>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2397"/>
      </w:tblGrid>
      <w:tr w:rsidR="00BA1E64" w:rsidRPr="00596606" w14:paraId="18798AF5" w14:textId="77777777" w:rsidTr="006D7F28">
        <w:trPr>
          <w:trHeight w:val="340"/>
        </w:trPr>
        <w:tc>
          <w:tcPr>
            <w:tcW w:w="7371" w:type="dxa"/>
            <w:tcBorders>
              <w:top w:val="single" w:sz="8" w:space="0" w:color="C00000"/>
              <w:bottom w:val="single" w:sz="2" w:space="0" w:color="auto"/>
            </w:tcBorders>
            <w:vAlign w:val="center"/>
          </w:tcPr>
          <w:p w14:paraId="5C8564C9" w14:textId="77777777" w:rsidR="00EA76EB" w:rsidRPr="00596606" w:rsidRDefault="00EA76EB" w:rsidP="00930F00">
            <w:pPr>
              <w:pStyle w:val="Zkladntext"/>
              <w:rPr>
                <w:rFonts w:ascii="Arial" w:hAnsi="Arial" w:cs="Arial"/>
                <w:b/>
                <w:color w:val="C00000"/>
                <w:sz w:val="20"/>
              </w:rPr>
            </w:pPr>
            <w:r w:rsidRPr="00596606">
              <w:rPr>
                <w:rFonts w:ascii="Arial" w:hAnsi="Arial" w:cs="Arial"/>
                <w:b/>
                <w:color w:val="C00000"/>
                <w:sz w:val="20"/>
              </w:rPr>
              <w:t>Název pojištění</w:t>
            </w:r>
          </w:p>
        </w:tc>
        <w:tc>
          <w:tcPr>
            <w:tcW w:w="2397" w:type="dxa"/>
            <w:tcBorders>
              <w:top w:val="single" w:sz="8" w:space="0" w:color="C00000"/>
              <w:bottom w:val="single" w:sz="2" w:space="0" w:color="auto"/>
            </w:tcBorders>
            <w:shd w:val="clear" w:color="auto" w:fill="F2F2F2" w:themeFill="background1" w:themeFillShade="F2"/>
            <w:vAlign w:val="center"/>
          </w:tcPr>
          <w:p w14:paraId="04785C4C" w14:textId="77777777" w:rsidR="00EA76EB" w:rsidRPr="00596606" w:rsidRDefault="00EA76EB" w:rsidP="00930F00">
            <w:pPr>
              <w:pStyle w:val="Zkladntext"/>
              <w:rPr>
                <w:rFonts w:ascii="Arial" w:hAnsi="Arial" w:cs="Arial"/>
                <w:b/>
                <w:color w:val="C00000"/>
                <w:sz w:val="20"/>
              </w:rPr>
            </w:pPr>
            <w:r w:rsidRPr="00596606">
              <w:rPr>
                <w:rFonts w:ascii="Arial" w:hAnsi="Arial" w:cs="Arial"/>
                <w:b/>
                <w:color w:val="C00000"/>
                <w:sz w:val="20"/>
              </w:rPr>
              <w:t>Roční pojistné v Kč</w:t>
            </w:r>
          </w:p>
        </w:tc>
      </w:tr>
      <w:tr w:rsidR="006A43AA" w:rsidRPr="00A53EC8" w14:paraId="2C64E052" w14:textId="77777777" w:rsidTr="006D7F28">
        <w:trPr>
          <w:trHeight w:val="340"/>
        </w:trPr>
        <w:tc>
          <w:tcPr>
            <w:tcW w:w="7371" w:type="dxa"/>
            <w:tcBorders>
              <w:top w:val="single" w:sz="2" w:space="0" w:color="auto"/>
              <w:bottom w:val="single" w:sz="2" w:space="0" w:color="auto"/>
            </w:tcBorders>
            <w:vAlign w:val="center"/>
          </w:tcPr>
          <w:p w14:paraId="09D48717" w14:textId="77777777" w:rsidR="006A43AA" w:rsidRPr="00A53EC8" w:rsidRDefault="006A43AA" w:rsidP="006A43AA">
            <w:pPr>
              <w:pStyle w:val="Zkladntext"/>
              <w:rPr>
                <w:rFonts w:ascii="Arial" w:hAnsi="Arial" w:cs="Arial"/>
                <w:b/>
                <w:sz w:val="16"/>
                <w:szCs w:val="16"/>
              </w:rPr>
            </w:pPr>
            <w:r w:rsidRPr="00C40EF4">
              <w:rPr>
                <w:rFonts w:ascii="Arial" w:hAnsi="Arial" w:cs="Arial"/>
                <w:snapToGrid w:val="0"/>
                <w:sz w:val="16"/>
                <w:szCs w:val="16"/>
              </w:rPr>
              <w:t>Pojištění elektronických zařízení</w:t>
            </w:r>
          </w:p>
        </w:tc>
        <w:tc>
          <w:tcPr>
            <w:tcW w:w="2397" w:type="dxa"/>
            <w:tcBorders>
              <w:top w:val="single" w:sz="2" w:space="0" w:color="auto"/>
              <w:bottom w:val="single" w:sz="2" w:space="0" w:color="auto"/>
            </w:tcBorders>
            <w:shd w:val="clear" w:color="auto" w:fill="F2F2F2" w:themeFill="background1" w:themeFillShade="F2"/>
            <w:vAlign w:val="center"/>
          </w:tcPr>
          <w:p w14:paraId="394F25AB" w14:textId="5B883D23" w:rsidR="006A43AA" w:rsidRPr="00A53EC8" w:rsidRDefault="00BD1EE3" w:rsidP="006A43AA">
            <w:pPr>
              <w:pStyle w:val="Zkladntext"/>
              <w:jc w:val="right"/>
              <w:rPr>
                <w:rFonts w:ascii="Arial" w:hAnsi="Arial" w:cs="Arial"/>
                <w:b/>
                <w:sz w:val="16"/>
                <w:szCs w:val="16"/>
              </w:rPr>
            </w:pPr>
            <w:r>
              <w:rPr>
                <w:rFonts w:ascii="Arial" w:hAnsi="Arial" w:cs="Arial"/>
                <w:sz w:val="16"/>
                <w:szCs w:val="16"/>
              </w:rPr>
              <w:t>101 103</w:t>
            </w:r>
            <w:r w:rsidR="00DF0778">
              <w:rPr>
                <w:rFonts w:ascii="Arial" w:hAnsi="Arial" w:cs="Arial"/>
                <w:sz w:val="16"/>
                <w:szCs w:val="16"/>
              </w:rPr>
              <w:t xml:space="preserve"> Kč</w:t>
            </w:r>
          </w:p>
        </w:tc>
      </w:tr>
      <w:tr w:rsidR="00107C53" w:rsidRPr="00A53EC8" w14:paraId="6823859C" w14:textId="77777777" w:rsidTr="0094351A">
        <w:trPr>
          <w:trHeight w:val="340"/>
        </w:trPr>
        <w:tc>
          <w:tcPr>
            <w:tcW w:w="7371" w:type="dxa"/>
            <w:tcBorders>
              <w:top w:val="single" w:sz="2" w:space="0" w:color="auto"/>
              <w:bottom w:val="single" w:sz="8" w:space="0" w:color="auto"/>
            </w:tcBorders>
            <w:vAlign w:val="center"/>
          </w:tcPr>
          <w:p w14:paraId="34FE8368" w14:textId="77777777" w:rsidR="00107C53" w:rsidRPr="00A53EC8" w:rsidRDefault="00107C53" w:rsidP="00107C53">
            <w:pPr>
              <w:pStyle w:val="Zkladntext"/>
              <w:rPr>
                <w:rFonts w:ascii="Arial" w:hAnsi="Arial" w:cs="Arial"/>
                <w:sz w:val="16"/>
                <w:szCs w:val="16"/>
              </w:rPr>
            </w:pPr>
            <w:r w:rsidRPr="00A53EC8">
              <w:rPr>
                <w:rFonts w:ascii="Arial" w:hAnsi="Arial" w:cs="Arial"/>
                <w:sz w:val="16"/>
                <w:szCs w:val="16"/>
              </w:rPr>
              <w:t>Roční pojistné celkem</w:t>
            </w:r>
          </w:p>
        </w:tc>
        <w:tc>
          <w:tcPr>
            <w:tcW w:w="2397" w:type="dxa"/>
            <w:tcBorders>
              <w:top w:val="single" w:sz="2" w:space="0" w:color="auto"/>
              <w:bottom w:val="single" w:sz="8" w:space="0" w:color="auto"/>
            </w:tcBorders>
            <w:shd w:val="clear" w:color="auto" w:fill="F2F2F2" w:themeFill="background1" w:themeFillShade="F2"/>
            <w:vAlign w:val="center"/>
          </w:tcPr>
          <w:p w14:paraId="2303E98D" w14:textId="5A34208B" w:rsidR="00107C53" w:rsidRPr="00A53EC8" w:rsidRDefault="00BD1EE3" w:rsidP="00107C53">
            <w:pPr>
              <w:pStyle w:val="Zkladntext"/>
              <w:jc w:val="right"/>
              <w:rPr>
                <w:rFonts w:ascii="Arial" w:hAnsi="Arial" w:cs="Arial"/>
                <w:sz w:val="16"/>
                <w:szCs w:val="16"/>
              </w:rPr>
            </w:pPr>
            <w:r>
              <w:rPr>
                <w:rFonts w:ascii="Arial" w:hAnsi="Arial" w:cs="Arial"/>
                <w:sz w:val="16"/>
                <w:szCs w:val="16"/>
              </w:rPr>
              <w:t>101 103</w:t>
            </w:r>
            <w:r w:rsidR="00DF0778">
              <w:rPr>
                <w:rFonts w:ascii="Arial" w:hAnsi="Arial" w:cs="Arial"/>
                <w:sz w:val="16"/>
                <w:szCs w:val="16"/>
              </w:rPr>
              <w:t xml:space="preserve"> Kč</w:t>
            </w:r>
          </w:p>
        </w:tc>
      </w:tr>
      <w:tr w:rsidR="00107C53" w:rsidRPr="00A53EC8" w14:paraId="54E14456" w14:textId="77777777" w:rsidTr="0094351A">
        <w:trPr>
          <w:trHeight w:val="340"/>
        </w:trPr>
        <w:tc>
          <w:tcPr>
            <w:tcW w:w="7371" w:type="dxa"/>
            <w:tcBorders>
              <w:top w:val="single" w:sz="2" w:space="0" w:color="auto"/>
              <w:bottom w:val="single" w:sz="8" w:space="0" w:color="auto"/>
            </w:tcBorders>
            <w:vAlign w:val="center"/>
          </w:tcPr>
          <w:p w14:paraId="35C9A523" w14:textId="77777777" w:rsidR="00107C53" w:rsidRPr="00DD60AC" w:rsidRDefault="00107C53" w:rsidP="00107C53">
            <w:pPr>
              <w:pStyle w:val="Nzev"/>
              <w:ind w:left="709" w:hanging="709"/>
              <w:rPr>
                <w:rFonts w:cs="Arial"/>
              </w:rPr>
            </w:pPr>
            <w:r w:rsidRPr="00DD60AC">
              <w:rPr>
                <w:rFonts w:cs="Arial"/>
              </w:rPr>
              <w:t>Splatnost</w:t>
            </w:r>
          </w:p>
        </w:tc>
        <w:tc>
          <w:tcPr>
            <w:tcW w:w="2397" w:type="dxa"/>
            <w:tcBorders>
              <w:top w:val="single" w:sz="2" w:space="0" w:color="auto"/>
              <w:bottom w:val="single" w:sz="8" w:space="0" w:color="auto"/>
            </w:tcBorders>
            <w:shd w:val="clear" w:color="auto" w:fill="F2F2F2" w:themeFill="background1" w:themeFillShade="F2"/>
            <w:vAlign w:val="center"/>
          </w:tcPr>
          <w:p w14:paraId="13D10609" w14:textId="77777777" w:rsidR="00107C53" w:rsidRPr="00DD60AC" w:rsidRDefault="00C40EF4" w:rsidP="00C40EF4">
            <w:pPr>
              <w:pStyle w:val="Nzev"/>
              <w:ind w:left="709" w:hanging="709"/>
              <w:jc w:val="right"/>
              <w:rPr>
                <w:rFonts w:cs="Arial"/>
              </w:rPr>
            </w:pPr>
            <w:r>
              <w:rPr>
                <w:rFonts w:cs="Arial"/>
              </w:rPr>
              <w:t>roční</w:t>
            </w:r>
          </w:p>
        </w:tc>
      </w:tr>
      <w:tr w:rsidR="007473E8" w:rsidRPr="00A53EC8" w14:paraId="7A0DB348" w14:textId="77777777" w:rsidTr="004139DB">
        <w:trPr>
          <w:trHeight w:val="340"/>
        </w:trPr>
        <w:tc>
          <w:tcPr>
            <w:tcW w:w="7371" w:type="dxa"/>
            <w:tcBorders>
              <w:top w:val="single" w:sz="8" w:space="0" w:color="auto"/>
              <w:bottom w:val="single" w:sz="8" w:space="0" w:color="auto"/>
            </w:tcBorders>
            <w:vAlign w:val="center"/>
          </w:tcPr>
          <w:p w14:paraId="61077281" w14:textId="77777777" w:rsidR="007473E8" w:rsidRPr="00DD60AC" w:rsidRDefault="007473E8" w:rsidP="007473E8">
            <w:pPr>
              <w:pStyle w:val="Nzev"/>
              <w:ind w:left="709" w:hanging="709"/>
              <w:rPr>
                <w:rFonts w:cs="Arial"/>
              </w:rPr>
            </w:pPr>
            <w:r w:rsidRPr="00DD60AC">
              <w:rPr>
                <w:rFonts w:cs="Arial"/>
              </w:rPr>
              <w:t>Výše splátky</w:t>
            </w:r>
          </w:p>
        </w:tc>
        <w:tc>
          <w:tcPr>
            <w:tcW w:w="2397" w:type="dxa"/>
            <w:tcBorders>
              <w:top w:val="single" w:sz="8" w:space="0" w:color="auto"/>
              <w:bottom w:val="single" w:sz="8" w:space="0" w:color="auto"/>
            </w:tcBorders>
            <w:shd w:val="clear" w:color="auto" w:fill="F2F2F2" w:themeFill="background1" w:themeFillShade="F2"/>
            <w:vAlign w:val="center"/>
          </w:tcPr>
          <w:p w14:paraId="75C0A1D7" w14:textId="19299479" w:rsidR="007473E8" w:rsidRPr="00DD60AC" w:rsidRDefault="00BD1EE3" w:rsidP="007473E8">
            <w:pPr>
              <w:pStyle w:val="Nzev"/>
              <w:ind w:left="720"/>
              <w:jc w:val="right"/>
              <w:rPr>
                <w:rFonts w:cs="Arial"/>
              </w:rPr>
            </w:pPr>
            <w:r>
              <w:rPr>
                <w:rFonts w:cs="Arial"/>
              </w:rPr>
              <w:t>101 103</w:t>
            </w:r>
            <w:r w:rsidR="00DF0778">
              <w:rPr>
                <w:rFonts w:cs="Arial"/>
              </w:rPr>
              <w:t xml:space="preserve"> Kč</w:t>
            </w:r>
          </w:p>
        </w:tc>
      </w:tr>
      <w:tr w:rsidR="004139DB" w:rsidRPr="00A53EC8" w14:paraId="69E37D9A" w14:textId="77777777" w:rsidTr="006D7F28">
        <w:trPr>
          <w:trHeight w:val="340"/>
        </w:trPr>
        <w:tc>
          <w:tcPr>
            <w:tcW w:w="7371" w:type="dxa"/>
            <w:tcBorders>
              <w:top w:val="single" w:sz="8" w:space="0" w:color="auto"/>
              <w:bottom w:val="single" w:sz="8" w:space="0" w:color="C00000"/>
            </w:tcBorders>
            <w:vAlign w:val="center"/>
          </w:tcPr>
          <w:p w14:paraId="227A77AA" w14:textId="4682AB87" w:rsidR="004139DB" w:rsidRPr="00DD60AC" w:rsidRDefault="00E24B12" w:rsidP="007473E8">
            <w:pPr>
              <w:pStyle w:val="Nzev"/>
              <w:ind w:left="709" w:hanging="709"/>
              <w:rPr>
                <w:rFonts w:cs="Arial"/>
              </w:rPr>
            </w:pPr>
            <w:r>
              <w:rPr>
                <w:rFonts w:cs="Arial"/>
              </w:rPr>
              <w:t>Nespotřebované</w:t>
            </w:r>
            <w:r w:rsidR="004139DB">
              <w:rPr>
                <w:rFonts w:cs="Arial"/>
              </w:rPr>
              <w:t xml:space="preserve"> pojistné za období od </w:t>
            </w:r>
            <w:r>
              <w:rPr>
                <w:rFonts w:cs="Arial"/>
              </w:rPr>
              <w:t>19.11.2024 – 15.10.2025</w:t>
            </w:r>
          </w:p>
        </w:tc>
        <w:tc>
          <w:tcPr>
            <w:tcW w:w="2397" w:type="dxa"/>
            <w:tcBorders>
              <w:top w:val="single" w:sz="8" w:space="0" w:color="auto"/>
              <w:bottom w:val="single" w:sz="8" w:space="0" w:color="C00000"/>
            </w:tcBorders>
            <w:shd w:val="clear" w:color="auto" w:fill="F2F2F2" w:themeFill="background1" w:themeFillShade="F2"/>
            <w:vAlign w:val="center"/>
          </w:tcPr>
          <w:p w14:paraId="4F4D7738" w14:textId="4DCDFF56" w:rsidR="004139DB" w:rsidRDefault="00A408FB" w:rsidP="007473E8">
            <w:pPr>
              <w:pStyle w:val="Nzev"/>
              <w:ind w:left="720"/>
              <w:jc w:val="right"/>
              <w:rPr>
                <w:rFonts w:cs="Arial"/>
              </w:rPr>
            </w:pPr>
            <w:r>
              <w:rPr>
                <w:rFonts w:cs="Arial"/>
              </w:rPr>
              <w:t xml:space="preserve">56 </w:t>
            </w:r>
            <w:r w:rsidR="00A8275E">
              <w:rPr>
                <w:rFonts w:cs="Arial"/>
              </w:rPr>
              <w:t>061</w:t>
            </w:r>
            <w:r w:rsidR="00DD38D6">
              <w:rPr>
                <w:rFonts w:cs="Arial"/>
              </w:rPr>
              <w:t xml:space="preserve"> Kč</w:t>
            </w:r>
          </w:p>
        </w:tc>
      </w:tr>
    </w:tbl>
    <w:p w14:paraId="7AA3CCDC" w14:textId="77777777" w:rsidR="007B1FD7" w:rsidRPr="006553F5" w:rsidRDefault="007B1FD7" w:rsidP="008F71B2">
      <w:pPr>
        <w:pStyle w:val="GPodstavec"/>
        <w:numPr>
          <w:ilvl w:val="1"/>
          <w:numId w:val="3"/>
        </w:numPr>
        <w:ind w:left="709" w:hanging="709"/>
      </w:pPr>
      <w:r w:rsidRPr="006553F5">
        <w:t>Ujednává se, že pojistné bude hrazeno na účet pojišťovny</w:t>
      </w:r>
      <w:r w:rsidR="00644538">
        <w:t xml:space="preserve">. </w:t>
      </w:r>
      <w:r w:rsidR="00644538" w:rsidRPr="006553F5">
        <w:t xml:space="preserve">č. účtu </w:t>
      </w:r>
      <w:r w:rsidR="00644538" w:rsidRPr="00B827C9">
        <w:t>19-2766110237/0100</w:t>
      </w:r>
      <w:r w:rsidR="00644538" w:rsidRPr="006553F5">
        <w:t>, variabilní symbol je číslo této pojistné smlouvy, konstantní symbol 3558,v následujících termínech a částkách:</w:t>
      </w:r>
    </w:p>
    <w:p w14:paraId="78F70FED" w14:textId="640B345F" w:rsidR="008B7E85" w:rsidRDefault="008B7E85" w:rsidP="008B7E85">
      <w:pPr>
        <w:pStyle w:val="GPodstavec"/>
        <w:spacing w:after="120"/>
        <w:ind w:firstLine="709"/>
      </w:pPr>
      <w:r>
        <w:t xml:space="preserve">Pojistné za pojistný </w:t>
      </w:r>
      <w:r w:rsidRPr="008C18F5">
        <w:t xml:space="preserve">rok činí </w:t>
      </w:r>
      <w:r w:rsidR="00A8275E">
        <w:rPr>
          <w:b/>
        </w:rPr>
        <w:t>101 103</w:t>
      </w:r>
      <w:r w:rsidRPr="008C18F5">
        <w:rPr>
          <w:b/>
        </w:rPr>
        <w:t xml:space="preserve"> Kč</w:t>
      </w:r>
      <w:r w:rsidRPr="008C18F5">
        <w:t xml:space="preserve"> a</w:t>
      </w:r>
      <w:r>
        <w:t xml:space="preserve"> bude placeno vždy k </w:t>
      </w:r>
      <w:r w:rsidR="00E55FEA">
        <w:t>15</w:t>
      </w:r>
      <w:r w:rsidR="00DF0778">
        <w:t>.10.</w:t>
      </w:r>
      <w:r>
        <w:t xml:space="preserve"> každého roku.</w:t>
      </w:r>
    </w:p>
    <w:p w14:paraId="67CA8D20" w14:textId="46B1BC2E" w:rsidR="004139DB" w:rsidRDefault="00E24B12" w:rsidP="00DD38D6">
      <w:pPr>
        <w:pStyle w:val="GPodstavec"/>
        <w:spacing w:after="120"/>
        <w:ind w:left="709"/>
      </w:pPr>
      <w:r>
        <w:t>Nespotřebované</w:t>
      </w:r>
      <w:r w:rsidR="004139DB">
        <w:t xml:space="preserve"> pojistné za období od </w:t>
      </w:r>
      <w:r>
        <w:t>19.11.2024</w:t>
      </w:r>
      <w:r w:rsidR="004139DB">
        <w:t xml:space="preserve"> – 15.10.202</w:t>
      </w:r>
      <w:r>
        <w:t>5</w:t>
      </w:r>
      <w:r w:rsidR="004139DB">
        <w:t xml:space="preserve"> ve výši </w:t>
      </w:r>
      <w:r w:rsidR="00A408FB">
        <w:t xml:space="preserve">56 </w:t>
      </w:r>
      <w:r w:rsidR="00A8275E">
        <w:t>061</w:t>
      </w:r>
      <w:r w:rsidR="00DD38D6">
        <w:t xml:space="preserve"> Kč </w:t>
      </w:r>
      <w:r>
        <w:t xml:space="preserve">bude vráceno na účet pojistníka, nejpozději však do 30 ti dnů od vrácení podepsaného dodatku zpět do pojišťovny. </w:t>
      </w:r>
    </w:p>
    <w:p w14:paraId="3E2AB011" w14:textId="77777777" w:rsidR="003C4960" w:rsidRDefault="003C4960" w:rsidP="008F71B2">
      <w:pPr>
        <w:pStyle w:val="GPodstavec"/>
        <w:numPr>
          <w:ilvl w:val="1"/>
          <w:numId w:val="3"/>
        </w:numPr>
        <w:ind w:left="709" w:hanging="709"/>
      </w:pPr>
      <w:r w:rsidRPr="003C4960">
        <w:t xml:space="preserve">Pojistné se považuje za uhrazené dnem připsání na účet </w:t>
      </w:r>
      <w:r w:rsidR="00644538">
        <w:t xml:space="preserve">pojišťovny. </w:t>
      </w:r>
      <w:r w:rsidRPr="003C4960">
        <w:t xml:space="preserve"> </w:t>
      </w:r>
    </w:p>
    <w:p w14:paraId="06B15EA3" w14:textId="77777777" w:rsidR="003C4960" w:rsidRDefault="003C4960" w:rsidP="008F71B2">
      <w:pPr>
        <w:pStyle w:val="GPodstavec"/>
        <w:numPr>
          <w:ilvl w:val="1"/>
          <w:numId w:val="3"/>
        </w:numPr>
        <w:ind w:left="709" w:hanging="709"/>
      </w:pPr>
      <w:r w:rsidRPr="003C4960">
        <w:t>Dlužné pojistné má pojistník povinnost hradit na účet pojišťovny uvedený v upomínce.</w:t>
      </w:r>
    </w:p>
    <w:p w14:paraId="5D883A40" w14:textId="77777777" w:rsidR="003C4960" w:rsidRDefault="003C4960" w:rsidP="008F71B2">
      <w:pPr>
        <w:pStyle w:val="GPodstavec"/>
        <w:numPr>
          <w:ilvl w:val="1"/>
          <w:numId w:val="3"/>
        </w:numPr>
        <w:ind w:left="709" w:hanging="709"/>
      </w:pPr>
      <w:r w:rsidRPr="003C4960">
        <w:t>Ujednává se, že nad rámec sjednaného pojistného nebudou účtovány poplatky za služby související</w:t>
      </w:r>
      <w:r w:rsidRPr="003C4960">
        <w:br/>
        <w:t>se sjednaným pojištěním.</w:t>
      </w:r>
    </w:p>
    <w:p w14:paraId="4E2F9B71" w14:textId="77777777" w:rsidR="00E45C79" w:rsidRPr="008F71B2" w:rsidRDefault="00D96106" w:rsidP="008F71B2">
      <w:pPr>
        <w:pStyle w:val="GPodstavec"/>
        <w:numPr>
          <w:ilvl w:val="1"/>
          <w:numId w:val="3"/>
        </w:numPr>
        <w:ind w:left="709" w:hanging="709"/>
        <w:rPr>
          <w:color w:val="auto"/>
        </w:rPr>
      </w:pPr>
      <w:r w:rsidRPr="008F71B2">
        <w:rPr>
          <w:color w:val="auto"/>
        </w:rPr>
        <w:t xml:space="preserve">Pojištění se sjednává jako </w:t>
      </w:r>
      <w:r w:rsidR="00DF0778">
        <w:rPr>
          <w:color w:val="auto"/>
        </w:rPr>
        <w:t>běžné.</w:t>
      </w:r>
    </w:p>
    <w:p w14:paraId="136B1100" w14:textId="77777777" w:rsidR="004F5DCE" w:rsidRPr="00245A36" w:rsidRDefault="004F5DCE" w:rsidP="004F5DCE">
      <w:pPr>
        <w:widowControl/>
        <w:numPr>
          <w:ilvl w:val="0"/>
          <w:numId w:val="3"/>
        </w:numPr>
        <w:spacing w:before="480" w:after="240" w:line="240" w:lineRule="auto"/>
        <w:ind w:left="709" w:hanging="709"/>
        <w:contextualSpacing w:val="0"/>
        <w:rPr>
          <w:rFonts w:cs="Arial"/>
          <w:b/>
          <w:color w:val="auto"/>
          <w:sz w:val="22"/>
          <w:szCs w:val="22"/>
        </w:rPr>
      </w:pPr>
      <w:r w:rsidRPr="00245A36">
        <w:rPr>
          <w:rFonts w:cs="Arial"/>
          <w:b/>
          <w:color w:val="auto"/>
          <w:sz w:val="22"/>
          <w:szCs w:val="22"/>
        </w:rPr>
        <w:t>Specifická ujednání</w:t>
      </w:r>
    </w:p>
    <w:p w14:paraId="0D77E367" w14:textId="77777777" w:rsidR="004F5DCE" w:rsidRPr="00245A36" w:rsidRDefault="004F5DCE" w:rsidP="004F5DCE">
      <w:pPr>
        <w:pStyle w:val="GPodstavec"/>
        <w:numPr>
          <w:ilvl w:val="1"/>
          <w:numId w:val="3"/>
        </w:numPr>
        <w:ind w:left="709" w:hanging="709"/>
      </w:pPr>
      <w:r w:rsidRPr="00245A36">
        <w:rPr>
          <w:b/>
        </w:rPr>
        <w:t>Cizí věci užívané – automatické pojištění</w:t>
      </w:r>
      <w:r w:rsidRPr="00245A36">
        <w:br/>
        <w:t>Ujednává se, že pojištěné cizí věci, které pojištěný po právu užívá na základě písemných smluv, jsou v případě převodu do vlastnictví pojištěného automaticky pojištěny v rámci pojištěných souborů v rozsahu této pojistné smlouvy.</w:t>
      </w:r>
    </w:p>
    <w:p w14:paraId="4B5B94F3" w14:textId="1737FCC4" w:rsidR="00807F40" w:rsidRDefault="004F5DCE" w:rsidP="00807F40">
      <w:pPr>
        <w:pStyle w:val="GPodstavec"/>
        <w:numPr>
          <w:ilvl w:val="1"/>
          <w:numId w:val="3"/>
        </w:numPr>
        <w:ind w:left="709" w:hanging="709"/>
      </w:pPr>
      <w:r w:rsidRPr="004F5DCE">
        <w:rPr>
          <w:b/>
        </w:rPr>
        <w:t>Spoluúčast – pojistná událost na více předmětech pojištění</w:t>
      </w:r>
      <w:r w:rsidRPr="00365B5F">
        <w:br/>
        <w:t>Ujednává se, že v případě pojistné události nastalé z téže příčiny na více pojištěných předmětech (věcech), odečte pojišťovna pouze jednu spoluúčast, a to nejvyšší sjednanou, pokud není pro pojištěného výhodnější odečtení spoluúčastí z jednotlivých předmětů pojištění, jichž se pojistná událost týká. Toto se vztahuje také na případy, kdy pojistná událost nastala z téže příčiny na více místech pojištění.</w:t>
      </w:r>
    </w:p>
    <w:p w14:paraId="59E89A7B" w14:textId="4B7B5220" w:rsidR="00DD38D6" w:rsidRDefault="00DD38D6" w:rsidP="00DD38D6">
      <w:pPr>
        <w:pStyle w:val="GPodstavec"/>
      </w:pPr>
    </w:p>
    <w:p w14:paraId="550A6F9D" w14:textId="0C68B9A6" w:rsidR="00DD38D6" w:rsidRDefault="00DD38D6" w:rsidP="00DD38D6">
      <w:pPr>
        <w:pStyle w:val="GPodstavec"/>
      </w:pPr>
    </w:p>
    <w:p w14:paraId="28A6C017" w14:textId="77777777" w:rsidR="00DD38D6" w:rsidRPr="00365B5F" w:rsidRDefault="00DD38D6" w:rsidP="00DD38D6">
      <w:pPr>
        <w:pStyle w:val="GPodstavec"/>
      </w:pPr>
    </w:p>
    <w:p w14:paraId="136E0067" w14:textId="77777777" w:rsidR="00E45C79" w:rsidRPr="004658DF" w:rsidRDefault="00E45C79" w:rsidP="001F7555">
      <w:pPr>
        <w:widowControl/>
        <w:numPr>
          <w:ilvl w:val="0"/>
          <w:numId w:val="3"/>
        </w:numPr>
        <w:spacing w:before="480" w:after="240" w:line="240" w:lineRule="auto"/>
        <w:ind w:left="709" w:hanging="709"/>
        <w:contextualSpacing w:val="0"/>
        <w:rPr>
          <w:rFonts w:cs="Arial"/>
          <w:b/>
          <w:color w:val="auto"/>
          <w:sz w:val="22"/>
          <w:szCs w:val="22"/>
        </w:rPr>
      </w:pPr>
      <w:r w:rsidRPr="004658DF">
        <w:rPr>
          <w:rFonts w:cs="Arial"/>
          <w:b/>
          <w:color w:val="auto"/>
          <w:sz w:val="22"/>
          <w:szCs w:val="22"/>
        </w:rPr>
        <w:lastRenderedPageBreak/>
        <w:t xml:space="preserve">Závěrečná ustanovení </w:t>
      </w:r>
    </w:p>
    <w:p w14:paraId="7E1225E3" w14:textId="77777777" w:rsidR="00137D1E" w:rsidRPr="008B7E85" w:rsidRDefault="00137D1E" w:rsidP="00DE33D0">
      <w:pPr>
        <w:pStyle w:val="GPodstavec"/>
        <w:numPr>
          <w:ilvl w:val="1"/>
          <w:numId w:val="3"/>
        </w:numPr>
        <w:ind w:left="709" w:hanging="709"/>
      </w:pPr>
      <w:r w:rsidRPr="008B7E85">
        <w:t xml:space="preserve">Pojistník dále prohlašuje, že je seznámen a souhlasí se zmocněním a zproštěním mlčenlivosti </w:t>
      </w:r>
      <w:r w:rsidRPr="008B7E85">
        <w:br/>
        <w:t>dle článku 9 VPPMO-P. Na základě zmocnění uděluje pojistník souhlasy uvedené v tomto odstavci rovněž jménem všech pojištěných.</w:t>
      </w:r>
    </w:p>
    <w:p w14:paraId="194477B1" w14:textId="77777777" w:rsidR="00137D1E" w:rsidRDefault="00137D1E" w:rsidP="00DE33D0">
      <w:pPr>
        <w:pStyle w:val="GPodstavec"/>
        <w:numPr>
          <w:ilvl w:val="1"/>
          <w:numId w:val="3"/>
        </w:numPr>
        <w:ind w:left="709" w:hanging="709"/>
      </w:pPr>
      <w:r w:rsidRPr="00DD60AC">
        <w:t>Pojistník prohlašuje, že byl informován o zpracování jím sdělených osobních údajů a že podrobnosti týkající se osobních údajů jsou dostupné na www.generaliceska.cz v sekci Osobní údaje</w:t>
      </w:r>
      <w:r w:rsidR="007A10E7">
        <w:t xml:space="preserve"> </w:t>
      </w:r>
      <w:r w:rsidRPr="00DD60AC">
        <w:t>a dále v obchodních místech pojišťovny. Pojistník se zavazuje, že v tomto rozsahu informuje</w:t>
      </w:r>
      <w:r w:rsidR="007A10E7">
        <w:t xml:space="preserve"> </w:t>
      </w:r>
      <w:r w:rsidRPr="00DD60AC">
        <w:t>i po</w:t>
      </w:r>
      <w:r>
        <w:t xml:space="preserve"> </w:t>
      </w:r>
      <w:r w:rsidRPr="00DD60AC">
        <w:t>jištěné osoby. Dále se zavazuje, že pojišťovně bezodkladně oznámí případné změny osobních údajů.</w:t>
      </w:r>
    </w:p>
    <w:p w14:paraId="72B08F73" w14:textId="77777777" w:rsidR="00137D1E" w:rsidRDefault="00137D1E" w:rsidP="00DE33D0">
      <w:pPr>
        <w:pStyle w:val="GPodstavec"/>
        <w:numPr>
          <w:ilvl w:val="1"/>
          <w:numId w:val="3"/>
        </w:numPr>
        <w:ind w:left="709" w:hanging="709"/>
      </w:pPr>
      <w:r w:rsidRPr="00DD60AC">
        <w:t>Odpovědi pojistníka na dotazy pojišťovny a údaje jím uvedené u tohoto pojištění, se považují</w:t>
      </w:r>
      <w:r w:rsidR="007A10E7">
        <w:t xml:space="preserve"> </w:t>
      </w:r>
      <w:r w:rsidRPr="00DD60AC">
        <w:t>za odpovědi na otázky týkající se podstatných skutečností rozhodných pro ohodnocení pojistného rizika. Pojistník svým podpisem potvrzuje jejich úplnost a pravdivost.</w:t>
      </w:r>
    </w:p>
    <w:p w14:paraId="7A7C19EC" w14:textId="77777777" w:rsidR="00137D1E" w:rsidRDefault="00137D1E" w:rsidP="00DE33D0">
      <w:pPr>
        <w:pStyle w:val="GPodstavec"/>
        <w:numPr>
          <w:ilvl w:val="1"/>
          <w:numId w:val="3"/>
        </w:numPr>
        <w:ind w:left="709" w:hanging="709"/>
      </w:pPr>
      <w:r w:rsidRPr="00DD60AC">
        <w:t>Pojistník tímto prohlašuje, že se s uvedenými pojistnými podmínkami seznámil a podpisem této smlouvy je přijímá.</w:t>
      </w:r>
    </w:p>
    <w:p w14:paraId="05FB695A" w14:textId="77777777" w:rsidR="00137D1E" w:rsidRDefault="00137D1E" w:rsidP="00DE33D0">
      <w:pPr>
        <w:pStyle w:val="GPodstavec"/>
        <w:numPr>
          <w:ilvl w:val="1"/>
          <w:numId w:val="3"/>
        </w:numPr>
        <w:ind w:left="709" w:hanging="709"/>
      </w:pPr>
      <w:r w:rsidRPr="008B7E85">
        <w:t>Pojistník prohlašuje, že seznámí pojištěného s obsahem této pojistné smlouvy včetně uvedených pojistných podmínek dle bodu 1.2.</w:t>
      </w:r>
      <w:r w:rsidR="007A10E7" w:rsidRPr="008B7E85">
        <w:t xml:space="preserve"> této pojistné</w:t>
      </w:r>
      <w:r w:rsidR="007A10E7">
        <w:t xml:space="preserve"> smlouvy.</w:t>
      </w:r>
    </w:p>
    <w:p w14:paraId="1905437E" w14:textId="77777777" w:rsidR="00137D1E" w:rsidRDefault="00137D1E" w:rsidP="00DE33D0">
      <w:pPr>
        <w:pStyle w:val="GPodstavec"/>
        <w:numPr>
          <w:ilvl w:val="1"/>
          <w:numId w:val="3"/>
        </w:numPr>
        <w:ind w:left="709" w:hanging="709"/>
      </w:pPr>
      <w:r w:rsidRPr="00DD60AC">
        <w:t>Stížnosti pojistníků, pojištěných a oprávněných osob se doručují na adresu pojišťovny Generali Česká pojišťovna a.s., P. O. BOX 305, 601 00 Brno a vyřizují se písemnou formou, pokud se pojistník, pojištěný, oprávněné osoby a pojišťovna nedohodnou jinak. Se stížností se uvedené osoby mohou obrátit i na Českou národní banku, Na Příkopě 28, 115 03 Praha 1, která je orgánem dohledu</w:t>
      </w:r>
      <w:r w:rsidRPr="00DD60AC">
        <w:br/>
        <w:t>nad pojišťovnictvím.</w:t>
      </w:r>
    </w:p>
    <w:p w14:paraId="73EC3A05" w14:textId="2A27D97B" w:rsidR="00E24B12" w:rsidRPr="00E24B12" w:rsidRDefault="00E24B12" w:rsidP="00E24B12">
      <w:pPr>
        <w:pStyle w:val="GPodstavec"/>
        <w:numPr>
          <w:ilvl w:val="1"/>
          <w:numId w:val="3"/>
        </w:numPr>
        <w:ind w:left="709" w:hanging="709"/>
      </w:pPr>
      <w:r w:rsidRPr="00E24B12">
        <w:t>Smluvní strany se dohodly, že pokud tato smlouva podléhá povinnosti uveřejnění podle zákona</w:t>
      </w:r>
      <w:r w:rsidRPr="00E24B12">
        <w:br/>
        <w:t>č. 340/2015 Sb., o zvláštních podmínkách účinnosti některých smluv, uveřejňování těchto smluv</w:t>
      </w:r>
      <w:r w:rsidRPr="00E24B12">
        <w:br/>
        <w:t>a o registru smluv (zákon o registru smluv), je tuto smlouvu (vč. všech jejich dodatků) povinen uveřejnit pojistník, a to ve lhůtě a způsobem stanoveným tímto zákonem. Pojistník je povinen bezodkladně informovat pojišťovnu o zaslání smlouvy správci registru smluv zprávou do datové schránky. Pojistník je povinen zajistit, aby byly ve zveřejňovaném znění smlouvy skryty veškeré informace, které se dle zákona č. 106/1999 Sb., o svobodném přístupu k informacím nezveřejňují (především se jedná o osobní údaje a obchodní tajemství pojišťovny, při-čemž za obchodní tajemství pojišťovna považuje zejména údaje o pojistných částkách; o zabezpečení majetku; o bonifikaci za škodní průběh; o obratu klienta, ze kterého je stanovena výše pojistného; o sjednaných limitech/sublimitech plnění a výši spoluúčasti; o sazbách pojistného; o malusu/ bonusu. Nezajistí-li pojistník uveřejnění této smlouvy (vč. všech jejich dodatků) podle předchozího odstavce ani ve lhůtě 30 dní ode dne jejího uzavření, je oprávněna tuto smlouvu (vč. všech jejich dodatků) uveřejnit pojišťovna. V takovém případě pojistník výslovně souhlasí s uveřejněním této smlouvy (vč. všech jejich dodatků) v registru smluv.</w:t>
      </w:r>
      <w:r w:rsidRPr="00E24B12">
        <w:br/>
        <w:t>Je-li pojistník osobou odlišnou od pojištěného, pojistník potvrzuje, že pojištěný dal výslovný souhlas</w:t>
      </w:r>
      <w:r w:rsidRPr="00E24B12">
        <w:br/>
        <w:t>s uveřejněním této smlouvy (vč. všech jejich dodatků) v registru smluv. Uveřejnění nepředstavuje porušení povinnosti mlčenlivosti pojišťovny.</w:t>
      </w:r>
    </w:p>
    <w:p w14:paraId="79FAE92D" w14:textId="77777777" w:rsidR="00137D1E" w:rsidRDefault="00137D1E" w:rsidP="00DE33D0">
      <w:pPr>
        <w:pStyle w:val="GPodstavec"/>
        <w:numPr>
          <w:ilvl w:val="1"/>
          <w:numId w:val="3"/>
        </w:numPr>
        <w:ind w:left="709" w:hanging="709"/>
      </w:pPr>
      <w:r w:rsidRPr="00DD60AC">
        <w:t xml:space="preserve">V případě sporu z tohoto pojištění mají spotřebitelé možnost řešit spor mimosoudně před Českou obchodní inspekcí </w:t>
      </w:r>
      <w:r w:rsidR="00A8275E">
        <w:fldChar w:fldCharType="begin"/>
      </w:r>
      <w:r w:rsidR="00A8275E">
        <w:instrText>HYPERLINK "http://www.coi.cz"</w:instrText>
      </w:r>
      <w:r w:rsidR="00A8275E">
        <w:fldChar w:fldCharType="separate"/>
      </w:r>
      <w:r w:rsidRPr="00DE33D0">
        <w:t>www.coi.cz</w:t>
      </w:r>
      <w:r w:rsidR="00A8275E">
        <w:fldChar w:fldCharType="end"/>
      </w:r>
      <w:r w:rsidR="00D20CC8">
        <w:t>.</w:t>
      </w:r>
    </w:p>
    <w:p w14:paraId="29D04A3A" w14:textId="77777777" w:rsidR="00137D1E" w:rsidRDefault="00137D1E" w:rsidP="00DE33D0">
      <w:pPr>
        <w:pStyle w:val="GPodstavec"/>
        <w:numPr>
          <w:ilvl w:val="1"/>
          <w:numId w:val="3"/>
        </w:numPr>
        <w:ind w:left="709" w:hanging="709"/>
      </w:pPr>
      <w:r w:rsidRPr="00DD60AC">
        <w:t xml:space="preserve">Pojistník prohlašuje a svým podpisem stvrzuje, že se seznámil s informacemi o pojištění a převzal tyto dokumenty: </w:t>
      </w:r>
    </w:p>
    <w:p w14:paraId="36BC55AF" w14:textId="77777777" w:rsidR="00137D1E" w:rsidRDefault="00137D1E" w:rsidP="00137D1E">
      <w:pPr>
        <w:pStyle w:val="GPseznambody"/>
      </w:pPr>
      <w:r w:rsidRPr="00D1248D">
        <w:t xml:space="preserve">pojistné podmínky dle </w:t>
      </w:r>
      <w:r w:rsidRPr="00B918A5">
        <w:t>bodu 1.</w:t>
      </w:r>
      <w:r w:rsidR="00DE33D0" w:rsidRPr="00B918A5">
        <w:t>2</w:t>
      </w:r>
      <w:r w:rsidRPr="00B918A5">
        <w:t>.</w:t>
      </w:r>
      <w:r w:rsidR="00302A67" w:rsidRPr="00B918A5">
        <w:t xml:space="preserve"> </w:t>
      </w:r>
      <w:r w:rsidRPr="00B918A5">
        <w:t>pojistné smlouvy</w:t>
      </w:r>
      <w:r w:rsidRPr="00D1248D">
        <w:t>,</w:t>
      </w:r>
    </w:p>
    <w:p w14:paraId="722FE068" w14:textId="77777777" w:rsidR="006A4DB1" w:rsidRDefault="006A4DB1" w:rsidP="00137D1E">
      <w:pPr>
        <w:pStyle w:val="GPseznambody"/>
      </w:pPr>
      <w:r>
        <w:t>informační dokument o pojistném produktu</w:t>
      </w:r>
    </w:p>
    <w:p w14:paraId="31C0DAB6" w14:textId="77777777" w:rsidR="00137D1E" w:rsidRDefault="00137D1E" w:rsidP="003E3A9C">
      <w:pPr>
        <w:pStyle w:val="Odstavecseseznamem"/>
        <w:widowControl/>
        <w:numPr>
          <w:ilvl w:val="0"/>
          <w:numId w:val="12"/>
        </w:numPr>
        <w:autoSpaceDE w:val="0"/>
        <w:autoSpaceDN w:val="0"/>
        <w:adjustRightInd w:val="0"/>
        <w:spacing w:before="0" w:after="0" w:line="240" w:lineRule="auto"/>
        <w:ind w:left="1134" w:hanging="425"/>
        <w:contextualSpacing w:val="0"/>
        <w:rPr>
          <w:rFonts w:cs="Arial"/>
          <w:sz w:val="20"/>
          <w:szCs w:val="20"/>
        </w:rPr>
      </w:pPr>
      <w:r w:rsidRPr="00D1248D">
        <w:rPr>
          <w:rFonts w:cs="Arial"/>
          <w:sz w:val="20"/>
          <w:szCs w:val="20"/>
        </w:rPr>
        <w:t>stručn</w:t>
      </w:r>
      <w:r>
        <w:rPr>
          <w:rFonts w:cs="Arial"/>
          <w:sz w:val="20"/>
          <w:szCs w:val="20"/>
        </w:rPr>
        <w:t>ou</w:t>
      </w:r>
      <w:r w:rsidRPr="00D1248D">
        <w:rPr>
          <w:rFonts w:cs="Arial"/>
          <w:sz w:val="20"/>
          <w:szCs w:val="20"/>
        </w:rPr>
        <w:t xml:space="preserve"> informac</w:t>
      </w:r>
      <w:r>
        <w:rPr>
          <w:rFonts w:cs="Arial"/>
          <w:sz w:val="20"/>
          <w:szCs w:val="20"/>
        </w:rPr>
        <w:t>i</w:t>
      </w:r>
      <w:r w:rsidRPr="00D1248D">
        <w:rPr>
          <w:rFonts w:cs="Arial"/>
          <w:sz w:val="20"/>
          <w:szCs w:val="20"/>
        </w:rPr>
        <w:t xml:space="preserve"> o zpracování osobních údajů.</w:t>
      </w:r>
    </w:p>
    <w:p w14:paraId="4E93455E" w14:textId="77777777" w:rsidR="00240848" w:rsidRDefault="000653E7" w:rsidP="00240848">
      <w:pPr>
        <w:pStyle w:val="GPseznambody"/>
      </w:pPr>
      <w:r>
        <w:t>předsmluvní informace.</w:t>
      </w:r>
    </w:p>
    <w:p w14:paraId="7B194A36" w14:textId="77777777" w:rsidR="003B656F" w:rsidRPr="004E304A" w:rsidRDefault="003B656F" w:rsidP="003B656F">
      <w:pPr>
        <w:pStyle w:val="GPseznambody"/>
        <w:numPr>
          <w:ilvl w:val="0"/>
          <w:numId w:val="0"/>
        </w:numPr>
        <w:ind w:left="709"/>
      </w:pPr>
    </w:p>
    <w:p w14:paraId="48E46C20" w14:textId="70ACC9CD" w:rsidR="003B656F" w:rsidRPr="00A4387B" w:rsidRDefault="003B656F" w:rsidP="003B656F">
      <w:pPr>
        <w:pStyle w:val="Text11"/>
        <w:keepLines/>
        <w:numPr>
          <w:ilvl w:val="1"/>
          <w:numId w:val="3"/>
        </w:numPr>
        <w:ind w:left="709" w:hanging="709"/>
        <w:jc w:val="left"/>
        <w:rPr>
          <w:rFonts w:cs="Arial"/>
          <w:sz w:val="20"/>
        </w:rPr>
      </w:pPr>
      <w:r>
        <w:rPr>
          <w:rFonts w:cs="Arial"/>
          <w:sz w:val="20"/>
        </w:rPr>
        <w:lastRenderedPageBreak/>
        <w:t>D</w:t>
      </w:r>
      <w:r w:rsidRPr="00A4387B">
        <w:rPr>
          <w:rFonts w:cs="Arial"/>
          <w:sz w:val="20"/>
        </w:rPr>
        <w:t xml:space="preserve">odatek k pojistné smlouvě je vystavena v elektronické podobě v </w:t>
      </w:r>
      <w:proofErr w:type="spellStart"/>
      <w:r w:rsidRPr="00A4387B">
        <w:rPr>
          <w:rFonts w:cs="Arial"/>
          <w:sz w:val="20"/>
        </w:rPr>
        <w:t>pdf</w:t>
      </w:r>
      <w:proofErr w:type="spellEnd"/>
      <w:r w:rsidRPr="00A4387B">
        <w:rPr>
          <w:rFonts w:cs="Arial"/>
          <w:sz w:val="20"/>
        </w:rPr>
        <w:t xml:space="preserve"> formátu, podepsaná nejdříve pojišťovnou a následně pojistníkem zaručeným elektronickým podpisem.</w:t>
      </w:r>
      <w:r w:rsidRPr="00A4387B">
        <w:rPr>
          <w:rFonts w:cs="Arial"/>
          <w:sz w:val="20"/>
        </w:rPr>
        <w:br/>
        <w:t xml:space="preserve">Pojistník po svém podpisu odešle pojišťovně pojistnou smlouvu podepsanou všemi smluvními stranami e-mailem, případně prostřednictvím pojišťovacího zprostředkovatele, na adresu </w:t>
      </w:r>
      <w:proofErr w:type="spellStart"/>
      <w:r w:rsidR="008E1B48">
        <w:rPr>
          <w:rFonts w:cs="Arial"/>
          <w:sz w:val="20"/>
        </w:rPr>
        <w:t>xxx</w:t>
      </w:r>
      <w:proofErr w:type="spellEnd"/>
      <w:r w:rsidRPr="00A4387B">
        <w:rPr>
          <w:rFonts w:cs="Arial"/>
          <w:sz w:val="20"/>
        </w:rPr>
        <w:t xml:space="preserve"> upisovatele.</w:t>
      </w:r>
    </w:p>
    <w:p w14:paraId="5B97499B" w14:textId="77777777" w:rsidR="00137D1E" w:rsidRPr="003B656F" w:rsidRDefault="00137D1E" w:rsidP="00DE33D0">
      <w:pPr>
        <w:pStyle w:val="GPodstavec"/>
        <w:numPr>
          <w:ilvl w:val="1"/>
          <w:numId w:val="3"/>
        </w:numPr>
        <w:ind w:left="709" w:hanging="709"/>
        <w:rPr>
          <w:lang w:val="cs-CZ"/>
        </w:rPr>
      </w:pPr>
      <w:r w:rsidRPr="003B656F">
        <w:rPr>
          <w:lang w:val="cs-CZ"/>
        </w:rPr>
        <w:t>Pojistník souhlasí s tím, aby poji</w:t>
      </w:r>
      <w:r w:rsidR="006A4DB1" w:rsidRPr="003B656F">
        <w:rPr>
          <w:lang w:val="cs-CZ"/>
        </w:rPr>
        <w:t xml:space="preserve">šťovna </w:t>
      </w:r>
      <w:r w:rsidRPr="003B656F">
        <w:rPr>
          <w:lang w:val="cs-CZ"/>
        </w:rPr>
        <w:t>použil</w:t>
      </w:r>
      <w:r w:rsidR="006A4DB1" w:rsidRPr="003B656F">
        <w:rPr>
          <w:lang w:val="cs-CZ"/>
        </w:rPr>
        <w:t>a</w:t>
      </w:r>
      <w:r w:rsidRPr="003B656F">
        <w:rPr>
          <w:lang w:val="cs-CZ"/>
        </w:rPr>
        <w:t xml:space="preserve"> informace uvedené v této pojistné smlouvě pro svou referenční listinu. </w:t>
      </w:r>
    </w:p>
    <w:p w14:paraId="55EF9B52" w14:textId="77777777" w:rsidR="00137D1E" w:rsidRPr="008E1B48" w:rsidRDefault="00137D1E" w:rsidP="00DE33D0">
      <w:pPr>
        <w:pStyle w:val="GPodstavec"/>
        <w:numPr>
          <w:ilvl w:val="1"/>
          <w:numId w:val="3"/>
        </w:numPr>
        <w:ind w:left="709" w:hanging="709"/>
        <w:rPr>
          <w:lang w:val="cs-CZ"/>
        </w:rPr>
      </w:pPr>
      <w:r w:rsidRPr="008E1B48">
        <w:rPr>
          <w:lang w:val="cs-CZ"/>
        </w:rPr>
        <w:t>Tato pojistná smlouva může být měněna, doplňována nebo upřesňována pouze oboustranně odsouhlasenými, písemnými a očíslovanými dodatky.</w:t>
      </w:r>
    </w:p>
    <w:p w14:paraId="64268BBA" w14:textId="77777777" w:rsidR="00137D1E" w:rsidRPr="008E1B48" w:rsidRDefault="00137D1E" w:rsidP="00DE33D0">
      <w:pPr>
        <w:pStyle w:val="GPodstavec"/>
        <w:numPr>
          <w:ilvl w:val="1"/>
          <w:numId w:val="3"/>
        </w:numPr>
        <w:ind w:left="709" w:hanging="709"/>
        <w:rPr>
          <w:lang w:val="cs-CZ"/>
        </w:rPr>
      </w:pPr>
      <w:r w:rsidRPr="008E1B48">
        <w:rPr>
          <w:lang w:val="cs-CZ"/>
        </w:rPr>
        <w:t>Všechny smluvní strany prohlašují, že si pojistnou smlouvu před jejím podpisem přečetly, že byla uzavřena po vzájemném projednání podle jejich vůle, určitě a srozumitelně, že nebyla uzavřena v tísni</w:t>
      </w:r>
      <w:r w:rsidRPr="008E1B48">
        <w:rPr>
          <w:lang w:val="cs-CZ"/>
        </w:rPr>
        <w:br/>
        <w:t xml:space="preserve">ani za jinak jednostranně nevýhodných podmínek. </w:t>
      </w:r>
    </w:p>
    <w:p w14:paraId="6C5F1866" w14:textId="77777777" w:rsidR="00DD38D6" w:rsidRPr="008E1B48" w:rsidRDefault="00DD38D6" w:rsidP="00240848">
      <w:pPr>
        <w:spacing w:after="120"/>
        <w:contextualSpacing w:val="0"/>
        <w:rPr>
          <w:rFonts w:cs="Arial"/>
          <w:b/>
          <w:color w:val="auto"/>
          <w:sz w:val="22"/>
          <w:szCs w:val="22"/>
          <w:lang w:val="cs-CZ"/>
        </w:rPr>
      </w:pPr>
    </w:p>
    <w:p w14:paraId="53E8FBA8" w14:textId="77777777" w:rsidR="00240848" w:rsidRPr="00240848" w:rsidRDefault="00240848" w:rsidP="00240848">
      <w:pPr>
        <w:spacing w:after="120"/>
        <w:contextualSpacing w:val="0"/>
        <w:rPr>
          <w:rFonts w:cs="Arial"/>
          <w:b/>
          <w:color w:val="auto"/>
          <w:sz w:val="22"/>
          <w:szCs w:val="22"/>
        </w:rPr>
      </w:pPr>
      <w:r w:rsidRPr="00240848">
        <w:rPr>
          <w:rFonts w:cs="Arial"/>
          <w:b/>
          <w:color w:val="auto"/>
          <w:sz w:val="22"/>
          <w:szCs w:val="22"/>
        </w:rPr>
        <w:t>Přílohy pojistné smlouvy:</w:t>
      </w:r>
    </w:p>
    <w:p w14:paraId="417A8CDA" w14:textId="77777777" w:rsidR="00E45C79" w:rsidRPr="00C848C8" w:rsidRDefault="00E45C79" w:rsidP="00B918A5">
      <w:pPr>
        <w:pStyle w:val="Odstavecseseznamem"/>
        <w:widowControl/>
        <w:numPr>
          <w:ilvl w:val="0"/>
          <w:numId w:val="8"/>
        </w:numPr>
        <w:tabs>
          <w:tab w:val="clear" w:pos="907"/>
        </w:tabs>
        <w:autoSpaceDE w:val="0"/>
        <w:autoSpaceDN w:val="0"/>
        <w:adjustRightInd w:val="0"/>
        <w:spacing w:before="0" w:after="0" w:line="240" w:lineRule="auto"/>
        <w:ind w:left="1134" w:hanging="425"/>
        <w:contextualSpacing w:val="0"/>
        <w:rPr>
          <w:rFonts w:cs="Arial"/>
          <w:color w:val="auto"/>
          <w:sz w:val="20"/>
          <w:szCs w:val="20"/>
        </w:rPr>
      </w:pPr>
      <w:r w:rsidRPr="00C848C8">
        <w:rPr>
          <w:rFonts w:cs="Arial"/>
          <w:color w:val="auto"/>
          <w:sz w:val="20"/>
          <w:szCs w:val="20"/>
        </w:rPr>
        <w:t xml:space="preserve">Příloha č. </w:t>
      </w:r>
      <w:r w:rsidR="00C848C8" w:rsidRPr="00C848C8">
        <w:rPr>
          <w:rFonts w:cs="Arial"/>
          <w:color w:val="auto"/>
          <w:sz w:val="20"/>
          <w:szCs w:val="20"/>
        </w:rPr>
        <w:t>1</w:t>
      </w:r>
      <w:r w:rsidR="00036506">
        <w:rPr>
          <w:rFonts w:cs="Arial"/>
          <w:color w:val="auto"/>
          <w:sz w:val="20"/>
          <w:szCs w:val="20"/>
        </w:rPr>
        <w:t xml:space="preserve"> seznam elektroniky</w:t>
      </w:r>
    </w:p>
    <w:p w14:paraId="4C4470E8" w14:textId="77777777" w:rsidR="00107C53" w:rsidRDefault="00107C53" w:rsidP="00107C53">
      <w:pPr>
        <w:tabs>
          <w:tab w:val="left" w:pos="5103"/>
        </w:tabs>
        <w:spacing w:before="0" w:after="0" w:line="240" w:lineRule="auto"/>
        <w:contextualSpacing w:val="0"/>
        <w:rPr>
          <w:rFonts w:cs="Arial"/>
          <w:color w:val="auto"/>
          <w:sz w:val="20"/>
          <w:szCs w:val="20"/>
        </w:rPr>
      </w:pPr>
    </w:p>
    <w:p w14:paraId="78AC42F4" w14:textId="77777777" w:rsidR="00107C53" w:rsidRPr="00B537E1" w:rsidRDefault="00107C53" w:rsidP="00107C53">
      <w:pPr>
        <w:tabs>
          <w:tab w:val="left" w:pos="5103"/>
        </w:tabs>
        <w:spacing w:before="0" w:after="0" w:line="240" w:lineRule="auto"/>
        <w:contextualSpacing w:val="0"/>
        <w:rPr>
          <w:rFonts w:cs="Arial"/>
          <w:color w:val="auto"/>
          <w:sz w:val="20"/>
          <w:szCs w:val="20"/>
        </w:rPr>
      </w:pPr>
    </w:p>
    <w:p w14:paraId="03918035" w14:textId="1FA1E30E" w:rsidR="00B918A5" w:rsidRPr="00B537E1" w:rsidRDefault="00B918A5" w:rsidP="00B918A5">
      <w:pPr>
        <w:rPr>
          <w:rFonts w:cs="Arial"/>
          <w:color w:val="auto"/>
          <w:sz w:val="20"/>
          <w:szCs w:val="20"/>
        </w:rPr>
      </w:pPr>
      <w:r w:rsidRPr="00DD48A2">
        <w:rPr>
          <w:rFonts w:cs="Arial"/>
          <w:color w:val="auto"/>
          <w:sz w:val="20"/>
          <w:szCs w:val="20"/>
        </w:rPr>
        <w:t>V Praze</w:t>
      </w:r>
      <w:r w:rsidRPr="00B537E1">
        <w:rPr>
          <w:rFonts w:cs="Arial"/>
          <w:color w:val="auto"/>
          <w:sz w:val="20"/>
          <w:szCs w:val="20"/>
        </w:rPr>
        <w:tab/>
      </w:r>
      <w:r w:rsidRPr="00B537E1">
        <w:rPr>
          <w:rFonts w:cs="Arial"/>
          <w:color w:val="auto"/>
          <w:sz w:val="20"/>
          <w:szCs w:val="20"/>
        </w:rPr>
        <w:tab/>
        <w:t xml:space="preserve"> </w:t>
      </w:r>
      <w:r w:rsidRPr="00B537E1">
        <w:rPr>
          <w:rFonts w:cs="Arial"/>
          <w:color w:val="auto"/>
          <w:sz w:val="20"/>
          <w:szCs w:val="20"/>
        </w:rPr>
        <w:tab/>
      </w:r>
    </w:p>
    <w:p w14:paraId="7FF02494" w14:textId="77777777" w:rsidR="00B918A5" w:rsidRPr="00B537E1" w:rsidRDefault="00B918A5" w:rsidP="00B918A5">
      <w:pPr>
        <w:tabs>
          <w:tab w:val="left" w:pos="5103"/>
        </w:tabs>
        <w:rPr>
          <w:rFonts w:cs="Arial"/>
          <w:color w:val="auto"/>
          <w:sz w:val="20"/>
          <w:szCs w:val="20"/>
        </w:rPr>
      </w:pPr>
      <w:r w:rsidRPr="00B537E1">
        <w:rPr>
          <w:rFonts w:cs="Arial"/>
          <w:color w:val="auto"/>
          <w:sz w:val="20"/>
          <w:szCs w:val="20"/>
        </w:rPr>
        <w:t>za pojišťovnu</w:t>
      </w:r>
      <w:r>
        <w:rPr>
          <w:rFonts w:cs="Arial"/>
          <w:color w:val="auto"/>
          <w:sz w:val="20"/>
          <w:szCs w:val="20"/>
        </w:rPr>
        <w:tab/>
      </w:r>
      <w:r w:rsidRPr="00B537E1">
        <w:rPr>
          <w:rFonts w:cs="Arial"/>
          <w:color w:val="auto"/>
          <w:sz w:val="20"/>
          <w:szCs w:val="20"/>
        </w:rPr>
        <w:t>za pojistníka</w:t>
      </w:r>
    </w:p>
    <w:p w14:paraId="3AB82BDD" w14:textId="77777777" w:rsidR="00B918A5" w:rsidRPr="00B537E1" w:rsidRDefault="00B918A5" w:rsidP="00B918A5">
      <w:pPr>
        <w:tabs>
          <w:tab w:val="left" w:pos="5103"/>
        </w:tabs>
        <w:rPr>
          <w:rFonts w:cs="Arial"/>
          <w:color w:val="auto"/>
          <w:sz w:val="20"/>
          <w:szCs w:val="20"/>
        </w:rPr>
      </w:pPr>
      <w:r w:rsidRPr="00B537E1">
        <w:rPr>
          <w:rFonts w:cs="Arial"/>
          <w:color w:val="auto"/>
          <w:sz w:val="20"/>
          <w:szCs w:val="20"/>
        </w:rPr>
        <w:t>Generali Česká pojišťovna a.s.</w:t>
      </w:r>
      <w:r>
        <w:rPr>
          <w:rFonts w:cs="Arial"/>
          <w:color w:val="auto"/>
          <w:sz w:val="20"/>
          <w:szCs w:val="20"/>
        </w:rPr>
        <w:tab/>
      </w:r>
      <w:r w:rsidR="00644538">
        <w:rPr>
          <w:rFonts w:cs="Arial"/>
          <w:color w:val="auto"/>
          <w:sz w:val="20"/>
          <w:szCs w:val="20"/>
        </w:rPr>
        <w:t>Centrum dopravního výzkumu v.v.i.</w:t>
      </w:r>
    </w:p>
    <w:p w14:paraId="46779EEB" w14:textId="77777777" w:rsidR="00B918A5" w:rsidRPr="00B537E1" w:rsidRDefault="00B918A5" w:rsidP="00B918A5">
      <w:pPr>
        <w:rPr>
          <w:rFonts w:cs="Arial"/>
          <w:color w:val="auto"/>
          <w:sz w:val="20"/>
          <w:szCs w:val="20"/>
        </w:rPr>
      </w:pPr>
    </w:p>
    <w:p w14:paraId="76186AD8" w14:textId="77777777" w:rsidR="00B918A5" w:rsidRPr="00B537E1" w:rsidRDefault="00B918A5" w:rsidP="00B918A5">
      <w:pPr>
        <w:rPr>
          <w:rFonts w:cs="Arial"/>
          <w:color w:val="auto"/>
          <w:sz w:val="20"/>
          <w:szCs w:val="20"/>
        </w:rPr>
      </w:pPr>
    </w:p>
    <w:p w14:paraId="21C7D9A1" w14:textId="77777777" w:rsidR="00B918A5" w:rsidRPr="00B537E1" w:rsidRDefault="00B918A5" w:rsidP="00B918A5">
      <w:pPr>
        <w:rPr>
          <w:rFonts w:cs="Arial"/>
          <w:color w:val="auto"/>
          <w:sz w:val="20"/>
          <w:szCs w:val="20"/>
        </w:rPr>
      </w:pPr>
    </w:p>
    <w:p w14:paraId="0AF4C464" w14:textId="77777777" w:rsidR="00B918A5" w:rsidRPr="00B537E1" w:rsidRDefault="00B918A5" w:rsidP="00B918A5">
      <w:pPr>
        <w:rPr>
          <w:rFonts w:cs="Arial"/>
          <w:color w:val="auto"/>
          <w:sz w:val="20"/>
          <w:szCs w:val="20"/>
        </w:rPr>
      </w:pPr>
    </w:p>
    <w:p w14:paraId="6B1EEE11" w14:textId="77777777" w:rsidR="00B918A5" w:rsidRPr="00B537E1" w:rsidRDefault="00B918A5" w:rsidP="00B918A5">
      <w:pPr>
        <w:rPr>
          <w:rFonts w:cs="Arial"/>
          <w:color w:val="auto"/>
          <w:sz w:val="20"/>
          <w:szCs w:val="20"/>
        </w:rPr>
      </w:pPr>
    </w:p>
    <w:p w14:paraId="1C9FF5CB" w14:textId="77777777" w:rsidR="00B918A5" w:rsidRDefault="00B918A5" w:rsidP="00B918A5">
      <w:pPr>
        <w:rPr>
          <w:rFonts w:cs="Arial"/>
          <w:color w:val="auto"/>
          <w:sz w:val="20"/>
          <w:szCs w:val="20"/>
        </w:rPr>
      </w:pPr>
    </w:p>
    <w:p w14:paraId="3FA52AB6" w14:textId="77777777" w:rsidR="00807F40" w:rsidRPr="00B537E1" w:rsidRDefault="00807F40" w:rsidP="00B918A5">
      <w:pPr>
        <w:rPr>
          <w:rFonts w:cs="Arial"/>
          <w:color w:val="auto"/>
          <w:sz w:val="20"/>
          <w:szCs w:val="20"/>
        </w:rPr>
      </w:pPr>
    </w:p>
    <w:p w14:paraId="3E646A46" w14:textId="77777777" w:rsidR="00B918A5" w:rsidRPr="00B537E1" w:rsidRDefault="00B918A5" w:rsidP="00B918A5">
      <w:pPr>
        <w:rPr>
          <w:rFonts w:cs="Arial"/>
          <w:color w:val="auto"/>
          <w:sz w:val="20"/>
          <w:szCs w:val="20"/>
        </w:rPr>
      </w:pPr>
    </w:p>
    <w:p w14:paraId="2D4DD752" w14:textId="77777777" w:rsidR="00B918A5" w:rsidRPr="00E24B12" w:rsidRDefault="00B918A5" w:rsidP="00B918A5">
      <w:pPr>
        <w:tabs>
          <w:tab w:val="left" w:pos="5103"/>
        </w:tabs>
        <w:rPr>
          <w:rFonts w:cs="Arial"/>
          <w:color w:val="auto"/>
          <w:sz w:val="20"/>
          <w:szCs w:val="20"/>
        </w:rPr>
      </w:pPr>
      <w:r w:rsidRPr="00E24B12">
        <w:rPr>
          <w:rFonts w:cs="Arial"/>
          <w:color w:val="auto"/>
          <w:sz w:val="20"/>
          <w:szCs w:val="20"/>
        </w:rPr>
        <w:t>……………………………</w:t>
      </w:r>
      <w:r w:rsidR="00A354F9" w:rsidRPr="00E24B12">
        <w:rPr>
          <w:rFonts w:cs="Arial"/>
          <w:color w:val="auto"/>
          <w:sz w:val="20"/>
          <w:szCs w:val="20"/>
        </w:rPr>
        <w:t>……………………….</w:t>
      </w:r>
      <w:r w:rsidR="00A354F9" w:rsidRPr="00E24B12">
        <w:rPr>
          <w:rFonts w:cs="Arial"/>
          <w:color w:val="auto"/>
          <w:sz w:val="20"/>
          <w:szCs w:val="20"/>
        </w:rPr>
        <w:tab/>
        <w:t>………………………………………</w:t>
      </w:r>
    </w:p>
    <w:p w14:paraId="1E4A411A" w14:textId="299F8656" w:rsidR="00B918A5" w:rsidRPr="009B6E54" w:rsidRDefault="00711D01" w:rsidP="00B918A5">
      <w:pPr>
        <w:tabs>
          <w:tab w:val="left" w:pos="2127"/>
          <w:tab w:val="left" w:pos="5103"/>
          <w:tab w:val="left" w:pos="7230"/>
        </w:tabs>
        <w:rPr>
          <w:rFonts w:cs="Arial"/>
          <w:color w:val="auto"/>
          <w:sz w:val="20"/>
          <w:szCs w:val="20"/>
          <w:lang w:val="en-US"/>
        </w:rPr>
      </w:pPr>
      <w:r w:rsidRPr="00A8275E">
        <w:rPr>
          <w:rFonts w:cs="Arial"/>
          <w:color w:val="auto"/>
          <w:sz w:val="20"/>
          <w:szCs w:val="20"/>
        </w:rPr>
        <w:t>Ing. Bedřich Štáfl</w:t>
      </w:r>
      <w:r w:rsidR="00B918A5" w:rsidRPr="00A8275E">
        <w:rPr>
          <w:rFonts w:cs="Arial"/>
          <w:color w:val="auto"/>
          <w:sz w:val="20"/>
          <w:szCs w:val="20"/>
        </w:rPr>
        <w:tab/>
      </w:r>
      <w:r w:rsidR="00A8275E" w:rsidRPr="00A8275E">
        <w:rPr>
          <w:rFonts w:cs="Arial"/>
          <w:color w:val="auto"/>
          <w:sz w:val="20"/>
          <w:szCs w:val="20"/>
        </w:rPr>
        <w:t>Matěj Ma</w:t>
      </w:r>
      <w:r w:rsidR="00A8275E">
        <w:rPr>
          <w:rFonts w:cs="Arial"/>
          <w:color w:val="auto"/>
          <w:sz w:val="20"/>
          <w:szCs w:val="20"/>
        </w:rPr>
        <w:t>rič</w:t>
      </w:r>
      <w:r w:rsidR="00B918A5" w:rsidRPr="00A8275E">
        <w:rPr>
          <w:rFonts w:cs="Arial"/>
          <w:color w:val="auto"/>
          <w:sz w:val="20"/>
          <w:szCs w:val="20"/>
        </w:rPr>
        <w:tab/>
      </w:r>
      <w:r w:rsidR="00644538" w:rsidRPr="00A8275E">
        <w:rPr>
          <w:rFonts w:cs="Arial"/>
          <w:color w:val="auto"/>
          <w:sz w:val="20"/>
          <w:szCs w:val="20"/>
        </w:rPr>
        <w:t xml:space="preserve">Ing. </w:t>
      </w:r>
      <w:r w:rsidR="00644538" w:rsidRPr="009B6E54">
        <w:rPr>
          <w:rFonts w:cs="Arial"/>
          <w:color w:val="auto"/>
          <w:sz w:val="20"/>
          <w:szCs w:val="20"/>
          <w:lang w:val="en-US"/>
        </w:rPr>
        <w:t>Jindřich Frič, Ph.D.</w:t>
      </w:r>
      <w:r w:rsidR="00B918A5" w:rsidRPr="009B6E54">
        <w:rPr>
          <w:rFonts w:cs="Arial"/>
          <w:color w:val="auto"/>
          <w:sz w:val="20"/>
          <w:szCs w:val="20"/>
          <w:lang w:val="en-US"/>
        </w:rPr>
        <w:tab/>
      </w:r>
      <w:r w:rsidR="00B918A5" w:rsidRPr="009B6E54">
        <w:rPr>
          <w:rFonts w:cs="Arial"/>
          <w:color w:val="auto"/>
          <w:sz w:val="20"/>
          <w:szCs w:val="20"/>
          <w:lang w:val="en-US"/>
        </w:rPr>
        <w:tab/>
      </w:r>
    </w:p>
    <w:p w14:paraId="21B053E5" w14:textId="6E3D1B0B" w:rsidR="00B918A5" w:rsidRPr="009B6E54" w:rsidRDefault="00711D01" w:rsidP="00B918A5">
      <w:pPr>
        <w:tabs>
          <w:tab w:val="left" w:pos="2127"/>
          <w:tab w:val="left" w:pos="5103"/>
          <w:tab w:val="left" w:pos="7230"/>
        </w:tabs>
        <w:rPr>
          <w:rFonts w:cs="Arial"/>
          <w:color w:val="auto"/>
          <w:sz w:val="20"/>
          <w:szCs w:val="20"/>
          <w:lang w:val="en-US"/>
        </w:rPr>
      </w:pPr>
      <w:proofErr w:type="spellStart"/>
      <w:r w:rsidRPr="009B6E54">
        <w:rPr>
          <w:rFonts w:cs="Arial"/>
          <w:color w:val="auto"/>
          <w:sz w:val="16"/>
          <w:szCs w:val="16"/>
          <w:lang w:val="en-US"/>
        </w:rPr>
        <w:t>Vedoucí</w:t>
      </w:r>
      <w:proofErr w:type="spellEnd"/>
      <w:r w:rsidRPr="009B6E54">
        <w:rPr>
          <w:rFonts w:cs="Arial"/>
          <w:color w:val="auto"/>
          <w:sz w:val="16"/>
          <w:szCs w:val="16"/>
          <w:lang w:val="en-US"/>
        </w:rPr>
        <w:t xml:space="preserve"> </w:t>
      </w:r>
      <w:proofErr w:type="spellStart"/>
      <w:r w:rsidR="00DD48A2" w:rsidRPr="009B6E54">
        <w:rPr>
          <w:rFonts w:cs="Arial"/>
          <w:color w:val="auto"/>
          <w:sz w:val="16"/>
          <w:szCs w:val="16"/>
          <w:lang w:val="en-US"/>
        </w:rPr>
        <w:t>upisovatel</w:t>
      </w:r>
      <w:proofErr w:type="spellEnd"/>
      <w:r w:rsidR="00B918A5" w:rsidRPr="009B6E54">
        <w:rPr>
          <w:rFonts w:cs="Arial"/>
          <w:color w:val="auto"/>
          <w:sz w:val="16"/>
          <w:szCs w:val="16"/>
          <w:lang w:val="en-US"/>
        </w:rPr>
        <w:tab/>
      </w:r>
      <w:proofErr w:type="spellStart"/>
      <w:r w:rsidR="00DD48A2" w:rsidRPr="009B6E54">
        <w:rPr>
          <w:rFonts w:cs="Arial"/>
          <w:color w:val="auto"/>
          <w:sz w:val="16"/>
          <w:szCs w:val="16"/>
          <w:lang w:val="en-US"/>
        </w:rPr>
        <w:t>upisovatel</w:t>
      </w:r>
      <w:proofErr w:type="spellEnd"/>
      <w:r w:rsidR="00DE3582">
        <w:rPr>
          <w:rFonts w:cs="Arial"/>
          <w:color w:val="auto"/>
          <w:sz w:val="16"/>
          <w:szCs w:val="16"/>
          <w:lang w:val="en-US"/>
        </w:rPr>
        <w:t xml:space="preserve"> </w:t>
      </w:r>
      <w:r w:rsidR="00B918A5" w:rsidRPr="009B6E54">
        <w:rPr>
          <w:rFonts w:cs="Arial"/>
          <w:color w:val="auto"/>
          <w:sz w:val="16"/>
          <w:szCs w:val="16"/>
          <w:lang w:val="en-US"/>
        </w:rPr>
        <w:tab/>
      </w:r>
      <w:proofErr w:type="spellStart"/>
      <w:r w:rsidR="00644538" w:rsidRPr="009B6E54">
        <w:rPr>
          <w:rFonts w:cs="Arial"/>
          <w:color w:val="auto"/>
          <w:sz w:val="16"/>
          <w:szCs w:val="16"/>
          <w:lang w:val="en-US"/>
        </w:rPr>
        <w:t>ředitel</w:t>
      </w:r>
      <w:proofErr w:type="spellEnd"/>
      <w:r w:rsidR="00B918A5" w:rsidRPr="009B6E54">
        <w:rPr>
          <w:rFonts w:cs="Arial"/>
          <w:color w:val="auto"/>
          <w:sz w:val="16"/>
          <w:szCs w:val="16"/>
          <w:lang w:val="en-US"/>
        </w:rPr>
        <w:tab/>
      </w:r>
    </w:p>
    <w:p w14:paraId="048F3CAE" w14:textId="77777777" w:rsidR="00B918A5" w:rsidRPr="00B537E1" w:rsidRDefault="00B918A5" w:rsidP="00B918A5">
      <w:pPr>
        <w:jc w:val="both"/>
        <w:rPr>
          <w:rFonts w:cs="Arial"/>
          <w:sz w:val="20"/>
          <w:lang w:val="pl-PL"/>
        </w:rPr>
      </w:pPr>
    </w:p>
    <w:sectPr w:rsidR="00B918A5" w:rsidRPr="00B537E1" w:rsidSect="009D1FDE">
      <w:headerReference w:type="default" r:id="rId8"/>
      <w:footerReference w:type="default" r:id="rId9"/>
      <w:headerReference w:type="first" r:id="rId10"/>
      <w:footerReference w:type="first" r:id="rId11"/>
      <w:type w:val="continuous"/>
      <w:pgSz w:w="11900" w:h="16840" w:code="9"/>
      <w:pgMar w:top="2268" w:right="851" w:bottom="1418" w:left="1276" w:header="0" w:footer="2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04A14" w14:textId="77777777" w:rsidR="00DB602C" w:rsidRDefault="00DB602C" w:rsidP="000F4E95">
      <w:pPr>
        <w:spacing w:before="0" w:after="0" w:line="240" w:lineRule="auto"/>
      </w:pPr>
      <w:r>
        <w:separator/>
      </w:r>
    </w:p>
  </w:endnote>
  <w:endnote w:type="continuationSeparator" w:id="0">
    <w:p w14:paraId="2F8EDCFB" w14:textId="77777777" w:rsidR="00DB602C" w:rsidRDefault="00DB602C" w:rsidP="000F4E9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nerali">
    <w:altName w:val="Generali"/>
    <w:panose1 w:val="00000000000000000000"/>
    <w:charset w:val="00"/>
    <w:family w:val="swiss"/>
    <w:notTrueType/>
    <w:pitch w:val="default"/>
    <w:sig w:usb0="00000007" w:usb1="00000000" w:usb2="00000000" w:usb3="00000000" w:csb0="00000003" w:csb1="00000000"/>
  </w:font>
  <w:font w:name="Times New Roman (Nadpisy CS)">
    <w:altName w:val="Times New Roman"/>
    <w:panose1 w:val="00000000000000000000"/>
    <w:charset w:val="00"/>
    <w:family w:val="roman"/>
    <w:notTrueType/>
    <w:pitch w:val="default"/>
  </w:font>
  <w:font w:name="ø}Ã˛">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CFF16" w14:textId="77777777" w:rsidR="0094351A" w:rsidRPr="006D5B1E" w:rsidRDefault="000F0DAD" w:rsidP="000A4C0A">
    <w:pPr>
      <w:pBdr>
        <w:top w:val="single" w:sz="8" w:space="1" w:color="C4090B"/>
      </w:pBdr>
      <w:autoSpaceDE w:val="0"/>
      <w:autoSpaceDN w:val="0"/>
      <w:adjustRightInd w:val="0"/>
      <w:spacing w:line="240" w:lineRule="auto"/>
      <w:rPr>
        <w:rFonts w:ascii="ø}Ã˛" w:hAnsi="ø}Ã˛" w:cs="ø}Ã˛"/>
        <w:sz w:val="12"/>
        <w:szCs w:val="12"/>
      </w:rPr>
    </w:pPr>
    <w:r>
      <w:rPr>
        <w:rFonts w:ascii="ø}Ã˛" w:hAnsi="ø}Ã˛" w:cs="ø}Ã˛"/>
        <w:noProof/>
        <w:sz w:val="12"/>
        <w:szCs w:val="12"/>
        <w:lang w:val="cs-CZ" w:eastAsia="cs-CZ"/>
      </w:rPr>
      <mc:AlternateContent>
        <mc:Choice Requires="wps">
          <w:drawing>
            <wp:anchor distT="0" distB="0" distL="114300" distR="114300" simplePos="0" relativeHeight="251664384" behindDoc="0" locked="0" layoutInCell="0" allowOverlap="1" wp14:anchorId="2A709477" wp14:editId="3BFC6429">
              <wp:simplePos x="0" y="0"/>
              <wp:positionH relativeFrom="page">
                <wp:posOffset>0</wp:posOffset>
              </wp:positionH>
              <wp:positionV relativeFrom="page">
                <wp:posOffset>10229850</wp:posOffset>
              </wp:positionV>
              <wp:extent cx="7556500" cy="273050"/>
              <wp:effectExtent l="0" t="0" r="0" b="12700"/>
              <wp:wrapNone/>
              <wp:docPr id="1" name="MSIPCM15a1425b836b8c0b5149d47e" descr="{&quot;HashCode&quot;:-1933796625,&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EF8C02F" w14:textId="77777777" w:rsidR="000F0DAD" w:rsidRPr="009A4E74" w:rsidRDefault="009A4E74" w:rsidP="009A4E74">
                          <w:pPr>
                            <w:spacing w:before="0" w:after="0"/>
                            <w:rPr>
                              <w:rFonts w:ascii="Calibri" w:hAnsi="Calibri" w:cs="Calibri"/>
                              <w:color w:val="000000"/>
                              <w:sz w:val="20"/>
                            </w:rPr>
                          </w:pPr>
                          <w:r w:rsidRPr="009A4E74">
                            <w:rPr>
                              <w:rFonts w:ascii="Calibri" w:hAnsi="Calibri" w:cs="Calibri"/>
                              <w:color w:val="000000"/>
                              <w:sz w:val="20"/>
                            </w:rPr>
                            <w:t>Důvěrné / Confidential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A709477" id="_x0000_t202" coordsize="21600,21600" o:spt="202" path="m,l,21600r21600,l21600,xe">
              <v:stroke joinstyle="miter"/>
              <v:path gradientshapeok="t" o:connecttype="rect"/>
            </v:shapetype>
            <v:shape id="MSIPCM15a1425b836b8c0b5149d47e" o:spid="_x0000_s1026" type="#_x0000_t202" alt="{&quot;HashCode&quot;:-1933796625,&quot;Height&quot;:842.0,&quot;Width&quot;:595.0,&quot;Placement&quot;:&quot;Footer&quot;,&quot;Index&quot;:&quot;Primary&quot;,&quot;Section&quot;:1,&quot;Top&quot;:0.0,&quot;Left&quot;:0.0}" style="position:absolute;margin-left:0;margin-top:805.5pt;width:595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" o:allowincell="f" filled="f" stroked="f" strokeweight=".5pt">
              <v:textbox inset="20pt,0,,0">
                <w:txbxContent>
                  <w:p w14:paraId="3EF8C02F" w14:textId="77777777" w:rsidR="000F0DAD" w:rsidRPr="009A4E74" w:rsidRDefault="009A4E74" w:rsidP="009A4E74">
                    <w:pPr>
                      <w:spacing w:before="0" w:after="0"/>
                      <w:rPr>
                        <w:rFonts w:ascii="Calibri" w:hAnsi="Calibri" w:cs="Calibri"/>
                        <w:color w:val="000000"/>
                        <w:sz w:val="20"/>
                      </w:rPr>
                    </w:pPr>
                    <w:r w:rsidRPr="009A4E74">
                      <w:rPr>
                        <w:rFonts w:ascii="Calibri" w:hAnsi="Calibri" w:cs="Calibri"/>
                        <w:color w:val="000000"/>
                        <w:sz w:val="20"/>
                      </w:rPr>
                      <w:t>Důvěrné / Confidential</w:t>
                    </w:r>
                  </w:p>
                </w:txbxContent>
              </v:textbox>
              <w10:wrap anchorx="page" anchory="page"/>
            </v:shape>
          </w:pict>
        </mc:Fallback>
      </mc:AlternateContent>
    </w:r>
    <w:r w:rsidR="0094351A" w:rsidRPr="006D5B1E">
      <w:rPr>
        <w:rFonts w:ascii="ø}Ã˛" w:hAnsi="ø}Ã˛" w:cs="ø}Ã˛"/>
        <w:sz w:val="12"/>
        <w:szCs w:val="12"/>
      </w:rPr>
      <w:t xml:space="preserve">Generali Česká pojišťovna a.s., Spálená 75/16, 110 00 Praha 1 – Nové Město, IČO: 45272956, DIČ: CZ699001273, zapsaná v obchodním rejstříku vedeném Městským soudem v Praze, </w:t>
    </w:r>
  </w:p>
  <w:p w14:paraId="66A2C3F5" w14:textId="77777777" w:rsidR="0094351A" w:rsidRPr="008B130C" w:rsidRDefault="0094351A" w:rsidP="000A4C0A">
    <w:pPr>
      <w:pBdr>
        <w:top w:val="single" w:sz="8" w:space="1" w:color="C4090B"/>
      </w:pBdr>
      <w:autoSpaceDE w:val="0"/>
      <w:autoSpaceDN w:val="0"/>
      <w:adjustRightInd w:val="0"/>
      <w:spacing w:line="240" w:lineRule="auto"/>
      <w:rPr>
        <w:rFonts w:ascii="ø}Ã˛" w:hAnsi="ø}Ã˛" w:cs="ø}Ã˛"/>
        <w:sz w:val="12"/>
        <w:szCs w:val="12"/>
      </w:rPr>
    </w:pPr>
    <w:r w:rsidRPr="006D5B1E">
      <w:rPr>
        <w:rFonts w:ascii="ø}Ã˛" w:hAnsi="ø}Ã˛" w:cs="ø}Ã˛"/>
        <w:sz w:val="12"/>
        <w:szCs w:val="12"/>
      </w:rPr>
      <w:t xml:space="preserve">spisová značka B 1464, člen Skupiny Generali, zapsané v italském rejstříku pojišťovacích skupin, vedeném IVASS. </w:t>
    </w:r>
    <w:r>
      <w:rPr>
        <w:rFonts w:ascii="ø}Ã˛" w:hAnsi="ø}Ã˛" w:cs="ø}Ã˛"/>
        <w:sz w:val="12"/>
        <w:szCs w:val="12"/>
      </w:rPr>
      <w:br/>
    </w:r>
    <w:r w:rsidRPr="006D5B1E">
      <w:rPr>
        <w:rFonts w:ascii="ø}Ã˛" w:hAnsi="ø}Ã˛" w:cs="ø}Ã˛"/>
        <w:sz w:val="12"/>
        <w:szCs w:val="12"/>
      </w:rPr>
      <w:t>Klientský servis: + 420 241 114 114, kontaktní adresa: P. O. BOX 305, 659 05 Brno, www.generaliceska.cz</w:t>
    </w:r>
  </w:p>
  <w:p w14:paraId="0D448D76" w14:textId="77777777" w:rsidR="0094351A" w:rsidRPr="003D187D" w:rsidRDefault="0094351A" w:rsidP="003D187D">
    <w:pPr>
      <w:pStyle w:val="Zpat"/>
    </w:pPr>
    <w:r w:rsidRPr="003D187D">
      <w:rPr>
        <w:rStyle w:val="slostrnky"/>
      </w:rPr>
      <w:fldChar w:fldCharType="begin"/>
    </w:r>
    <w:r w:rsidRPr="003D187D">
      <w:rPr>
        <w:rStyle w:val="slostrnky"/>
      </w:rPr>
      <w:instrText xml:space="preserve"> PAGE </w:instrText>
    </w:r>
    <w:r w:rsidRPr="003D187D">
      <w:rPr>
        <w:rStyle w:val="slostrnky"/>
      </w:rPr>
      <w:fldChar w:fldCharType="separate"/>
    </w:r>
    <w:r w:rsidR="00711D01">
      <w:rPr>
        <w:rStyle w:val="slostrnky"/>
      </w:rPr>
      <w:t>5</w:t>
    </w:r>
    <w:r w:rsidRPr="003D187D">
      <w:rPr>
        <w:rStyle w:val="slostrnky"/>
      </w:rPr>
      <w:fldChar w:fldCharType="end"/>
    </w:r>
    <w:r w:rsidRPr="003D187D">
      <w:rPr>
        <w:rStyle w:val="slostrnky"/>
      </w:rPr>
      <w:t>/</w:t>
    </w:r>
    <w:r w:rsidRPr="003D187D">
      <w:rPr>
        <w:rStyle w:val="slostrnky"/>
      </w:rPr>
      <w:fldChar w:fldCharType="begin"/>
    </w:r>
    <w:r w:rsidRPr="003D187D">
      <w:rPr>
        <w:rStyle w:val="slostrnky"/>
      </w:rPr>
      <w:instrText xml:space="preserve"> NUMPAGES </w:instrText>
    </w:r>
    <w:r w:rsidRPr="003D187D">
      <w:rPr>
        <w:rStyle w:val="slostrnky"/>
      </w:rPr>
      <w:fldChar w:fldCharType="separate"/>
    </w:r>
    <w:r w:rsidR="00711D01">
      <w:rPr>
        <w:rStyle w:val="slostrnky"/>
      </w:rPr>
      <w:t>7</w:t>
    </w:r>
    <w:r w:rsidRPr="003D187D">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979E0" w14:textId="77777777" w:rsidR="0094351A" w:rsidRDefault="0094351A" w:rsidP="00DF0617">
    <w:pPr>
      <w:pBdr>
        <w:top w:val="single" w:sz="8" w:space="1" w:color="C4090B"/>
      </w:pBdr>
      <w:autoSpaceDE w:val="0"/>
      <w:autoSpaceDN w:val="0"/>
      <w:adjustRightInd w:val="0"/>
      <w:spacing w:line="100" w:lineRule="exact"/>
      <w:rPr>
        <w:rFonts w:ascii="ø}Ã˛" w:hAnsi="ø}Ã˛" w:cs="ø}Ã˛"/>
        <w:sz w:val="12"/>
        <w:szCs w:val="12"/>
      </w:rPr>
    </w:pPr>
  </w:p>
  <w:p w14:paraId="41557186" w14:textId="77777777" w:rsidR="0094351A" w:rsidRPr="006D5B1E" w:rsidRDefault="000F0DAD" w:rsidP="00DF0617">
    <w:pPr>
      <w:pBdr>
        <w:top w:val="single" w:sz="8" w:space="1" w:color="C4090B"/>
      </w:pBdr>
      <w:autoSpaceDE w:val="0"/>
      <w:autoSpaceDN w:val="0"/>
      <w:adjustRightInd w:val="0"/>
      <w:spacing w:line="240" w:lineRule="auto"/>
      <w:rPr>
        <w:rFonts w:ascii="ø}Ã˛" w:hAnsi="ø}Ã˛" w:cs="ø}Ã˛"/>
        <w:sz w:val="12"/>
        <w:szCs w:val="12"/>
      </w:rPr>
    </w:pPr>
    <w:r>
      <w:rPr>
        <w:rFonts w:ascii="ø}Ã˛" w:hAnsi="ø}Ã˛" w:cs="ø}Ã˛"/>
        <w:noProof/>
        <w:sz w:val="12"/>
        <w:szCs w:val="12"/>
        <w:lang w:val="cs-CZ" w:eastAsia="cs-CZ"/>
      </w:rPr>
      <mc:AlternateContent>
        <mc:Choice Requires="wps">
          <w:drawing>
            <wp:anchor distT="0" distB="0" distL="114300" distR="114300" simplePos="0" relativeHeight="251665408" behindDoc="0" locked="0" layoutInCell="0" allowOverlap="1" wp14:anchorId="4B51B249" wp14:editId="18318645">
              <wp:simplePos x="0" y="0"/>
              <wp:positionH relativeFrom="page">
                <wp:posOffset>0</wp:posOffset>
              </wp:positionH>
              <wp:positionV relativeFrom="page">
                <wp:posOffset>10229850</wp:posOffset>
              </wp:positionV>
              <wp:extent cx="7556500" cy="273050"/>
              <wp:effectExtent l="0" t="0" r="0" b="12700"/>
              <wp:wrapNone/>
              <wp:docPr id="2" name="MSIPCM3435493bab359c9725aad9c3" descr="{&quot;HashCode&quot;:-1933796625,&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E1F41DC" w14:textId="77777777" w:rsidR="000F0DAD" w:rsidRPr="009A4E74" w:rsidRDefault="009A4E74" w:rsidP="009A4E74">
                          <w:pPr>
                            <w:spacing w:before="0" w:after="0"/>
                            <w:rPr>
                              <w:rFonts w:ascii="Calibri" w:hAnsi="Calibri" w:cs="Calibri"/>
                              <w:color w:val="000000"/>
                              <w:sz w:val="20"/>
                            </w:rPr>
                          </w:pPr>
                          <w:r w:rsidRPr="009A4E74">
                            <w:rPr>
                              <w:rFonts w:ascii="Calibri" w:hAnsi="Calibri" w:cs="Calibri"/>
                              <w:color w:val="000000"/>
                              <w:sz w:val="20"/>
                            </w:rPr>
                            <w:t>Důvěrné / Confidential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B51B249" id="_x0000_t202" coordsize="21600,21600" o:spt="202" path="m,l,21600r21600,l21600,xe">
              <v:stroke joinstyle="miter"/>
              <v:path gradientshapeok="t" o:connecttype="rect"/>
            </v:shapetype>
            <v:shape id="MSIPCM3435493bab359c9725aad9c3" o:spid="_x0000_s1027" type="#_x0000_t202" alt="{&quot;HashCode&quot;:-1933796625,&quot;Height&quot;:842.0,&quot;Width&quot;:595.0,&quot;Placement&quot;:&quot;Footer&quot;,&quot;Index&quot;:&quot;FirstPage&quot;,&quot;Section&quot;:1,&quot;Top&quot;:0.0,&quot;Left&quot;:0.0}" style="position:absolute;margin-left:0;margin-top:805.5pt;width:595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" o:allowincell="f" filled="f" stroked="f" strokeweight=".5pt">
              <v:textbox inset="20pt,0,,0">
                <w:txbxContent>
                  <w:p w14:paraId="3E1F41DC" w14:textId="77777777" w:rsidR="000F0DAD" w:rsidRPr="009A4E74" w:rsidRDefault="009A4E74" w:rsidP="009A4E74">
                    <w:pPr>
                      <w:spacing w:before="0" w:after="0"/>
                      <w:rPr>
                        <w:rFonts w:ascii="Calibri" w:hAnsi="Calibri" w:cs="Calibri"/>
                        <w:color w:val="000000"/>
                        <w:sz w:val="20"/>
                      </w:rPr>
                    </w:pPr>
                    <w:r w:rsidRPr="009A4E74">
                      <w:rPr>
                        <w:rFonts w:ascii="Calibri" w:hAnsi="Calibri" w:cs="Calibri"/>
                        <w:color w:val="000000"/>
                        <w:sz w:val="20"/>
                      </w:rPr>
                      <w:t>Důvěrné / Confidential</w:t>
                    </w:r>
                  </w:p>
                </w:txbxContent>
              </v:textbox>
              <w10:wrap anchorx="page" anchory="page"/>
            </v:shape>
          </w:pict>
        </mc:Fallback>
      </mc:AlternateContent>
    </w:r>
    <w:r w:rsidR="0094351A" w:rsidRPr="006D5B1E">
      <w:rPr>
        <w:rFonts w:ascii="ø}Ã˛" w:hAnsi="ø}Ã˛" w:cs="ø}Ã˛"/>
        <w:sz w:val="12"/>
        <w:szCs w:val="12"/>
      </w:rPr>
      <w:t xml:space="preserve">Generali Česká pojišťovna a.s., Spálená 75/16, 110 00 Praha 1 – Nové Město, IČO: 45272956, DIČ: CZ699001273, zapsaná v obchodním rejstříku vedeném Městským soudem v Praze, </w:t>
    </w:r>
  </w:p>
  <w:p w14:paraId="05F0F1EF" w14:textId="77777777" w:rsidR="0094351A" w:rsidRPr="008B130C" w:rsidRDefault="0094351A" w:rsidP="00DF0617">
    <w:pPr>
      <w:pBdr>
        <w:top w:val="single" w:sz="8" w:space="1" w:color="C4090B"/>
      </w:pBdr>
      <w:autoSpaceDE w:val="0"/>
      <w:autoSpaceDN w:val="0"/>
      <w:adjustRightInd w:val="0"/>
      <w:spacing w:line="240" w:lineRule="auto"/>
      <w:rPr>
        <w:rFonts w:ascii="ø}Ã˛" w:hAnsi="ø}Ã˛" w:cs="ø}Ã˛"/>
        <w:sz w:val="12"/>
        <w:szCs w:val="12"/>
      </w:rPr>
    </w:pPr>
    <w:r w:rsidRPr="006D5B1E">
      <w:rPr>
        <w:rFonts w:ascii="ø}Ã˛" w:hAnsi="ø}Ã˛" w:cs="ø}Ã˛"/>
        <w:sz w:val="12"/>
        <w:szCs w:val="12"/>
      </w:rPr>
      <w:t xml:space="preserve">spisová značka B 1464, člen Skupiny Generali, zapsané v italském rejstříku pojišťovacích skupin, vedeném IVASS. </w:t>
    </w:r>
    <w:r>
      <w:rPr>
        <w:rFonts w:ascii="ø}Ã˛" w:hAnsi="ø}Ã˛" w:cs="ø}Ã˛"/>
        <w:sz w:val="12"/>
        <w:szCs w:val="12"/>
      </w:rPr>
      <w:br/>
    </w:r>
    <w:r w:rsidRPr="006D5B1E">
      <w:rPr>
        <w:rFonts w:ascii="ø}Ã˛" w:hAnsi="ø}Ã˛" w:cs="ø}Ã˛"/>
        <w:sz w:val="12"/>
        <w:szCs w:val="12"/>
      </w:rPr>
      <w:t>Klientský servis: + 420 241 114 114, kontaktní adresa: P. O. BOX 305, 659 05 Brno, www.generaliceska.cz</w:t>
    </w:r>
  </w:p>
  <w:p w14:paraId="077DFF8C" w14:textId="77777777" w:rsidR="0094351A" w:rsidRPr="00F632FC" w:rsidRDefault="0094351A" w:rsidP="003D187D">
    <w:pPr>
      <w:pStyle w:val="Zpat"/>
    </w:pPr>
    <w:r w:rsidRPr="006D5AA3">
      <w:rPr>
        <w:rStyle w:val="slostrnky"/>
      </w:rPr>
      <w:fldChar w:fldCharType="begin"/>
    </w:r>
    <w:r w:rsidRPr="006D5AA3">
      <w:rPr>
        <w:rStyle w:val="slostrnky"/>
      </w:rPr>
      <w:instrText xml:space="preserve"> PAGE </w:instrText>
    </w:r>
    <w:r w:rsidRPr="006D5AA3">
      <w:rPr>
        <w:rStyle w:val="slostrnky"/>
      </w:rPr>
      <w:fldChar w:fldCharType="separate"/>
    </w:r>
    <w:r w:rsidR="00711D01">
      <w:rPr>
        <w:rStyle w:val="slostrnky"/>
      </w:rPr>
      <w:t>1</w:t>
    </w:r>
    <w:r w:rsidRPr="006D5AA3">
      <w:rPr>
        <w:rStyle w:val="slostrnky"/>
      </w:rPr>
      <w:fldChar w:fldCharType="end"/>
    </w:r>
    <w:r w:rsidRPr="006D5AA3">
      <w:rPr>
        <w:rStyle w:val="slostrnky"/>
      </w:rPr>
      <w:t>/</w:t>
    </w:r>
    <w:r w:rsidRPr="006D5AA3">
      <w:rPr>
        <w:rStyle w:val="slostrnky"/>
      </w:rPr>
      <w:fldChar w:fldCharType="begin"/>
    </w:r>
    <w:r w:rsidRPr="006D5AA3">
      <w:rPr>
        <w:rStyle w:val="slostrnky"/>
      </w:rPr>
      <w:instrText xml:space="preserve"> NUMPAGES </w:instrText>
    </w:r>
    <w:r w:rsidRPr="006D5AA3">
      <w:rPr>
        <w:rStyle w:val="slostrnky"/>
      </w:rPr>
      <w:fldChar w:fldCharType="separate"/>
    </w:r>
    <w:r w:rsidR="00711D01">
      <w:rPr>
        <w:rStyle w:val="slostrnky"/>
      </w:rPr>
      <w:t>7</w:t>
    </w:r>
    <w:r w:rsidRPr="006D5AA3">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179371" w14:textId="77777777" w:rsidR="00DB602C" w:rsidRDefault="00DB602C" w:rsidP="000F4E95">
      <w:pPr>
        <w:spacing w:before="0" w:after="0" w:line="240" w:lineRule="auto"/>
      </w:pPr>
      <w:r>
        <w:separator/>
      </w:r>
    </w:p>
  </w:footnote>
  <w:footnote w:type="continuationSeparator" w:id="0">
    <w:p w14:paraId="35B2CBF8" w14:textId="77777777" w:rsidR="00DB602C" w:rsidRDefault="00DB602C" w:rsidP="000F4E9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37F16" w14:textId="77777777" w:rsidR="0094351A" w:rsidRPr="0044203B" w:rsidRDefault="0094351A" w:rsidP="00742609">
    <w:pPr>
      <w:pStyle w:val="Zhlav"/>
      <w:framePr w:hSpace="0" w:vSpace="0" w:wrap="auto" w:vAnchor="margin" w:yAlign="inline"/>
    </w:pPr>
    <w:r>
      <w:rPr>
        <w:noProof/>
        <w:lang w:val="cs-CZ" w:eastAsia="cs-CZ"/>
      </w:rPr>
      <w:drawing>
        <wp:anchor distT="0" distB="0" distL="114300" distR="114300" simplePos="0" relativeHeight="251659264" behindDoc="1" locked="1" layoutInCell="1" allowOverlap="1" wp14:anchorId="49F87A0C" wp14:editId="5C6F071C">
          <wp:simplePos x="0" y="0"/>
          <wp:positionH relativeFrom="column">
            <wp:posOffset>-2520315</wp:posOffset>
          </wp:positionH>
          <wp:positionV relativeFrom="page">
            <wp:posOffset>0</wp:posOffset>
          </wp:positionV>
          <wp:extent cx="1800860" cy="1440180"/>
          <wp:effectExtent l="0" t="0" r="2540" b="7620"/>
          <wp:wrapNone/>
          <wp:docPr id="3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o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0860" cy="14401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03295" w14:textId="77777777" w:rsidR="0094351A" w:rsidRDefault="0094351A" w:rsidP="009208BA">
    <w:pPr>
      <w:pStyle w:val="Zhlav"/>
      <w:framePr w:hSpace="0" w:vSpace="0" w:wrap="auto" w:vAnchor="margin" w:yAlign="inline"/>
      <w:tabs>
        <w:tab w:val="left" w:pos="284"/>
      </w:tabs>
    </w:pPr>
  </w:p>
  <w:p w14:paraId="3851489C" w14:textId="77777777" w:rsidR="0094351A" w:rsidRDefault="0094351A" w:rsidP="009208BA">
    <w:pPr>
      <w:pStyle w:val="Zhlav"/>
      <w:framePr w:hSpace="0" w:vSpace="0" w:wrap="auto" w:vAnchor="margin" w:yAlign="inline"/>
      <w:tabs>
        <w:tab w:val="left" w:pos="284"/>
      </w:tabs>
    </w:pPr>
  </w:p>
  <w:p w14:paraId="215B5148" w14:textId="77777777" w:rsidR="0094351A" w:rsidRPr="008D16C8" w:rsidRDefault="0094351A" w:rsidP="009208BA">
    <w:pPr>
      <w:pStyle w:val="Zhlav"/>
      <w:framePr w:hSpace="0" w:vSpace="0" w:wrap="auto" w:vAnchor="margin" w:yAlign="inline"/>
      <w:tabs>
        <w:tab w:val="left" w:pos="284"/>
      </w:tabs>
    </w:pPr>
    <w:r>
      <w:rPr>
        <w:noProof/>
        <w:lang w:val="cs-CZ" w:eastAsia="cs-CZ"/>
      </w:rPr>
      <w:drawing>
        <wp:anchor distT="0" distB="0" distL="114300" distR="114300" simplePos="0" relativeHeight="251661312" behindDoc="0" locked="1" layoutInCell="1" allowOverlap="1" wp14:anchorId="5C9B44F2" wp14:editId="4BB0DFC4">
          <wp:simplePos x="0" y="0"/>
          <wp:positionH relativeFrom="margin">
            <wp:align>left</wp:align>
          </wp:positionH>
          <wp:positionV relativeFrom="page">
            <wp:posOffset>437515</wp:posOffset>
          </wp:positionV>
          <wp:extent cx="2520315" cy="389255"/>
          <wp:effectExtent l="0" t="0" r="0" b="0"/>
          <wp:wrapNone/>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P_Standard.png"/>
                  <pic:cNvPicPr/>
                </pic:nvPicPr>
                <pic:blipFill>
                  <a:blip r:embed="rId1" cstate="print">
                    <a:extLst>
                      <a:ext uri="{28A0092B-C50C-407E-A947-70E740481C1C}">
                        <a14:useLocalDpi xmlns:a14="http://schemas.microsoft.com/office/drawing/2010/main"/>
                      </a:ext>
                    </a:extLst>
                  </a:blip>
                  <a:stretch>
                    <a:fillRect/>
                  </a:stretch>
                </pic:blipFill>
                <pic:spPr>
                  <a:xfrm>
                    <a:off x="0" y="0"/>
                    <a:ext cx="2520315" cy="389255"/>
                  </a:xfrm>
                  <a:prstGeom prst="rect">
                    <a:avLst/>
                  </a:prstGeom>
                </pic:spPr>
              </pic:pic>
            </a:graphicData>
          </a:graphic>
          <wp14:sizeRelH relativeFrom="margin">
            <wp14:pctWidth>0</wp14:pctWidth>
          </wp14:sizeRelH>
          <wp14:sizeRelV relativeFrom="margin">
            <wp14:pctHeight>0</wp14:pctHeight>
          </wp14:sizeRelV>
        </wp:anchor>
      </w:drawing>
    </w:r>
    <w:r>
      <w:rPr>
        <w:noProof/>
        <w:lang w:val="cs-CZ" w:eastAsia="cs-CZ"/>
      </w:rPr>
      <w:drawing>
        <wp:anchor distT="0" distB="0" distL="114300" distR="114300" simplePos="0" relativeHeight="251656192" behindDoc="1" locked="1" layoutInCell="1" allowOverlap="1" wp14:anchorId="5B85329A" wp14:editId="1FF313F7">
          <wp:simplePos x="0" y="0"/>
          <wp:positionH relativeFrom="column">
            <wp:posOffset>-2520315</wp:posOffset>
          </wp:positionH>
          <wp:positionV relativeFrom="page">
            <wp:posOffset>0</wp:posOffset>
          </wp:positionV>
          <wp:extent cx="1800860" cy="1440180"/>
          <wp:effectExtent l="0" t="0" r="2540" b="7620"/>
          <wp:wrapNone/>
          <wp:docPr id="3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on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00860" cy="14401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5ACA992"/>
    <w:lvl w:ilvl="0">
      <w:start w:val="1"/>
      <w:numFmt w:val="bullet"/>
      <w:pStyle w:val="Styl87"/>
      <w:lvlText w:val=""/>
      <w:lvlJc w:val="left"/>
      <w:pPr>
        <w:tabs>
          <w:tab w:val="num" w:pos="360"/>
        </w:tabs>
        <w:ind w:left="360" w:hanging="360"/>
      </w:pPr>
      <w:rPr>
        <w:rFonts w:ascii="Symbol" w:hAnsi="Symbol" w:hint="default"/>
      </w:rPr>
    </w:lvl>
  </w:abstractNum>
  <w:abstractNum w:abstractNumId="1" w15:restartNumberingAfterBreak="0">
    <w:nsid w:val="0049258F"/>
    <w:multiLevelType w:val="hybridMultilevel"/>
    <w:tmpl w:val="BE08DD8C"/>
    <w:lvl w:ilvl="0" w:tplc="98D4AA60">
      <w:start w:val="1"/>
      <w:numFmt w:val="upp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75610E1"/>
    <w:multiLevelType w:val="multilevel"/>
    <w:tmpl w:val="D63E8AE6"/>
    <w:lvl w:ilvl="0">
      <w:start w:val="1"/>
      <w:numFmt w:val="decimal"/>
      <w:lvlText w:val="%1."/>
      <w:lvlJc w:val="left"/>
      <w:pPr>
        <w:tabs>
          <w:tab w:val="num" w:pos="1080"/>
        </w:tabs>
        <w:ind w:left="1080" w:hanging="720"/>
      </w:pPr>
      <w:rPr>
        <w:rFonts w:hint="default"/>
        <w:i w:val="0"/>
      </w:rPr>
    </w:lvl>
    <w:lvl w:ilvl="1">
      <w:start w:val="1"/>
      <w:numFmt w:val="decimal"/>
      <w:isLgl/>
      <w:lvlText w:val="%1.%2."/>
      <w:lvlJc w:val="left"/>
      <w:pPr>
        <w:ind w:left="3054" w:hanging="360"/>
      </w:pPr>
      <w:rPr>
        <w:rFonts w:hint="default"/>
        <w:b w:val="0"/>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sz w:val="20"/>
        <w:szCs w:val="2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C971EBE"/>
    <w:multiLevelType w:val="hybridMultilevel"/>
    <w:tmpl w:val="FE00CA8E"/>
    <w:lvl w:ilvl="0" w:tplc="FD540A80">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 w15:restartNumberingAfterBreak="0">
    <w:nsid w:val="19A87343"/>
    <w:multiLevelType w:val="multilevel"/>
    <w:tmpl w:val="E09A016C"/>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1080"/>
        </w:tabs>
        <w:ind w:left="864" w:hanging="864"/>
      </w:p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1A7773C5"/>
    <w:multiLevelType w:val="hybridMultilevel"/>
    <w:tmpl w:val="BE08DD8C"/>
    <w:lvl w:ilvl="0" w:tplc="98D4AA60">
      <w:start w:val="1"/>
      <w:numFmt w:val="upperLetter"/>
      <w:lvlText w:val="%1)"/>
      <w:lvlJc w:val="left"/>
      <w:pPr>
        <w:ind w:left="1070" w:hanging="360"/>
      </w:pPr>
      <w:rPr>
        <w:rFonts w:hint="default"/>
      </w:rPr>
    </w:lvl>
    <w:lvl w:ilvl="1" w:tplc="04050019">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6" w15:restartNumberingAfterBreak="0">
    <w:nsid w:val="1ACA5CE9"/>
    <w:multiLevelType w:val="hybridMultilevel"/>
    <w:tmpl w:val="FE00CA8E"/>
    <w:lvl w:ilvl="0" w:tplc="FD540A80">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1B2E7A2E"/>
    <w:multiLevelType w:val="hybridMultilevel"/>
    <w:tmpl w:val="FE00CA8E"/>
    <w:lvl w:ilvl="0" w:tplc="FD540A80">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1E4E4DEF"/>
    <w:multiLevelType w:val="hybridMultilevel"/>
    <w:tmpl w:val="BE08DD8C"/>
    <w:lvl w:ilvl="0" w:tplc="98D4AA60">
      <w:start w:val="1"/>
      <w:numFmt w:val="upp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15:restartNumberingAfterBreak="0">
    <w:nsid w:val="21562A9C"/>
    <w:multiLevelType w:val="hybridMultilevel"/>
    <w:tmpl w:val="BE08DD8C"/>
    <w:lvl w:ilvl="0" w:tplc="98D4AA60">
      <w:start w:val="1"/>
      <w:numFmt w:val="upp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22763CAE"/>
    <w:multiLevelType w:val="hybridMultilevel"/>
    <w:tmpl w:val="FE00CA8E"/>
    <w:lvl w:ilvl="0" w:tplc="FD540A80">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23007846"/>
    <w:multiLevelType w:val="multilevel"/>
    <w:tmpl w:val="2D3A6736"/>
    <w:lvl w:ilvl="0">
      <w:start w:val="1"/>
      <w:numFmt w:val="decimal"/>
      <w:lvlText w:val="%1."/>
      <w:lvlJc w:val="left"/>
      <w:pPr>
        <w:ind w:left="360" w:hanging="360"/>
      </w:pPr>
      <w:rPr>
        <w:rFonts w:hint="default"/>
      </w:rPr>
    </w:lvl>
    <w:lvl w:ilvl="1">
      <w:start w:val="1"/>
      <w:numFmt w:val="lowerLetter"/>
      <w:lvlText w:val="%2)"/>
      <w:lvlJc w:val="left"/>
      <w:pPr>
        <w:ind w:left="1778" w:hanging="360"/>
      </w:pPr>
      <w:rPr>
        <w:rFonts w:ascii="Arial" w:eastAsia="Calibri" w:hAnsi="Arial" w:cs="Arial"/>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12" w15:restartNumberingAfterBreak="0">
    <w:nsid w:val="2661162B"/>
    <w:multiLevelType w:val="hybridMultilevel"/>
    <w:tmpl w:val="BE08DD8C"/>
    <w:lvl w:ilvl="0" w:tplc="98D4AA60">
      <w:start w:val="1"/>
      <w:numFmt w:val="upp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15:restartNumberingAfterBreak="0">
    <w:nsid w:val="2672262E"/>
    <w:multiLevelType w:val="multilevel"/>
    <w:tmpl w:val="64C8BD2C"/>
    <w:lvl w:ilvl="0">
      <w:start w:val="3"/>
      <w:numFmt w:val="decimal"/>
      <w:lvlText w:val="%1."/>
      <w:lvlJc w:val="left"/>
      <w:pPr>
        <w:tabs>
          <w:tab w:val="num" w:pos="907"/>
        </w:tabs>
        <w:ind w:left="907" w:hanging="907"/>
      </w:pPr>
      <w:rPr>
        <w:rFonts w:hint="default"/>
      </w:rPr>
    </w:lvl>
    <w:lvl w:ilvl="1">
      <w:start w:val="1"/>
      <w:numFmt w:val="decimal"/>
      <w:lvlText w:val="9.%2."/>
      <w:lvlJc w:val="left"/>
      <w:pPr>
        <w:tabs>
          <w:tab w:val="num" w:pos="907"/>
        </w:tabs>
        <w:ind w:left="567" w:hanging="567"/>
      </w:pPr>
      <w:rPr>
        <w:rFonts w:hint="default"/>
        <w:b w:val="0"/>
      </w:rPr>
    </w:lvl>
    <w:lvl w:ilvl="2">
      <w:start w:val="1"/>
      <w:numFmt w:val="decimal"/>
      <w:suff w:val="nothing"/>
      <w:lvlText w:val="%1.%2.%3."/>
      <w:lvlJc w:val="left"/>
      <w:pPr>
        <w:ind w:left="1190" w:hanging="623"/>
      </w:pPr>
      <w:rPr>
        <w:rFonts w:hint="default"/>
        <w:b w:val="0"/>
        <w:color w:val="auto"/>
      </w:rPr>
    </w:lvl>
    <w:lvl w:ilvl="3">
      <w:start w:val="1"/>
      <w:numFmt w:val="decimal"/>
      <w:lvlText w:val="%1.%2.%3.%4."/>
      <w:lvlJc w:val="left"/>
      <w:pPr>
        <w:tabs>
          <w:tab w:val="num" w:pos="1790"/>
        </w:tabs>
        <w:ind w:left="1617" w:hanging="907"/>
      </w:pPr>
      <w:rPr>
        <w:rFonts w:hint="default"/>
        <w:b w:val="0"/>
      </w:rPr>
    </w:lvl>
    <w:lvl w:ilvl="4">
      <w:start w:val="1"/>
      <w:numFmt w:val="decimal"/>
      <w:lvlText w:val="%1.%2.%3.%4.%5."/>
      <w:lvlJc w:val="left"/>
      <w:pPr>
        <w:tabs>
          <w:tab w:val="num" w:pos="1440"/>
        </w:tabs>
        <w:ind w:left="907" w:hanging="907"/>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2BA33B7B"/>
    <w:multiLevelType w:val="hybridMultilevel"/>
    <w:tmpl w:val="FE00CA8E"/>
    <w:lvl w:ilvl="0" w:tplc="FD540A80">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5" w15:restartNumberingAfterBreak="0">
    <w:nsid w:val="30543F0A"/>
    <w:multiLevelType w:val="hybridMultilevel"/>
    <w:tmpl w:val="216A61C8"/>
    <w:lvl w:ilvl="0" w:tplc="9BA6AF6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15:restartNumberingAfterBreak="0">
    <w:nsid w:val="31B477C9"/>
    <w:multiLevelType w:val="hybridMultilevel"/>
    <w:tmpl w:val="8B129DAC"/>
    <w:lvl w:ilvl="0" w:tplc="675A485E">
      <w:start w:val="1"/>
      <w:numFmt w:val="bullet"/>
      <w:pStyle w:val="GPseznambody"/>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7" w15:restartNumberingAfterBreak="0">
    <w:nsid w:val="37377603"/>
    <w:multiLevelType w:val="multilevel"/>
    <w:tmpl w:val="CEE272EA"/>
    <w:lvl w:ilvl="0">
      <w:start w:val="3"/>
      <w:numFmt w:val="decimal"/>
      <w:lvlText w:val="%1."/>
      <w:lvlJc w:val="left"/>
      <w:pPr>
        <w:tabs>
          <w:tab w:val="num" w:pos="907"/>
        </w:tabs>
        <w:ind w:left="907" w:hanging="907"/>
      </w:pPr>
      <w:rPr>
        <w:rFonts w:hint="default"/>
      </w:rPr>
    </w:lvl>
    <w:lvl w:ilvl="1">
      <w:start w:val="1"/>
      <w:numFmt w:val="decimal"/>
      <w:lvlText w:val="8.4.%2."/>
      <w:lvlJc w:val="left"/>
      <w:pPr>
        <w:tabs>
          <w:tab w:val="num" w:pos="907"/>
        </w:tabs>
        <w:ind w:left="567" w:hanging="567"/>
      </w:pPr>
      <w:rPr>
        <w:rFonts w:hint="default"/>
        <w:b w:val="0"/>
      </w:rPr>
    </w:lvl>
    <w:lvl w:ilvl="2">
      <w:start w:val="1"/>
      <w:numFmt w:val="decimal"/>
      <w:suff w:val="nothing"/>
      <w:lvlText w:val="%1.%2.%3."/>
      <w:lvlJc w:val="left"/>
      <w:pPr>
        <w:ind w:left="1190" w:hanging="623"/>
      </w:pPr>
      <w:rPr>
        <w:rFonts w:hint="default"/>
        <w:b w:val="0"/>
        <w:color w:val="auto"/>
      </w:rPr>
    </w:lvl>
    <w:lvl w:ilvl="3">
      <w:start w:val="1"/>
      <w:numFmt w:val="decimal"/>
      <w:lvlText w:val="%1.%2.%3.%4."/>
      <w:lvlJc w:val="left"/>
      <w:pPr>
        <w:tabs>
          <w:tab w:val="num" w:pos="1790"/>
        </w:tabs>
        <w:ind w:left="1617" w:hanging="907"/>
      </w:pPr>
      <w:rPr>
        <w:rFonts w:hint="default"/>
        <w:b w:val="0"/>
      </w:rPr>
    </w:lvl>
    <w:lvl w:ilvl="4">
      <w:start w:val="1"/>
      <w:numFmt w:val="decimal"/>
      <w:lvlText w:val="%1.%2.%3.%4.%5."/>
      <w:lvlJc w:val="left"/>
      <w:pPr>
        <w:tabs>
          <w:tab w:val="num" w:pos="1440"/>
        </w:tabs>
        <w:ind w:left="907" w:hanging="907"/>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78E7879"/>
    <w:multiLevelType w:val="multilevel"/>
    <w:tmpl w:val="2834B0A0"/>
    <w:lvl w:ilvl="0">
      <w:start w:val="1"/>
      <w:numFmt w:val="decimal"/>
      <w:lvlText w:val="%1."/>
      <w:lvlJc w:val="left"/>
      <w:pPr>
        <w:tabs>
          <w:tab w:val="num" w:pos="1080"/>
        </w:tabs>
        <w:ind w:left="1080" w:hanging="720"/>
      </w:pPr>
      <w:rPr>
        <w:rFonts w:hint="default"/>
        <w:i w:val="0"/>
      </w:rPr>
    </w:lvl>
    <w:lvl w:ilvl="1">
      <w:start w:val="1"/>
      <w:numFmt w:val="decimal"/>
      <w:isLgl/>
      <w:lvlText w:val="%1.%2."/>
      <w:lvlJc w:val="left"/>
      <w:pPr>
        <w:ind w:left="64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9C86228"/>
    <w:multiLevelType w:val="hybridMultilevel"/>
    <w:tmpl w:val="FE00CA8E"/>
    <w:lvl w:ilvl="0" w:tplc="FD540A80">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0" w15:restartNumberingAfterBreak="0">
    <w:nsid w:val="3CE27DAC"/>
    <w:multiLevelType w:val="singleLevel"/>
    <w:tmpl w:val="6D12A7BA"/>
    <w:lvl w:ilvl="0">
      <w:start w:val="1"/>
      <w:numFmt w:val="bullet"/>
      <w:pStyle w:val="Odrazky"/>
      <w:lvlText w:val=""/>
      <w:lvlJc w:val="left"/>
      <w:pPr>
        <w:tabs>
          <w:tab w:val="num" w:pos="360"/>
        </w:tabs>
        <w:ind w:left="360" w:hanging="360"/>
      </w:pPr>
      <w:rPr>
        <w:rFonts w:ascii="Symbol" w:hAnsi="Symbol" w:hint="default"/>
        <w:sz w:val="24"/>
      </w:rPr>
    </w:lvl>
  </w:abstractNum>
  <w:abstractNum w:abstractNumId="21" w15:restartNumberingAfterBreak="0">
    <w:nsid w:val="3DC02A4A"/>
    <w:multiLevelType w:val="hybridMultilevel"/>
    <w:tmpl w:val="FE00CA8E"/>
    <w:lvl w:ilvl="0" w:tplc="FD540A80">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2" w15:restartNumberingAfterBreak="0">
    <w:nsid w:val="3F1A7A99"/>
    <w:multiLevelType w:val="hybridMultilevel"/>
    <w:tmpl w:val="BE08DD8C"/>
    <w:lvl w:ilvl="0" w:tplc="98D4AA60">
      <w:start w:val="1"/>
      <w:numFmt w:val="upp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3" w15:restartNumberingAfterBreak="0">
    <w:nsid w:val="41634077"/>
    <w:multiLevelType w:val="multilevel"/>
    <w:tmpl w:val="69C635B8"/>
    <w:lvl w:ilvl="0">
      <w:start w:val="1"/>
      <w:numFmt w:val="decimal"/>
      <w:pStyle w:val="Nadpis10"/>
      <w:lvlText w:val="%1."/>
      <w:lvlJc w:val="left"/>
      <w:pPr>
        <w:ind w:left="4678" w:hanging="357"/>
      </w:pPr>
      <w:rPr>
        <w:rFonts w:hint="default"/>
        <w:b/>
      </w:rPr>
    </w:lvl>
    <w:lvl w:ilvl="1">
      <w:start w:val="1"/>
      <w:numFmt w:val="decimal"/>
      <w:isLgl/>
      <w:lvlText w:val="%1.%2."/>
      <w:lvlJc w:val="left"/>
      <w:pPr>
        <w:ind w:left="4678" w:hanging="357"/>
      </w:pPr>
      <w:rPr>
        <w:rFonts w:hint="default"/>
      </w:rPr>
    </w:lvl>
    <w:lvl w:ilvl="2">
      <w:start w:val="1"/>
      <w:numFmt w:val="decimal"/>
      <w:isLgl/>
      <w:lvlText w:val="%1.%2.%3."/>
      <w:lvlJc w:val="left"/>
      <w:pPr>
        <w:ind w:left="4678" w:hanging="357"/>
      </w:pPr>
      <w:rPr>
        <w:rFonts w:hint="default"/>
      </w:rPr>
    </w:lvl>
    <w:lvl w:ilvl="3">
      <w:start w:val="1"/>
      <w:numFmt w:val="decimal"/>
      <w:isLgl/>
      <w:lvlText w:val="%1.%2.%3.%4."/>
      <w:lvlJc w:val="left"/>
      <w:pPr>
        <w:ind w:left="4678" w:hanging="357"/>
      </w:pPr>
      <w:rPr>
        <w:rFonts w:hint="default"/>
      </w:rPr>
    </w:lvl>
    <w:lvl w:ilvl="4">
      <w:start w:val="1"/>
      <w:numFmt w:val="decimal"/>
      <w:isLgl/>
      <w:lvlText w:val="%1.%2.%3.%4.%5."/>
      <w:lvlJc w:val="left"/>
      <w:pPr>
        <w:ind w:left="4678" w:hanging="357"/>
      </w:pPr>
      <w:rPr>
        <w:rFonts w:hint="default"/>
      </w:rPr>
    </w:lvl>
    <w:lvl w:ilvl="5">
      <w:start w:val="1"/>
      <w:numFmt w:val="decimal"/>
      <w:isLgl/>
      <w:lvlText w:val="%1.%2.%3.%4.%5.%6."/>
      <w:lvlJc w:val="left"/>
      <w:pPr>
        <w:ind w:left="4678" w:hanging="357"/>
      </w:pPr>
      <w:rPr>
        <w:rFonts w:hint="default"/>
      </w:rPr>
    </w:lvl>
    <w:lvl w:ilvl="6">
      <w:start w:val="1"/>
      <w:numFmt w:val="decimal"/>
      <w:isLgl/>
      <w:lvlText w:val="%1.%2.%3.%4.%5.%6.%7."/>
      <w:lvlJc w:val="left"/>
      <w:pPr>
        <w:ind w:left="4678" w:hanging="357"/>
      </w:pPr>
      <w:rPr>
        <w:rFonts w:hint="default"/>
      </w:rPr>
    </w:lvl>
    <w:lvl w:ilvl="7">
      <w:start w:val="1"/>
      <w:numFmt w:val="decimal"/>
      <w:isLgl/>
      <w:lvlText w:val="%1.%2.%3.%4.%5.%6.%7.%8."/>
      <w:lvlJc w:val="left"/>
      <w:pPr>
        <w:ind w:left="4678" w:hanging="357"/>
      </w:pPr>
      <w:rPr>
        <w:rFonts w:hint="default"/>
      </w:rPr>
    </w:lvl>
    <w:lvl w:ilvl="8">
      <w:start w:val="1"/>
      <w:numFmt w:val="decimal"/>
      <w:isLgl/>
      <w:lvlText w:val="%1.%2.%3.%4.%5.%6.%7.%8.%9."/>
      <w:lvlJc w:val="left"/>
      <w:pPr>
        <w:ind w:left="4678" w:hanging="357"/>
      </w:pPr>
      <w:rPr>
        <w:rFonts w:hint="default"/>
      </w:rPr>
    </w:lvl>
  </w:abstractNum>
  <w:abstractNum w:abstractNumId="24" w15:restartNumberingAfterBreak="0">
    <w:nsid w:val="44EE166C"/>
    <w:multiLevelType w:val="hybridMultilevel"/>
    <w:tmpl w:val="BE08DD8C"/>
    <w:lvl w:ilvl="0" w:tplc="98D4AA60">
      <w:start w:val="1"/>
      <w:numFmt w:val="upp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45F930BB"/>
    <w:multiLevelType w:val="multilevel"/>
    <w:tmpl w:val="C47EC8A2"/>
    <w:lvl w:ilvl="0">
      <w:start w:val="3"/>
      <w:numFmt w:val="decimal"/>
      <w:lvlText w:val="%1."/>
      <w:lvlJc w:val="left"/>
      <w:pPr>
        <w:tabs>
          <w:tab w:val="num" w:pos="907"/>
        </w:tabs>
        <w:ind w:left="907" w:hanging="907"/>
      </w:pPr>
      <w:rPr>
        <w:rFonts w:hint="default"/>
      </w:rPr>
    </w:lvl>
    <w:lvl w:ilvl="1">
      <w:start w:val="3"/>
      <w:numFmt w:val="decimal"/>
      <w:lvlText w:val="9.%2."/>
      <w:lvlJc w:val="left"/>
      <w:pPr>
        <w:tabs>
          <w:tab w:val="num" w:pos="907"/>
        </w:tabs>
        <w:ind w:left="0" w:firstLine="227"/>
      </w:pPr>
      <w:rPr>
        <w:rFonts w:hint="default"/>
        <w:b/>
      </w:rPr>
    </w:lvl>
    <w:lvl w:ilvl="2">
      <w:start w:val="1"/>
      <w:numFmt w:val="decimal"/>
      <w:lvlText w:val="8.6.%3."/>
      <w:lvlJc w:val="left"/>
      <w:pPr>
        <w:ind w:left="1190" w:hanging="623"/>
      </w:pPr>
      <w:rPr>
        <w:rFonts w:hint="default"/>
        <w:b w:val="0"/>
        <w:color w:val="auto"/>
      </w:rPr>
    </w:lvl>
    <w:lvl w:ilvl="3">
      <w:start w:val="1"/>
      <w:numFmt w:val="decimal"/>
      <w:lvlText w:val="5.3.1.%4."/>
      <w:lvlJc w:val="left"/>
      <w:pPr>
        <w:tabs>
          <w:tab w:val="num" w:pos="1790"/>
        </w:tabs>
        <w:ind w:left="1617" w:hanging="907"/>
      </w:pPr>
      <w:rPr>
        <w:rFonts w:hint="default"/>
        <w:b w:val="0"/>
      </w:rPr>
    </w:lvl>
    <w:lvl w:ilvl="4">
      <w:start w:val="1"/>
      <w:numFmt w:val="decimal"/>
      <w:lvlText w:val="%1.%2.%3.%4.%5."/>
      <w:lvlJc w:val="left"/>
      <w:pPr>
        <w:tabs>
          <w:tab w:val="num" w:pos="1440"/>
        </w:tabs>
        <w:ind w:left="907" w:hanging="907"/>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46A55A6F"/>
    <w:multiLevelType w:val="multilevel"/>
    <w:tmpl w:val="7E482B1E"/>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47541273"/>
    <w:multiLevelType w:val="multilevel"/>
    <w:tmpl w:val="735613A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A141CC4"/>
    <w:multiLevelType w:val="multilevel"/>
    <w:tmpl w:val="94EA7C90"/>
    <w:lvl w:ilvl="0">
      <w:start w:val="1"/>
      <w:numFmt w:val="decimal"/>
      <w:lvlText w:val="%1."/>
      <w:lvlJc w:val="left"/>
      <w:pPr>
        <w:tabs>
          <w:tab w:val="num" w:pos="907"/>
        </w:tabs>
        <w:ind w:left="907" w:hanging="907"/>
      </w:pPr>
      <w:rPr>
        <w:rFonts w:hint="default"/>
      </w:rPr>
    </w:lvl>
    <w:lvl w:ilvl="1">
      <w:start w:val="1"/>
      <w:numFmt w:val="decimal"/>
      <w:lvlText w:val="8.3.%2."/>
      <w:lvlJc w:val="left"/>
      <w:pPr>
        <w:tabs>
          <w:tab w:val="num" w:pos="907"/>
        </w:tabs>
        <w:ind w:left="567" w:hanging="567"/>
      </w:pPr>
      <w:rPr>
        <w:rFonts w:hint="default"/>
        <w:b w:val="0"/>
      </w:rPr>
    </w:lvl>
    <w:lvl w:ilvl="2">
      <w:start w:val="1"/>
      <w:numFmt w:val="decimal"/>
      <w:lvlText w:val="2.2.%3."/>
      <w:lvlJc w:val="left"/>
      <w:pPr>
        <w:tabs>
          <w:tab w:val="num" w:pos="1190"/>
        </w:tabs>
        <w:ind w:left="1190" w:hanging="907"/>
      </w:pPr>
      <w:rPr>
        <w:rFonts w:hint="default"/>
        <w:b w:val="0"/>
      </w:rPr>
    </w:lvl>
    <w:lvl w:ilvl="3">
      <w:start w:val="1"/>
      <w:numFmt w:val="decimal"/>
      <w:lvlText w:val="%1.%2.%3.%4."/>
      <w:lvlJc w:val="left"/>
      <w:pPr>
        <w:tabs>
          <w:tab w:val="num" w:pos="1790"/>
        </w:tabs>
        <w:ind w:left="1617" w:hanging="907"/>
      </w:pPr>
      <w:rPr>
        <w:rFonts w:hint="default"/>
        <w:b w:val="0"/>
      </w:rPr>
    </w:lvl>
    <w:lvl w:ilvl="4">
      <w:start w:val="1"/>
      <w:numFmt w:val="decimal"/>
      <w:lvlText w:val="%1.%2.%3.%4.%5."/>
      <w:lvlJc w:val="left"/>
      <w:pPr>
        <w:tabs>
          <w:tab w:val="num" w:pos="1440"/>
        </w:tabs>
        <w:ind w:left="907" w:hanging="907"/>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4BBC4041"/>
    <w:multiLevelType w:val="hybridMultilevel"/>
    <w:tmpl w:val="BE08DD8C"/>
    <w:lvl w:ilvl="0" w:tplc="98D4AA60">
      <w:start w:val="1"/>
      <w:numFmt w:val="upp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0" w15:restartNumberingAfterBreak="0">
    <w:nsid w:val="4EF72BB2"/>
    <w:multiLevelType w:val="hybridMultilevel"/>
    <w:tmpl w:val="BE08DD8C"/>
    <w:lvl w:ilvl="0" w:tplc="98D4AA60">
      <w:start w:val="1"/>
      <w:numFmt w:val="upp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1" w15:restartNumberingAfterBreak="0">
    <w:nsid w:val="57423C74"/>
    <w:multiLevelType w:val="multilevel"/>
    <w:tmpl w:val="67045FFE"/>
    <w:lvl w:ilvl="0">
      <w:start w:val="1"/>
      <w:numFmt w:val="bullet"/>
      <w:pStyle w:val="P111"/>
      <w:lvlText w:val=""/>
      <w:lvlJc w:val="left"/>
      <w:pPr>
        <w:tabs>
          <w:tab w:val="num" w:pos="907"/>
        </w:tabs>
        <w:ind w:left="907" w:hanging="907"/>
      </w:pPr>
      <w:rPr>
        <w:rFonts w:ascii="Symbol" w:hAnsi="Symbol" w:hint="default"/>
      </w:rPr>
    </w:lvl>
    <w:lvl w:ilvl="1">
      <w:start w:val="1"/>
      <w:numFmt w:val="decimal"/>
      <w:lvlText w:val="%1.%2."/>
      <w:lvlJc w:val="left"/>
      <w:pPr>
        <w:tabs>
          <w:tab w:val="num" w:pos="907"/>
        </w:tabs>
        <w:ind w:left="907" w:hanging="907"/>
      </w:pPr>
    </w:lvl>
    <w:lvl w:ilvl="2">
      <w:start w:val="1"/>
      <w:numFmt w:val="decimal"/>
      <w:lvlText w:val="%1.%2.%3."/>
      <w:lvlJc w:val="left"/>
      <w:pPr>
        <w:tabs>
          <w:tab w:val="num" w:pos="907"/>
        </w:tabs>
        <w:ind w:left="907" w:hanging="907"/>
      </w:pPr>
    </w:lvl>
    <w:lvl w:ilvl="3">
      <w:start w:val="1"/>
      <w:numFmt w:val="decimal"/>
      <w:lvlText w:val="%1.%2.%3.%4."/>
      <w:lvlJc w:val="left"/>
      <w:pPr>
        <w:tabs>
          <w:tab w:val="num" w:pos="1790"/>
        </w:tabs>
        <w:ind w:left="1617" w:hanging="907"/>
      </w:pPr>
      <w:rPr>
        <w:b w:val="0"/>
      </w:rPr>
    </w:lvl>
    <w:lvl w:ilvl="4">
      <w:start w:val="1"/>
      <w:numFmt w:val="decimal"/>
      <w:lvlText w:val="%1.%2.%3.%4.%5."/>
      <w:lvlJc w:val="left"/>
      <w:pPr>
        <w:tabs>
          <w:tab w:val="num" w:pos="1440"/>
        </w:tabs>
        <w:ind w:left="907" w:hanging="907"/>
      </w:pPr>
    </w:lvl>
    <w:lvl w:ilvl="5">
      <w:start w:val="1"/>
      <w:numFmt w:val="decimal"/>
      <w:lvlText w:val="%1.%2.%3.%4.%5.%6"/>
      <w:lvlJc w:val="left"/>
      <w:pPr>
        <w:tabs>
          <w:tab w:val="num" w:pos="1440"/>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15:restartNumberingAfterBreak="0">
    <w:nsid w:val="57AB787E"/>
    <w:multiLevelType w:val="multilevel"/>
    <w:tmpl w:val="325A0298"/>
    <w:lvl w:ilvl="0">
      <w:start w:val="1"/>
      <w:numFmt w:val="decimal"/>
      <w:lvlText w:val="3.4.%1."/>
      <w:lvlJc w:val="left"/>
      <w:pPr>
        <w:ind w:left="928" w:hanging="360"/>
      </w:pPr>
      <w:rPr>
        <w:rFonts w:hint="default"/>
      </w:rPr>
    </w:lvl>
    <w:lvl w:ilvl="1">
      <w:start w:val="1"/>
      <w:numFmt w:val="decimal"/>
      <w:lvlText w:val="%1.%2."/>
      <w:lvlJc w:val="left"/>
      <w:pPr>
        <w:ind w:left="1360" w:hanging="432"/>
      </w:pPr>
      <w:rPr>
        <w:rFonts w:hint="default"/>
      </w:rPr>
    </w:lvl>
    <w:lvl w:ilvl="2">
      <w:start w:val="1"/>
      <w:numFmt w:val="decimal"/>
      <w:lvlText w:val="%1.%2.%3."/>
      <w:lvlJc w:val="left"/>
      <w:pPr>
        <w:ind w:left="1792" w:hanging="504"/>
      </w:pPr>
      <w:rPr>
        <w:rFonts w:hint="default"/>
      </w:rPr>
    </w:lvl>
    <w:lvl w:ilvl="3">
      <w:start w:val="1"/>
      <w:numFmt w:val="decimal"/>
      <w:lvlText w:val="%1.%2.%3.%4."/>
      <w:lvlJc w:val="left"/>
      <w:pPr>
        <w:ind w:left="2296" w:hanging="648"/>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abstractNum w:abstractNumId="33" w15:restartNumberingAfterBreak="0">
    <w:nsid w:val="58B96825"/>
    <w:multiLevelType w:val="hybridMultilevel"/>
    <w:tmpl w:val="FE00CA8E"/>
    <w:lvl w:ilvl="0" w:tplc="FD540A80">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4" w15:restartNumberingAfterBreak="0">
    <w:nsid w:val="58CB3D0C"/>
    <w:multiLevelType w:val="multilevel"/>
    <w:tmpl w:val="7DE640C2"/>
    <w:lvl w:ilvl="0">
      <w:start w:val="3"/>
      <w:numFmt w:val="decimal"/>
      <w:lvlText w:val="%1."/>
      <w:lvlJc w:val="left"/>
      <w:pPr>
        <w:tabs>
          <w:tab w:val="num" w:pos="907"/>
        </w:tabs>
        <w:ind w:left="907" w:hanging="907"/>
      </w:pPr>
      <w:rPr>
        <w:rFonts w:hint="default"/>
      </w:rPr>
    </w:lvl>
    <w:lvl w:ilvl="1">
      <w:start w:val="1"/>
      <w:numFmt w:val="decimal"/>
      <w:lvlText w:val="7.%2."/>
      <w:lvlJc w:val="left"/>
      <w:pPr>
        <w:tabs>
          <w:tab w:val="num" w:pos="907"/>
        </w:tabs>
        <w:ind w:left="567" w:hanging="567"/>
      </w:pPr>
      <w:rPr>
        <w:rFonts w:hint="default"/>
        <w:b/>
      </w:rPr>
    </w:lvl>
    <w:lvl w:ilvl="2">
      <w:start w:val="1"/>
      <w:numFmt w:val="decimal"/>
      <w:suff w:val="nothing"/>
      <w:lvlText w:val="%1.%2.%3."/>
      <w:lvlJc w:val="left"/>
      <w:pPr>
        <w:ind w:left="1190" w:hanging="623"/>
      </w:pPr>
      <w:rPr>
        <w:rFonts w:hint="default"/>
        <w:b w:val="0"/>
        <w:color w:val="auto"/>
      </w:rPr>
    </w:lvl>
    <w:lvl w:ilvl="3">
      <w:start w:val="1"/>
      <w:numFmt w:val="decimal"/>
      <w:lvlText w:val="%1.%2.%3.%4."/>
      <w:lvlJc w:val="left"/>
      <w:pPr>
        <w:tabs>
          <w:tab w:val="num" w:pos="1790"/>
        </w:tabs>
        <w:ind w:left="1617" w:hanging="907"/>
      </w:pPr>
      <w:rPr>
        <w:rFonts w:hint="default"/>
        <w:b w:val="0"/>
      </w:rPr>
    </w:lvl>
    <w:lvl w:ilvl="4">
      <w:start w:val="1"/>
      <w:numFmt w:val="decimal"/>
      <w:lvlText w:val="%1.%2.%3.%4.%5."/>
      <w:lvlJc w:val="left"/>
      <w:pPr>
        <w:tabs>
          <w:tab w:val="num" w:pos="1440"/>
        </w:tabs>
        <w:ind w:left="907" w:hanging="907"/>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5EAE774A"/>
    <w:multiLevelType w:val="multilevel"/>
    <w:tmpl w:val="98045C28"/>
    <w:lvl w:ilvl="0">
      <w:start w:val="1"/>
      <w:numFmt w:val="decimal"/>
      <w:lvlText w:val="%1."/>
      <w:lvlJc w:val="left"/>
      <w:pPr>
        <w:tabs>
          <w:tab w:val="num" w:pos="907"/>
        </w:tabs>
        <w:ind w:left="907" w:hanging="907"/>
      </w:pPr>
      <w:rPr>
        <w:rFonts w:hint="default"/>
      </w:rPr>
    </w:lvl>
    <w:lvl w:ilvl="1">
      <w:start w:val="1"/>
      <w:numFmt w:val="decimal"/>
      <w:lvlText w:val="8.2.%2."/>
      <w:lvlJc w:val="left"/>
      <w:pPr>
        <w:tabs>
          <w:tab w:val="num" w:pos="907"/>
        </w:tabs>
        <w:ind w:left="567" w:hanging="567"/>
      </w:pPr>
      <w:rPr>
        <w:rFonts w:hint="default"/>
        <w:b w:val="0"/>
      </w:rPr>
    </w:lvl>
    <w:lvl w:ilvl="2">
      <w:start w:val="1"/>
      <w:numFmt w:val="decimal"/>
      <w:lvlText w:val="2.2.%3."/>
      <w:lvlJc w:val="left"/>
      <w:pPr>
        <w:tabs>
          <w:tab w:val="num" w:pos="1190"/>
        </w:tabs>
        <w:ind w:left="1190" w:hanging="907"/>
      </w:pPr>
      <w:rPr>
        <w:rFonts w:hint="default"/>
        <w:b w:val="0"/>
      </w:rPr>
    </w:lvl>
    <w:lvl w:ilvl="3">
      <w:start w:val="1"/>
      <w:numFmt w:val="decimal"/>
      <w:lvlText w:val="%1.%2.%3.%4."/>
      <w:lvlJc w:val="left"/>
      <w:pPr>
        <w:tabs>
          <w:tab w:val="num" w:pos="1790"/>
        </w:tabs>
        <w:ind w:left="1617" w:hanging="907"/>
      </w:pPr>
      <w:rPr>
        <w:rFonts w:hint="default"/>
        <w:b w:val="0"/>
      </w:rPr>
    </w:lvl>
    <w:lvl w:ilvl="4">
      <w:start w:val="1"/>
      <w:numFmt w:val="decimal"/>
      <w:lvlText w:val="%1.%2.%3.%4.%5."/>
      <w:lvlJc w:val="left"/>
      <w:pPr>
        <w:tabs>
          <w:tab w:val="num" w:pos="1440"/>
        </w:tabs>
        <w:ind w:left="907" w:hanging="907"/>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0A318AB"/>
    <w:multiLevelType w:val="hybridMultilevel"/>
    <w:tmpl w:val="FE00CA8E"/>
    <w:lvl w:ilvl="0" w:tplc="FD540A80">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7" w15:restartNumberingAfterBreak="0">
    <w:nsid w:val="60D64E98"/>
    <w:multiLevelType w:val="hybridMultilevel"/>
    <w:tmpl w:val="FE00CA8E"/>
    <w:lvl w:ilvl="0" w:tplc="FD540A80">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8" w15:restartNumberingAfterBreak="0">
    <w:nsid w:val="6108434A"/>
    <w:multiLevelType w:val="multilevel"/>
    <w:tmpl w:val="651AF0B0"/>
    <w:lvl w:ilvl="0">
      <w:start w:val="3"/>
      <w:numFmt w:val="decimal"/>
      <w:lvlText w:val="%1."/>
      <w:lvlJc w:val="left"/>
      <w:pPr>
        <w:tabs>
          <w:tab w:val="num" w:pos="907"/>
        </w:tabs>
        <w:ind w:left="907" w:hanging="907"/>
      </w:pPr>
      <w:rPr>
        <w:rFonts w:hint="default"/>
      </w:rPr>
    </w:lvl>
    <w:lvl w:ilvl="1">
      <w:start w:val="1"/>
      <w:numFmt w:val="decimal"/>
      <w:lvlText w:val="8.%2."/>
      <w:lvlJc w:val="left"/>
      <w:pPr>
        <w:tabs>
          <w:tab w:val="num" w:pos="907"/>
        </w:tabs>
        <w:ind w:left="567" w:hanging="567"/>
      </w:pPr>
      <w:rPr>
        <w:rFonts w:hint="default"/>
        <w:b/>
      </w:rPr>
    </w:lvl>
    <w:lvl w:ilvl="2">
      <w:start w:val="1"/>
      <w:numFmt w:val="decimal"/>
      <w:suff w:val="nothing"/>
      <w:lvlText w:val="%1.%2.%3."/>
      <w:lvlJc w:val="left"/>
      <w:pPr>
        <w:ind w:left="1190" w:hanging="623"/>
      </w:pPr>
      <w:rPr>
        <w:rFonts w:hint="default"/>
        <w:b w:val="0"/>
        <w:color w:val="auto"/>
      </w:rPr>
    </w:lvl>
    <w:lvl w:ilvl="3">
      <w:start w:val="1"/>
      <w:numFmt w:val="decimal"/>
      <w:lvlText w:val="%1.%2.%3.%4."/>
      <w:lvlJc w:val="left"/>
      <w:pPr>
        <w:tabs>
          <w:tab w:val="num" w:pos="1790"/>
        </w:tabs>
        <w:ind w:left="1617" w:hanging="907"/>
      </w:pPr>
      <w:rPr>
        <w:rFonts w:hint="default"/>
        <w:b w:val="0"/>
      </w:rPr>
    </w:lvl>
    <w:lvl w:ilvl="4">
      <w:start w:val="1"/>
      <w:numFmt w:val="decimal"/>
      <w:lvlText w:val="%1.%2.%3.%4.%5."/>
      <w:lvlJc w:val="left"/>
      <w:pPr>
        <w:tabs>
          <w:tab w:val="num" w:pos="1440"/>
        </w:tabs>
        <w:ind w:left="907" w:hanging="907"/>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65C2CC2"/>
    <w:multiLevelType w:val="hybridMultilevel"/>
    <w:tmpl w:val="31722C8A"/>
    <w:lvl w:ilvl="0" w:tplc="1C58D7D8">
      <w:start w:val="1"/>
      <w:numFmt w:val="lowerLetter"/>
      <w:pStyle w:val="Styl4"/>
      <w:lvlText w:val="%1)"/>
      <w:lvlJc w:val="left"/>
      <w:pPr>
        <w:ind w:left="1070" w:hanging="360"/>
      </w:pPr>
      <w:rPr>
        <w:rFonts w:hint="default"/>
        <w:b w:val="0"/>
      </w:rPr>
    </w:lvl>
    <w:lvl w:ilvl="1" w:tplc="04050019">
      <w:start w:val="1"/>
      <w:numFmt w:val="lowerLetter"/>
      <w:lvlText w:val="%2."/>
      <w:lvlJc w:val="left"/>
      <w:pPr>
        <w:ind w:left="1307" w:hanging="360"/>
      </w:pPr>
    </w:lvl>
    <w:lvl w:ilvl="2" w:tplc="0405001B" w:tentative="1">
      <w:start w:val="1"/>
      <w:numFmt w:val="lowerRoman"/>
      <w:lvlText w:val="%3."/>
      <w:lvlJc w:val="right"/>
      <w:pPr>
        <w:ind w:left="2027" w:hanging="180"/>
      </w:pPr>
    </w:lvl>
    <w:lvl w:ilvl="3" w:tplc="0405000F" w:tentative="1">
      <w:start w:val="1"/>
      <w:numFmt w:val="decimal"/>
      <w:lvlText w:val="%4."/>
      <w:lvlJc w:val="left"/>
      <w:pPr>
        <w:ind w:left="2747" w:hanging="360"/>
      </w:pPr>
    </w:lvl>
    <w:lvl w:ilvl="4" w:tplc="04050019" w:tentative="1">
      <w:start w:val="1"/>
      <w:numFmt w:val="lowerLetter"/>
      <w:lvlText w:val="%5."/>
      <w:lvlJc w:val="left"/>
      <w:pPr>
        <w:ind w:left="3467" w:hanging="360"/>
      </w:pPr>
    </w:lvl>
    <w:lvl w:ilvl="5" w:tplc="0405001B" w:tentative="1">
      <w:start w:val="1"/>
      <w:numFmt w:val="lowerRoman"/>
      <w:lvlText w:val="%6."/>
      <w:lvlJc w:val="right"/>
      <w:pPr>
        <w:ind w:left="4187" w:hanging="180"/>
      </w:pPr>
    </w:lvl>
    <w:lvl w:ilvl="6" w:tplc="0405000F" w:tentative="1">
      <w:start w:val="1"/>
      <w:numFmt w:val="decimal"/>
      <w:lvlText w:val="%7."/>
      <w:lvlJc w:val="left"/>
      <w:pPr>
        <w:ind w:left="4907" w:hanging="360"/>
      </w:pPr>
    </w:lvl>
    <w:lvl w:ilvl="7" w:tplc="04050019" w:tentative="1">
      <w:start w:val="1"/>
      <w:numFmt w:val="lowerLetter"/>
      <w:lvlText w:val="%8."/>
      <w:lvlJc w:val="left"/>
      <w:pPr>
        <w:ind w:left="5627" w:hanging="360"/>
      </w:pPr>
    </w:lvl>
    <w:lvl w:ilvl="8" w:tplc="0405001B" w:tentative="1">
      <w:start w:val="1"/>
      <w:numFmt w:val="lowerRoman"/>
      <w:lvlText w:val="%9."/>
      <w:lvlJc w:val="right"/>
      <w:pPr>
        <w:ind w:left="6347" w:hanging="180"/>
      </w:pPr>
    </w:lvl>
  </w:abstractNum>
  <w:abstractNum w:abstractNumId="40" w15:restartNumberingAfterBreak="0">
    <w:nsid w:val="678948A1"/>
    <w:multiLevelType w:val="multilevel"/>
    <w:tmpl w:val="F79A6DD2"/>
    <w:lvl w:ilvl="0">
      <w:start w:val="1"/>
      <w:numFmt w:val="decimal"/>
      <w:lvlText w:val="%1."/>
      <w:lvlJc w:val="left"/>
      <w:pPr>
        <w:tabs>
          <w:tab w:val="num" w:pos="907"/>
        </w:tabs>
        <w:ind w:left="907" w:hanging="907"/>
      </w:pPr>
      <w:rPr>
        <w:rFonts w:hint="default"/>
      </w:rPr>
    </w:lvl>
    <w:lvl w:ilvl="1">
      <w:start w:val="1"/>
      <w:numFmt w:val="decimal"/>
      <w:lvlText w:val="8.5.%2."/>
      <w:lvlJc w:val="left"/>
      <w:pPr>
        <w:tabs>
          <w:tab w:val="num" w:pos="907"/>
        </w:tabs>
        <w:ind w:left="567" w:hanging="567"/>
      </w:pPr>
      <w:rPr>
        <w:rFonts w:hint="default"/>
        <w:b w:val="0"/>
        <w:color w:val="auto"/>
      </w:rPr>
    </w:lvl>
    <w:lvl w:ilvl="2">
      <w:start w:val="1"/>
      <w:numFmt w:val="decimal"/>
      <w:lvlText w:val="2.2.%3."/>
      <w:lvlJc w:val="left"/>
      <w:pPr>
        <w:tabs>
          <w:tab w:val="num" w:pos="1190"/>
        </w:tabs>
        <w:ind w:left="1190" w:hanging="907"/>
      </w:pPr>
      <w:rPr>
        <w:rFonts w:hint="default"/>
        <w:b w:val="0"/>
      </w:rPr>
    </w:lvl>
    <w:lvl w:ilvl="3">
      <w:start w:val="1"/>
      <w:numFmt w:val="decimal"/>
      <w:lvlText w:val="%1.%2.%3.%4."/>
      <w:lvlJc w:val="left"/>
      <w:pPr>
        <w:tabs>
          <w:tab w:val="num" w:pos="1790"/>
        </w:tabs>
        <w:ind w:left="1617" w:hanging="907"/>
      </w:pPr>
      <w:rPr>
        <w:rFonts w:hint="default"/>
        <w:b w:val="0"/>
      </w:rPr>
    </w:lvl>
    <w:lvl w:ilvl="4">
      <w:start w:val="1"/>
      <w:numFmt w:val="decimal"/>
      <w:lvlText w:val="%1.%2.%3.%4.%5."/>
      <w:lvlJc w:val="left"/>
      <w:pPr>
        <w:tabs>
          <w:tab w:val="num" w:pos="1440"/>
        </w:tabs>
        <w:ind w:left="907" w:hanging="907"/>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685A14B3"/>
    <w:multiLevelType w:val="hybridMultilevel"/>
    <w:tmpl w:val="BE08DD8C"/>
    <w:lvl w:ilvl="0" w:tplc="98D4AA60">
      <w:start w:val="1"/>
      <w:numFmt w:val="upp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2" w15:restartNumberingAfterBreak="0">
    <w:nsid w:val="6DDB35F3"/>
    <w:multiLevelType w:val="hybridMultilevel"/>
    <w:tmpl w:val="FE00CA8E"/>
    <w:lvl w:ilvl="0" w:tplc="FD540A80">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3" w15:restartNumberingAfterBreak="0">
    <w:nsid w:val="6F3C259D"/>
    <w:multiLevelType w:val="hybridMultilevel"/>
    <w:tmpl w:val="375E7C14"/>
    <w:lvl w:ilvl="0" w:tplc="7898D9C0">
      <w:start w:val="7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F9A2DFF"/>
    <w:multiLevelType w:val="hybridMultilevel"/>
    <w:tmpl w:val="FE00CA8E"/>
    <w:lvl w:ilvl="0" w:tplc="FD540A80">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5" w15:restartNumberingAfterBreak="0">
    <w:nsid w:val="72CE24AC"/>
    <w:multiLevelType w:val="hybridMultilevel"/>
    <w:tmpl w:val="BE08DD8C"/>
    <w:lvl w:ilvl="0" w:tplc="98D4AA60">
      <w:start w:val="1"/>
      <w:numFmt w:val="upp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46" w15:restartNumberingAfterBreak="0">
    <w:nsid w:val="73640E7D"/>
    <w:multiLevelType w:val="multilevel"/>
    <w:tmpl w:val="4956C738"/>
    <w:lvl w:ilvl="0">
      <w:start w:val="2"/>
      <w:numFmt w:val="decimal"/>
      <w:lvlText w:val="%1."/>
      <w:lvlJc w:val="left"/>
      <w:pPr>
        <w:ind w:left="720" w:hanging="360"/>
      </w:pPr>
      <w:rPr>
        <w:rFonts w:hint="default"/>
      </w:rPr>
    </w:lvl>
    <w:lvl w:ilvl="1">
      <w:start w:val="1"/>
      <w:numFmt w:val="decimal"/>
      <w:isLgl/>
      <w:lvlText w:val="%1.%2."/>
      <w:lvlJc w:val="left"/>
      <w:pPr>
        <w:ind w:left="3054" w:hanging="360"/>
      </w:pPr>
      <w:rPr>
        <w:rFonts w:hint="default"/>
        <w:b/>
      </w:rPr>
    </w:lvl>
    <w:lvl w:ilvl="2">
      <w:start w:val="1"/>
      <w:numFmt w:val="decimal"/>
      <w:isLgl/>
      <w:lvlText w:val="%1.%2.%3."/>
      <w:lvlJc w:val="left"/>
      <w:pPr>
        <w:ind w:left="5748" w:hanging="720"/>
      </w:pPr>
      <w:rPr>
        <w:rFonts w:hint="default"/>
        <w:b/>
      </w:rPr>
    </w:lvl>
    <w:lvl w:ilvl="3">
      <w:start w:val="1"/>
      <w:numFmt w:val="decimal"/>
      <w:isLgl/>
      <w:lvlText w:val="%1.%2.%3.%4."/>
      <w:lvlJc w:val="left"/>
      <w:pPr>
        <w:ind w:left="8082" w:hanging="720"/>
      </w:pPr>
      <w:rPr>
        <w:rFonts w:hint="default"/>
        <w:b/>
      </w:rPr>
    </w:lvl>
    <w:lvl w:ilvl="4">
      <w:start w:val="1"/>
      <w:numFmt w:val="decimal"/>
      <w:isLgl/>
      <w:lvlText w:val="%1.%2.%3.%4.%5."/>
      <w:lvlJc w:val="left"/>
      <w:pPr>
        <w:ind w:left="10776" w:hanging="1080"/>
      </w:pPr>
      <w:rPr>
        <w:rFonts w:hint="default"/>
        <w:b/>
      </w:rPr>
    </w:lvl>
    <w:lvl w:ilvl="5">
      <w:start w:val="1"/>
      <w:numFmt w:val="decimal"/>
      <w:isLgl/>
      <w:lvlText w:val="%1.%2.%3.%4.%5.%6."/>
      <w:lvlJc w:val="left"/>
      <w:pPr>
        <w:ind w:left="13110" w:hanging="1080"/>
      </w:pPr>
      <w:rPr>
        <w:rFonts w:hint="default"/>
        <w:b/>
      </w:rPr>
    </w:lvl>
    <w:lvl w:ilvl="6">
      <w:start w:val="1"/>
      <w:numFmt w:val="decimal"/>
      <w:isLgl/>
      <w:lvlText w:val="%1.%2.%3.%4.%5.%6.%7."/>
      <w:lvlJc w:val="left"/>
      <w:pPr>
        <w:ind w:left="15804" w:hanging="1440"/>
      </w:pPr>
      <w:rPr>
        <w:rFonts w:hint="default"/>
        <w:b/>
      </w:rPr>
    </w:lvl>
    <w:lvl w:ilvl="7">
      <w:start w:val="1"/>
      <w:numFmt w:val="decimal"/>
      <w:isLgl/>
      <w:lvlText w:val="%1.%2.%3.%4.%5.%6.%7.%8."/>
      <w:lvlJc w:val="left"/>
      <w:pPr>
        <w:ind w:left="18138" w:hanging="1440"/>
      </w:pPr>
      <w:rPr>
        <w:rFonts w:hint="default"/>
        <w:b/>
      </w:rPr>
    </w:lvl>
    <w:lvl w:ilvl="8">
      <w:start w:val="1"/>
      <w:numFmt w:val="decimal"/>
      <w:isLgl/>
      <w:lvlText w:val="%1.%2.%3.%4.%5.%6.%7.%8.%9."/>
      <w:lvlJc w:val="left"/>
      <w:pPr>
        <w:ind w:left="20832" w:hanging="1800"/>
      </w:pPr>
      <w:rPr>
        <w:rFonts w:hint="default"/>
        <w:b/>
      </w:rPr>
    </w:lvl>
  </w:abstractNum>
  <w:abstractNum w:abstractNumId="47" w15:restartNumberingAfterBreak="0">
    <w:nsid w:val="756C7614"/>
    <w:multiLevelType w:val="hybridMultilevel"/>
    <w:tmpl w:val="799A936A"/>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8" w15:restartNumberingAfterBreak="0">
    <w:nsid w:val="7972582C"/>
    <w:multiLevelType w:val="hybridMultilevel"/>
    <w:tmpl w:val="D3004914"/>
    <w:lvl w:ilvl="0" w:tplc="1034126A">
      <w:start w:val="1"/>
      <w:numFmt w:val="bullet"/>
      <w:pStyle w:val="testobullet"/>
      <w:lvlText w:val="●"/>
      <w:lvlJc w:val="left"/>
      <w:pPr>
        <w:ind w:left="720" w:hanging="360"/>
      </w:pPr>
      <w:rPr>
        <w:rFonts w:ascii="Arial" w:hAnsi="Arial" w:hint="default"/>
        <w:color w:val="BD2027"/>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7C325BCD"/>
    <w:multiLevelType w:val="hybridMultilevel"/>
    <w:tmpl w:val="FE00CA8E"/>
    <w:lvl w:ilvl="0" w:tplc="FD540A80">
      <w:start w:val="1"/>
      <w:numFmt w:val="lowerLetter"/>
      <w:lvlText w:val="%1)"/>
      <w:lvlJc w:val="left"/>
      <w:pPr>
        <w:ind w:left="1287" w:hanging="360"/>
      </w:pPr>
      <w:rPr>
        <w:rFonts w:hint="default"/>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0" w15:restartNumberingAfterBreak="0">
    <w:nsid w:val="7DCD7699"/>
    <w:multiLevelType w:val="multilevel"/>
    <w:tmpl w:val="DA2A165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1" w15:restartNumberingAfterBreak="0">
    <w:nsid w:val="7E1E2AD3"/>
    <w:multiLevelType w:val="multilevel"/>
    <w:tmpl w:val="151A0EB6"/>
    <w:lvl w:ilvl="0">
      <w:start w:val="2"/>
      <w:numFmt w:val="decimal"/>
      <w:lvlText w:val="%1."/>
      <w:lvlJc w:val="left"/>
      <w:pPr>
        <w:ind w:left="705" w:hanging="705"/>
      </w:pPr>
      <w:rPr>
        <w:rFonts w:hint="default"/>
      </w:rPr>
    </w:lvl>
    <w:lvl w:ilvl="1">
      <w:start w:val="4"/>
      <w:numFmt w:val="decimal"/>
      <w:lvlText w:val="%1.%2."/>
      <w:lvlJc w:val="left"/>
      <w:pPr>
        <w:ind w:left="894" w:hanging="705"/>
      </w:pPr>
      <w:rPr>
        <w:rFonts w:hint="default"/>
      </w:rPr>
    </w:lvl>
    <w:lvl w:ilvl="2">
      <w:start w:val="1"/>
      <w:numFmt w:val="decimal"/>
      <w:lvlText w:val="%1.%2.%3."/>
      <w:lvlJc w:val="left"/>
      <w:pPr>
        <w:ind w:left="1098" w:hanging="720"/>
      </w:pPr>
      <w:rPr>
        <w:rFonts w:hint="default"/>
      </w:rPr>
    </w:lvl>
    <w:lvl w:ilvl="3">
      <w:start w:val="2"/>
      <w:numFmt w:val="decimal"/>
      <w:lvlText w:val="%1.%2.%3.%4."/>
      <w:lvlJc w:val="left"/>
      <w:pPr>
        <w:ind w:left="4123" w:hanging="720"/>
      </w:pPr>
      <w:rPr>
        <w:rFonts w:hint="default"/>
        <w:b w:val="0"/>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num w:numId="1" w16cid:durableId="1615625424">
    <w:abstractNumId w:val="48"/>
  </w:num>
  <w:num w:numId="2" w16cid:durableId="1659846765">
    <w:abstractNumId w:val="23"/>
  </w:num>
  <w:num w:numId="3" w16cid:durableId="1052464843">
    <w:abstractNumId w:val="2"/>
  </w:num>
  <w:num w:numId="4" w16cid:durableId="655687817">
    <w:abstractNumId w:val="20"/>
  </w:num>
  <w:num w:numId="5" w16cid:durableId="882257660">
    <w:abstractNumId w:val="0"/>
  </w:num>
  <w:num w:numId="6" w16cid:durableId="897860779">
    <w:abstractNumId w:val="39"/>
  </w:num>
  <w:num w:numId="7" w16cid:durableId="1537354739">
    <w:abstractNumId w:val="4"/>
  </w:num>
  <w:num w:numId="8" w16cid:durableId="1567951952">
    <w:abstractNumId w:val="31"/>
  </w:num>
  <w:num w:numId="9" w16cid:durableId="1425106286">
    <w:abstractNumId w:val="15"/>
  </w:num>
  <w:num w:numId="10" w16cid:durableId="1103955913">
    <w:abstractNumId w:val="36"/>
  </w:num>
  <w:num w:numId="11" w16cid:durableId="873613955">
    <w:abstractNumId w:val="25"/>
  </w:num>
  <w:num w:numId="12" w16cid:durableId="829634813">
    <w:abstractNumId w:val="16"/>
  </w:num>
  <w:num w:numId="13" w16cid:durableId="763765010">
    <w:abstractNumId w:val="34"/>
  </w:num>
  <w:num w:numId="14" w16cid:durableId="1058090321">
    <w:abstractNumId w:val="38"/>
  </w:num>
  <w:num w:numId="15" w16cid:durableId="1821844174">
    <w:abstractNumId w:val="17"/>
  </w:num>
  <w:num w:numId="16" w16cid:durableId="789588750">
    <w:abstractNumId w:val="13"/>
  </w:num>
  <w:num w:numId="17" w16cid:durableId="1523320593">
    <w:abstractNumId w:val="49"/>
  </w:num>
  <w:num w:numId="18" w16cid:durableId="657155571">
    <w:abstractNumId w:val="28"/>
  </w:num>
  <w:num w:numId="19" w16cid:durableId="794952700">
    <w:abstractNumId w:val="40"/>
  </w:num>
  <w:num w:numId="20" w16cid:durableId="2120297067">
    <w:abstractNumId w:val="44"/>
  </w:num>
  <w:num w:numId="21" w16cid:durableId="1458796094">
    <w:abstractNumId w:val="3"/>
  </w:num>
  <w:num w:numId="22" w16cid:durableId="2056004719">
    <w:abstractNumId w:val="10"/>
  </w:num>
  <w:num w:numId="23" w16cid:durableId="95643364">
    <w:abstractNumId w:val="6"/>
  </w:num>
  <w:num w:numId="24" w16cid:durableId="1789734161">
    <w:abstractNumId w:val="33"/>
  </w:num>
  <w:num w:numId="25" w16cid:durableId="1967196615">
    <w:abstractNumId w:val="7"/>
  </w:num>
  <w:num w:numId="26" w16cid:durableId="2087337067">
    <w:abstractNumId w:val="19"/>
  </w:num>
  <w:num w:numId="27" w16cid:durableId="2097633324">
    <w:abstractNumId w:val="37"/>
  </w:num>
  <w:num w:numId="28" w16cid:durableId="294943625">
    <w:abstractNumId w:val="21"/>
  </w:num>
  <w:num w:numId="29" w16cid:durableId="935362337">
    <w:abstractNumId w:val="24"/>
  </w:num>
  <w:num w:numId="30" w16cid:durableId="868950667">
    <w:abstractNumId w:val="9"/>
  </w:num>
  <w:num w:numId="31" w16cid:durableId="1127746400">
    <w:abstractNumId w:val="35"/>
  </w:num>
  <w:num w:numId="32" w16cid:durableId="536161213">
    <w:abstractNumId w:val="32"/>
  </w:num>
  <w:num w:numId="33" w16cid:durableId="1660843238">
    <w:abstractNumId w:val="22"/>
  </w:num>
  <w:num w:numId="34" w16cid:durableId="2061778935">
    <w:abstractNumId w:val="30"/>
  </w:num>
  <w:num w:numId="35" w16cid:durableId="1960136432">
    <w:abstractNumId w:val="8"/>
  </w:num>
  <w:num w:numId="36" w16cid:durableId="872500591">
    <w:abstractNumId w:val="1"/>
  </w:num>
  <w:num w:numId="37" w16cid:durableId="1742678945">
    <w:abstractNumId w:val="14"/>
  </w:num>
  <w:num w:numId="38" w16cid:durableId="1903978033">
    <w:abstractNumId w:val="29"/>
  </w:num>
  <w:num w:numId="39" w16cid:durableId="1338269896">
    <w:abstractNumId w:val="42"/>
  </w:num>
  <w:num w:numId="40" w16cid:durableId="1965116020">
    <w:abstractNumId w:val="41"/>
  </w:num>
  <w:num w:numId="41" w16cid:durableId="661928411">
    <w:abstractNumId w:val="5"/>
  </w:num>
  <w:num w:numId="42" w16cid:durableId="1442068749">
    <w:abstractNumId w:val="45"/>
  </w:num>
  <w:num w:numId="43" w16cid:durableId="160044229">
    <w:abstractNumId w:val="12"/>
  </w:num>
  <w:num w:numId="44" w16cid:durableId="1361707313">
    <w:abstractNumId w:val="18"/>
  </w:num>
  <w:num w:numId="45" w16cid:durableId="11886513">
    <w:abstractNumId w:val="27"/>
  </w:num>
  <w:num w:numId="46" w16cid:durableId="1125584725">
    <w:abstractNumId w:val="43"/>
  </w:num>
  <w:num w:numId="47" w16cid:durableId="1379864198">
    <w:abstractNumId w:val="11"/>
  </w:num>
  <w:num w:numId="48" w16cid:durableId="758603587">
    <w:abstractNumId w:val="47"/>
  </w:num>
  <w:num w:numId="49" w16cid:durableId="46346555">
    <w:abstractNumId w:val="51"/>
  </w:num>
  <w:num w:numId="50" w16cid:durableId="37633602">
    <w:abstractNumId w:val="50"/>
  </w:num>
  <w:num w:numId="51" w16cid:durableId="1634559216">
    <w:abstractNumId w:val="46"/>
  </w:num>
  <w:num w:numId="52" w16cid:durableId="415640328">
    <w:abstractNumId w:val="2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36D"/>
    <w:rsid w:val="00001C8F"/>
    <w:rsid w:val="0000334F"/>
    <w:rsid w:val="00004D52"/>
    <w:rsid w:val="00007355"/>
    <w:rsid w:val="0000747D"/>
    <w:rsid w:val="00007949"/>
    <w:rsid w:val="00007979"/>
    <w:rsid w:val="00010116"/>
    <w:rsid w:val="00010F19"/>
    <w:rsid w:val="00013797"/>
    <w:rsid w:val="0001499B"/>
    <w:rsid w:val="0001557F"/>
    <w:rsid w:val="00023B1A"/>
    <w:rsid w:val="00033026"/>
    <w:rsid w:val="0003541F"/>
    <w:rsid w:val="00036506"/>
    <w:rsid w:val="00044BB5"/>
    <w:rsid w:val="00046FD0"/>
    <w:rsid w:val="000506A5"/>
    <w:rsid w:val="00050B7B"/>
    <w:rsid w:val="000514A8"/>
    <w:rsid w:val="000522B8"/>
    <w:rsid w:val="00054AF9"/>
    <w:rsid w:val="000567F0"/>
    <w:rsid w:val="00056A4E"/>
    <w:rsid w:val="000606BD"/>
    <w:rsid w:val="00062062"/>
    <w:rsid w:val="0006506E"/>
    <w:rsid w:val="000653E7"/>
    <w:rsid w:val="00065BA6"/>
    <w:rsid w:val="00065D91"/>
    <w:rsid w:val="000731A0"/>
    <w:rsid w:val="0007441A"/>
    <w:rsid w:val="00074C52"/>
    <w:rsid w:val="00077EBC"/>
    <w:rsid w:val="00081AE1"/>
    <w:rsid w:val="0008280B"/>
    <w:rsid w:val="00083E3D"/>
    <w:rsid w:val="000935E1"/>
    <w:rsid w:val="000960EB"/>
    <w:rsid w:val="000979D9"/>
    <w:rsid w:val="000A0284"/>
    <w:rsid w:val="000A2C63"/>
    <w:rsid w:val="000A4C0A"/>
    <w:rsid w:val="000B1DE5"/>
    <w:rsid w:val="000B4B1D"/>
    <w:rsid w:val="000B52E3"/>
    <w:rsid w:val="000C00D2"/>
    <w:rsid w:val="000C08A7"/>
    <w:rsid w:val="000C3BED"/>
    <w:rsid w:val="000C781C"/>
    <w:rsid w:val="000D27AB"/>
    <w:rsid w:val="000E08D7"/>
    <w:rsid w:val="000E09BC"/>
    <w:rsid w:val="000E42DB"/>
    <w:rsid w:val="000E4343"/>
    <w:rsid w:val="000E4950"/>
    <w:rsid w:val="000E606E"/>
    <w:rsid w:val="000F0DAD"/>
    <w:rsid w:val="000F393D"/>
    <w:rsid w:val="000F4E95"/>
    <w:rsid w:val="000F53C8"/>
    <w:rsid w:val="000F5ED7"/>
    <w:rsid w:val="0010547A"/>
    <w:rsid w:val="001076C6"/>
    <w:rsid w:val="00107C53"/>
    <w:rsid w:val="00110A37"/>
    <w:rsid w:val="00110F63"/>
    <w:rsid w:val="00111C59"/>
    <w:rsid w:val="00112CDF"/>
    <w:rsid w:val="00113879"/>
    <w:rsid w:val="001159A2"/>
    <w:rsid w:val="001164F6"/>
    <w:rsid w:val="0012438D"/>
    <w:rsid w:val="001251C9"/>
    <w:rsid w:val="00130E03"/>
    <w:rsid w:val="00132C22"/>
    <w:rsid w:val="001334A5"/>
    <w:rsid w:val="001335EA"/>
    <w:rsid w:val="00134FC7"/>
    <w:rsid w:val="00136E91"/>
    <w:rsid w:val="00137D1E"/>
    <w:rsid w:val="00143722"/>
    <w:rsid w:val="0014466B"/>
    <w:rsid w:val="00147539"/>
    <w:rsid w:val="001478A2"/>
    <w:rsid w:val="001508C1"/>
    <w:rsid w:val="001514AD"/>
    <w:rsid w:val="0015434A"/>
    <w:rsid w:val="001552FC"/>
    <w:rsid w:val="00155A5F"/>
    <w:rsid w:val="001560E3"/>
    <w:rsid w:val="00156940"/>
    <w:rsid w:val="00160184"/>
    <w:rsid w:val="001610C1"/>
    <w:rsid w:val="00161662"/>
    <w:rsid w:val="00161E9E"/>
    <w:rsid w:val="00162DB4"/>
    <w:rsid w:val="00162EB1"/>
    <w:rsid w:val="001754EE"/>
    <w:rsid w:val="001777A4"/>
    <w:rsid w:val="0018028F"/>
    <w:rsid w:val="0018058C"/>
    <w:rsid w:val="001814BE"/>
    <w:rsid w:val="00181C59"/>
    <w:rsid w:val="00182B34"/>
    <w:rsid w:val="00185744"/>
    <w:rsid w:val="00192A6C"/>
    <w:rsid w:val="00196E1F"/>
    <w:rsid w:val="001A1A0D"/>
    <w:rsid w:val="001A6D67"/>
    <w:rsid w:val="001A6D73"/>
    <w:rsid w:val="001B11B8"/>
    <w:rsid w:val="001B1397"/>
    <w:rsid w:val="001C0CA2"/>
    <w:rsid w:val="001C1A2F"/>
    <w:rsid w:val="001C3222"/>
    <w:rsid w:val="001D1774"/>
    <w:rsid w:val="001D59D1"/>
    <w:rsid w:val="001E16C8"/>
    <w:rsid w:val="001E197D"/>
    <w:rsid w:val="001E30E6"/>
    <w:rsid w:val="001E4BB3"/>
    <w:rsid w:val="001E794E"/>
    <w:rsid w:val="001F39D3"/>
    <w:rsid w:val="001F5F16"/>
    <w:rsid w:val="001F7555"/>
    <w:rsid w:val="0020057B"/>
    <w:rsid w:val="00201A65"/>
    <w:rsid w:val="00203AEC"/>
    <w:rsid w:val="00203B28"/>
    <w:rsid w:val="002112C4"/>
    <w:rsid w:val="00215A58"/>
    <w:rsid w:val="0022185F"/>
    <w:rsid w:val="00224664"/>
    <w:rsid w:val="002273F4"/>
    <w:rsid w:val="00227670"/>
    <w:rsid w:val="00227822"/>
    <w:rsid w:val="00231B0B"/>
    <w:rsid w:val="00233619"/>
    <w:rsid w:val="00240848"/>
    <w:rsid w:val="00242AB4"/>
    <w:rsid w:val="00245A36"/>
    <w:rsid w:val="00250DED"/>
    <w:rsid w:val="00252155"/>
    <w:rsid w:val="00253A14"/>
    <w:rsid w:val="0025605E"/>
    <w:rsid w:val="002563E4"/>
    <w:rsid w:val="002601CD"/>
    <w:rsid w:val="002615CE"/>
    <w:rsid w:val="002646F9"/>
    <w:rsid w:val="00264EED"/>
    <w:rsid w:val="00266C53"/>
    <w:rsid w:val="00273E61"/>
    <w:rsid w:val="00276CB2"/>
    <w:rsid w:val="0027784A"/>
    <w:rsid w:val="002816C4"/>
    <w:rsid w:val="00281C7E"/>
    <w:rsid w:val="002820E0"/>
    <w:rsid w:val="002841B3"/>
    <w:rsid w:val="002845CB"/>
    <w:rsid w:val="00286087"/>
    <w:rsid w:val="00286954"/>
    <w:rsid w:val="00286CFB"/>
    <w:rsid w:val="002912D8"/>
    <w:rsid w:val="00293DE5"/>
    <w:rsid w:val="0029438C"/>
    <w:rsid w:val="00297ED7"/>
    <w:rsid w:val="002A28C7"/>
    <w:rsid w:val="002A4013"/>
    <w:rsid w:val="002A7DB7"/>
    <w:rsid w:val="002B0E29"/>
    <w:rsid w:val="002B0E5A"/>
    <w:rsid w:val="002B193A"/>
    <w:rsid w:val="002B2A47"/>
    <w:rsid w:val="002B54B0"/>
    <w:rsid w:val="002B63F5"/>
    <w:rsid w:val="002B662C"/>
    <w:rsid w:val="002B7CA2"/>
    <w:rsid w:val="002C26AC"/>
    <w:rsid w:val="002D0603"/>
    <w:rsid w:val="002D1E66"/>
    <w:rsid w:val="002D4921"/>
    <w:rsid w:val="002D4FAF"/>
    <w:rsid w:val="002D5960"/>
    <w:rsid w:val="002E2DDA"/>
    <w:rsid w:val="002E6791"/>
    <w:rsid w:val="002E7A78"/>
    <w:rsid w:val="002F51AF"/>
    <w:rsid w:val="00302A67"/>
    <w:rsid w:val="0030327F"/>
    <w:rsid w:val="00303332"/>
    <w:rsid w:val="00303946"/>
    <w:rsid w:val="00304EF0"/>
    <w:rsid w:val="003058EB"/>
    <w:rsid w:val="00314A34"/>
    <w:rsid w:val="00323CA8"/>
    <w:rsid w:val="00324FA0"/>
    <w:rsid w:val="003270A7"/>
    <w:rsid w:val="003317D1"/>
    <w:rsid w:val="003364D1"/>
    <w:rsid w:val="0035117A"/>
    <w:rsid w:val="00352A05"/>
    <w:rsid w:val="003550DE"/>
    <w:rsid w:val="003552E9"/>
    <w:rsid w:val="00356523"/>
    <w:rsid w:val="00362FF9"/>
    <w:rsid w:val="003642B8"/>
    <w:rsid w:val="00364AFB"/>
    <w:rsid w:val="003668C7"/>
    <w:rsid w:val="00373B82"/>
    <w:rsid w:val="00376699"/>
    <w:rsid w:val="003808A0"/>
    <w:rsid w:val="0038636D"/>
    <w:rsid w:val="00387835"/>
    <w:rsid w:val="0039638E"/>
    <w:rsid w:val="003A1EC0"/>
    <w:rsid w:val="003A2FE4"/>
    <w:rsid w:val="003A358F"/>
    <w:rsid w:val="003A3896"/>
    <w:rsid w:val="003A5C0B"/>
    <w:rsid w:val="003A6E9A"/>
    <w:rsid w:val="003A72AD"/>
    <w:rsid w:val="003A7D30"/>
    <w:rsid w:val="003B2A2D"/>
    <w:rsid w:val="003B4955"/>
    <w:rsid w:val="003B4BB0"/>
    <w:rsid w:val="003B4D5D"/>
    <w:rsid w:val="003B55D2"/>
    <w:rsid w:val="003B656F"/>
    <w:rsid w:val="003B78FC"/>
    <w:rsid w:val="003C29AB"/>
    <w:rsid w:val="003C2E02"/>
    <w:rsid w:val="003C4960"/>
    <w:rsid w:val="003D074D"/>
    <w:rsid w:val="003D187D"/>
    <w:rsid w:val="003D1C92"/>
    <w:rsid w:val="003E1043"/>
    <w:rsid w:val="003E1E42"/>
    <w:rsid w:val="003E22CF"/>
    <w:rsid w:val="003E33C3"/>
    <w:rsid w:val="003E3A9C"/>
    <w:rsid w:val="003F3856"/>
    <w:rsid w:val="003F6C0F"/>
    <w:rsid w:val="003F6DC6"/>
    <w:rsid w:val="00401A79"/>
    <w:rsid w:val="0040243A"/>
    <w:rsid w:val="00404387"/>
    <w:rsid w:val="0040487C"/>
    <w:rsid w:val="00411543"/>
    <w:rsid w:val="00413950"/>
    <w:rsid w:val="004139DB"/>
    <w:rsid w:val="0041444D"/>
    <w:rsid w:val="004147CA"/>
    <w:rsid w:val="00415313"/>
    <w:rsid w:val="00416352"/>
    <w:rsid w:val="00420760"/>
    <w:rsid w:val="00423EB6"/>
    <w:rsid w:val="00423FB5"/>
    <w:rsid w:val="00424CFD"/>
    <w:rsid w:val="004261BF"/>
    <w:rsid w:val="00426D13"/>
    <w:rsid w:val="00434264"/>
    <w:rsid w:val="00434596"/>
    <w:rsid w:val="00436AFA"/>
    <w:rsid w:val="0043732D"/>
    <w:rsid w:val="00437694"/>
    <w:rsid w:val="00443969"/>
    <w:rsid w:val="00443D7A"/>
    <w:rsid w:val="004457A8"/>
    <w:rsid w:val="004459F8"/>
    <w:rsid w:val="00446082"/>
    <w:rsid w:val="00446090"/>
    <w:rsid w:val="004465CE"/>
    <w:rsid w:val="004522AC"/>
    <w:rsid w:val="004529DC"/>
    <w:rsid w:val="00456EEF"/>
    <w:rsid w:val="004658DF"/>
    <w:rsid w:val="00467B45"/>
    <w:rsid w:val="00467E7F"/>
    <w:rsid w:val="004711F7"/>
    <w:rsid w:val="00474164"/>
    <w:rsid w:val="00474F94"/>
    <w:rsid w:val="004751B9"/>
    <w:rsid w:val="00476D75"/>
    <w:rsid w:val="00481B07"/>
    <w:rsid w:val="00483F36"/>
    <w:rsid w:val="00484148"/>
    <w:rsid w:val="0048429C"/>
    <w:rsid w:val="004869E6"/>
    <w:rsid w:val="0049180B"/>
    <w:rsid w:val="00497A16"/>
    <w:rsid w:val="004A2072"/>
    <w:rsid w:val="004A378D"/>
    <w:rsid w:val="004A584A"/>
    <w:rsid w:val="004B4478"/>
    <w:rsid w:val="004B563A"/>
    <w:rsid w:val="004B6E6A"/>
    <w:rsid w:val="004C38CF"/>
    <w:rsid w:val="004C507F"/>
    <w:rsid w:val="004C5539"/>
    <w:rsid w:val="004C5FC4"/>
    <w:rsid w:val="004D0046"/>
    <w:rsid w:val="004D1D55"/>
    <w:rsid w:val="004D2187"/>
    <w:rsid w:val="004D2AB6"/>
    <w:rsid w:val="004D3102"/>
    <w:rsid w:val="004D4835"/>
    <w:rsid w:val="004D5689"/>
    <w:rsid w:val="004D7B6A"/>
    <w:rsid w:val="004E18CC"/>
    <w:rsid w:val="004E2363"/>
    <w:rsid w:val="004E35BD"/>
    <w:rsid w:val="004E3F98"/>
    <w:rsid w:val="004E5E87"/>
    <w:rsid w:val="004F1D12"/>
    <w:rsid w:val="004F5AC4"/>
    <w:rsid w:val="004F5DCE"/>
    <w:rsid w:val="004F6408"/>
    <w:rsid w:val="004F7C1A"/>
    <w:rsid w:val="00500A24"/>
    <w:rsid w:val="0050234B"/>
    <w:rsid w:val="00504946"/>
    <w:rsid w:val="00505554"/>
    <w:rsid w:val="00505F03"/>
    <w:rsid w:val="005072DB"/>
    <w:rsid w:val="005078C0"/>
    <w:rsid w:val="00507DC1"/>
    <w:rsid w:val="00511A99"/>
    <w:rsid w:val="00513C6D"/>
    <w:rsid w:val="00523B87"/>
    <w:rsid w:val="00524F28"/>
    <w:rsid w:val="0052660F"/>
    <w:rsid w:val="00526CD0"/>
    <w:rsid w:val="0052733C"/>
    <w:rsid w:val="00527B69"/>
    <w:rsid w:val="00530A17"/>
    <w:rsid w:val="0053216B"/>
    <w:rsid w:val="00537554"/>
    <w:rsid w:val="00537A76"/>
    <w:rsid w:val="005424ED"/>
    <w:rsid w:val="0054286E"/>
    <w:rsid w:val="0054357C"/>
    <w:rsid w:val="00543CDB"/>
    <w:rsid w:val="0054481D"/>
    <w:rsid w:val="00551054"/>
    <w:rsid w:val="00551E66"/>
    <w:rsid w:val="00553E0A"/>
    <w:rsid w:val="00554E3A"/>
    <w:rsid w:val="00555A2F"/>
    <w:rsid w:val="00556BDD"/>
    <w:rsid w:val="00557DB8"/>
    <w:rsid w:val="005600B0"/>
    <w:rsid w:val="005615CE"/>
    <w:rsid w:val="0056485C"/>
    <w:rsid w:val="005675C0"/>
    <w:rsid w:val="005679D8"/>
    <w:rsid w:val="00567D0E"/>
    <w:rsid w:val="00574BA6"/>
    <w:rsid w:val="00575B47"/>
    <w:rsid w:val="00575F6A"/>
    <w:rsid w:val="00581FE9"/>
    <w:rsid w:val="0058736D"/>
    <w:rsid w:val="005917AD"/>
    <w:rsid w:val="00596606"/>
    <w:rsid w:val="00596CD4"/>
    <w:rsid w:val="00597B83"/>
    <w:rsid w:val="005A0071"/>
    <w:rsid w:val="005A07A1"/>
    <w:rsid w:val="005A0E66"/>
    <w:rsid w:val="005A1978"/>
    <w:rsid w:val="005A39F3"/>
    <w:rsid w:val="005A5F81"/>
    <w:rsid w:val="005A6F7B"/>
    <w:rsid w:val="005B0028"/>
    <w:rsid w:val="005B108E"/>
    <w:rsid w:val="005B274D"/>
    <w:rsid w:val="005B5434"/>
    <w:rsid w:val="005C4AE1"/>
    <w:rsid w:val="005C656C"/>
    <w:rsid w:val="005C769E"/>
    <w:rsid w:val="005D018B"/>
    <w:rsid w:val="005D167C"/>
    <w:rsid w:val="005D328F"/>
    <w:rsid w:val="005D792D"/>
    <w:rsid w:val="005E03D5"/>
    <w:rsid w:val="005E1C07"/>
    <w:rsid w:val="005E4DDA"/>
    <w:rsid w:val="005E591D"/>
    <w:rsid w:val="005F38A6"/>
    <w:rsid w:val="005F6E1C"/>
    <w:rsid w:val="005F7AC4"/>
    <w:rsid w:val="0060066F"/>
    <w:rsid w:val="00600A18"/>
    <w:rsid w:val="006015BA"/>
    <w:rsid w:val="006019A2"/>
    <w:rsid w:val="00601BC3"/>
    <w:rsid w:val="00602EDC"/>
    <w:rsid w:val="006036E9"/>
    <w:rsid w:val="00605D0A"/>
    <w:rsid w:val="0060674F"/>
    <w:rsid w:val="006072EE"/>
    <w:rsid w:val="00610E0B"/>
    <w:rsid w:val="006127C1"/>
    <w:rsid w:val="00612AFA"/>
    <w:rsid w:val="006152F1"/>
    <w:rsid w:val="00617630"/>
    <w:rsid w:val="00626045"/>
    <w:rsid w:val="00627BBD"/>
    <w:rsid w:val="00633288"/>
    <w:rsid w:val="00636561"/>
    <w:rsid w:val="00637790"/>
    <w:rsid w:val="00640E4B"/>
    <w:rsid w:val="00640EA4"/>
    <w:rsid w:val="006415BC"/>
    <w:rsid w:val="00644538"/>
    <w:rsid w:val="00644761"/>
    <w:rsid w:val="0065180F"/>
    <w:rsid w:val="006553F5"/>
    <w:rsid w:val="0065716C"/>
    <w:rsid w:val="006619FB"/>
    <w:rsid w:val="00662CED"/>
    <w:rsid w:val="00664DF8"/>
    <w:rsid w:val="00666264"/>
    <w:rsid w:val="006667AB"/>
    <w:rsid w:val="00670EE8"/>
    <w:rsid w:val="00674121"/>
    <w:rsid w:val="006750A4"/>
    <w:rsid w:val="00675C85"/>
    <w:rsid w:val="006774B3"/>
    <w:rsid w:val="00680E7A"/>
    <w:rsid w:val="00684210"/>
    <w:rsid w:val="00685E43"/>
    <w:rsid w:val="006871BF"/>
    <w:rsid w:val="0068781F"/>
    <w:rsid w:val="00687B6F"/>
    <w:rsid w:val="006931ED"/>
    <w:rsid w:val="006932BE"/>
    <w:rsid w:val="00694EE8"/>
    <w:rsid w:val="00695C1C"/>
    <w:rsid w:val="00695F0B"/>
    <w:rsid w:val="006971A2"/>
    <w:rsid w:val="006971E5"/>
    <w:rsid w:val="006A43AA"/>
    <w:rsid w:val="006A4DB1"/>
    <w:rsid w:val="006A536D"/>
    <w:rsid w:val="006B1AFC"/>
    <w:rsid w:val="006B2354"/>
    <w:rsid w:val="006B2A3D"/>
    <w:rsid w:val="006B70E7"/>
    <w:rsid w:val="006C0621"/>
    <w:rsid w:val="006C1C7E"/>
    <w:rsid w:val="006C371A"/>
    <w:rsid w:val="006C3899"/>
    <w:rsid w:val="006C4CFC"/>
    <w:rsid w:val="006C65F8"/>
    <w:rsid w:val="006D1748"/>
    <w:rsid w:val="006D4D74"/>
    <w:rsid w:val="006D5B1E"/>
    <w:rsid w:val="006D5E43"/>
    <w:rsid w:val="006D7F28"/>
    <w:rsid w:val="006E3327"/>
    <w:rsid w:val="006E3C89"/>
    <w:rsid w:val="006E4226"/>
    <w:rsid w:val="006E698B"/>
    <w:rsid w:val="006E7489"/>
    <w:rsid w:val="006F1C50"/>
    <w:rsid w:val="006F1FCA"/>
    <w:rsid w:val="006F775D"/>
    <w:rsid w:val="00702582"/>
    <w:rsid w:val="007025F5"/>
    <w:rsid w:val="0070440A"/>
    <w:rsid w:val="007048D4"/>
    <w:rsid w:val="007048F1"/>
    <w:rsid w:val="007053CD"/>
    <w:rsid w:val="00707478"/>
    <w:rsid w:val="00711D01"/>
    <w:rsid w:val="00711DA3"/>
    <w:rsid w:val="007120F4"/>
    <w:rsid w:val="00715968"/>
    <w:rsid w:val="00717BA9"/>
    <w:rsid w:val="00721A2D"/>
    <w:rsid w:val="00721B85"/>
    <w:rsid w:val="00723EA1"/>
    <w:rsid w:val="007252E1"/>
    <w:rsid w:val="00731189"/>
    <w:rsid w:val="00731C04"/>
    <w:rsid w:val="00732B69"/>
    <w:rsid w:val="007346C1"/>
    <w:rsid w:val="007360E5"/>
    <w:rsid w:val="0074062D"/>
    <w:rsid w:val="00740DC7"/>
    <w:rsid w:val="00741458"/>
    <w:rsid w:val="00742609"/>
    <w:rsid w:val="00745980"/>
    <w:rsid w:val="00747245"/>
    <w:rsid w:val="00747360"/>
    <w:rsid w:val="007473E8"/>
    <w:rsid w:val="0075190D"/>
    <w:rsid w:val="00751AA2"/>
    <w:rsid w:val="00764726"/>
    <w:rsid w:val="00765159"/>
    <w:rsid w:val="00765279"/>
    <w:rsid w:val="0076628B"/>
    <w:rsid w:val="0076730E"/>
    <w:rsid w:val="00767CB4"/>
    <w:rsid w:val="00771C3D"/>
    <w:rsid w:val="00772E5A"/>
    <w:rsid w:val="00773DAE"/>
    <w:rsid w:val="0077539C"/>
    <w:rsid w:val="00775650"/>
    <w:rsid w:val="007771F5"/>
    <w:rsid w:val="00777ECC"/>
    <w:rsid w:val="007853B9"/>
    <w:rsid w:val="00785FB3"/>
    <w:rsid w:val="0078611E"/>
    <w:rsid w:val="0079297C"/>
    <w:rsid w:val="00793090"/>
    <w:rsid w:val="007A10E7"/>
    <w:rsid w:val="007A313D"/>
    <w:rsid w:val="007B16AE"/>
    <w:rsid w:val="007B1FD7"/>
    <w:rsid w:val="007B5F9A"/>
    <w:rsid w:val="007B67CB"/>
    <w:rsid w:val="007C2D2F"/>
    <w:rsid w:val="007C31B5"/>
    <w:rsid w:val="007C37DA"/>
    <w:rsid w:val="007C46B9"/>
    <w:rsid w:val="007D0966"/>
    <w:rsid w:val="007D1FBA"/>
    <w:rsid w:val="007D3443"/>
    <w:rsid w:val="007D3CDD"/>
    <w:rsid w:val="007D42F9"/>
    <w:rsid w:val="007D7256"/>
    <w:rsid w:val="007E0E5E"/>
    <w:rsid w:val="007E0F37"/>
    <w:rsid w:val="007E20AF"/>
    <w:rsid w:val="007E5BCE"/>
    <w:rsid w:val="007E6C68"/>
    <w:rsid w:val="007E73E6"/>
    <w:rsid w:val="007F36EC"/>
    <w:rsid w:val="007F4223"/>
    <w:rsid w:val="007F42F3"/>
    <w:rsid w:val="008016F3"/>
    <w:rsid w:val="00805B14"/>
    <w:rsid w:val="00807F40"/>
    <w:rsid w:val="00810F22"/>
    <w:rsid w:val="00812144"/>
    <w:rsid w:val="00821261"/>
    <w:rsid w:val="00821F82"/>
    <w:rsid w:val="00825D47"/>
    <w:rsid w:val="008333E1"/>
    <w:rsid w:val="0084014F"/>
    <w:rsid w:val="008417B1"/>
    <w:rsid w:val="00841C37"/>
    <w:rsid w:val="008442D0"/>
    <w:rsid w:val="0084446F"/>
    <w:rsid w:val="0084525D"/>
    <w:rsid w:val="0085191A"/>
    <w:rsid w:val="00851D6F"/>
    <w:rsid w:val="008524D7"/>
    <w:rsid w:val="00853BB9"/>
    <w:rsid w:val="00857384"/>
    <w:rsid w:val="00861281"/>
    <w:rsid w:val="008778E6"/>
    <w:rsid w:val="008809D7"/>
    <w:rsid w:val="00885AAC"/>
    <w:rsid w:val="00890F88"/>
    <w:rsid w:val="008946EF"/>
    <w:rsid w:val="008979CC"/>
    <w:rsid w:val="00897F48"/>
    <w:rsid w:val="008A31D0"/>
    <w:rsid w:val="008A4BBA"/>
    <w:rsid w:val="008A54F8"/>
    <w:rsid w:val="008A742B"/>
    <w:rsid w:val="008B11C0"/>
    <w:rsid w:val="008B1FC8"/>
    <w:rsid w:val="008B7E85"/>
    <w:rsid w:val="008C1895"/>
    <w:rsid w:val="008C2691"/>
    <w:rsid w:val="008C2D4E"/>
    <w:rsid w:val="008C34AB"/>
    <w:rsid w:val="008C51CD"/>
    <w:rsid w:val="008C5A38"/>
    <w:rsid w:val="008C63E0"/>
    <w:rsid w:val="008D6B18"/>
    <w:rsid w:val="008E193E"/>
    <w:rsid w:val="008E1B48"/>
    <w:rsid w:val="008E1F0F"/>
    <w:rsid w:val="008E2BC7"/>
    <w:rsid w:val="008E61B5"/>
    <w:rsid w:val="008E7FBE"/>
    <w:rsid w:val="008F2580"/>
    <w:rsid w:val="008F2E85"/>
    <w:rsid w:val="008F4136"/>
    <w:rsid w:val="008F5686"/>
    <w:rsid w:val="008F61AA"/>
    <w:rsid w:val="008F71B2"/>
    <w:rsid w:val="008F7BCA"/>
    <w:rsid w:val="009000CC"/>
    <w:rsid w:val="009001CE"/>
    <w:rsid w:val="00905B9B"/>
    <w:rsid w:val="00906561"/>
    <w:rsid w:val="00910764"/>
    <w:rsid w:val="009137DE"/>
    <w:rsid w:val="009147A8"/>
    <w:rsid w:val="009208BA"/>
    <w:rsid w:val="00925443"/>
    <w:rsid w:val="00925A0C"/>
    <w:rsid w:val="00926BC6"/>
    <w:rsid w:val="00930DAE"/>
    <w:rsid w:val="00930F00"/>
    <w:rsid w:val="009337A4"/>
    <w:rsid w:val="009350AD"/>
    <w:rsid w:val="009402F3"/>
    <w:rsid w:val="00940FF4"/>
    <w:rsid w:val="00942FDE"/>
    <w:rsid w:val="00943257"/>
    <w:rsid w:val="0094351A"/>
    <w:rsid w:val="009438DF"/>
    <w:rsid w:val="009455F4"/>
    <w:rsid w:val="00946177"/>
    <w:rsid w:val="0094629E"/>
    <w:rsid w:val="00953854"/>
    <w:rsid w:val="009539BE"/>
    <w:rsid w:val="00955090"/>
    <w:rsid w:val="009558EE"/>
    <w:rsid w:val="009565EE"/>
    <w:rsid w:val="00956A1D"/>
    <w:rsid w:val="009623FE"/>
    <w:rsid w:val="00962FD0"/>
    <w:rsid w:val="009644F1"/>
    <w:rsid w:val="009670CF"/>
    <w:rsid w:val="009673C8"/>
    <w:rsid w:val="00970F50"/>
    <w:rsid w:val="009728F5"/>
    <w:rsid w:val="009759E5"/>
    <w:rsid w:val="009774B3"/>
    <w:rsid w:val="0098014D"/>
    <w:rsid w:val="0098275E"/>
    <w:rsid w:val="009867AA"/>
    <w:rsid w:val="009918AA"/>
    <w:rsid w:val="0099214D"/>
    <w:rsid w:val="009945CE"/>
    <w:rsid w:val="009962D6"/>
    <w:rsid w:val="00997397"/>
    <w:rsid w:val="00997F70"/>
    <w:rsid w:val="009A08F9"/>
    <w:rsid w:val="009A19A1"/>
    <w:rsid w:val="009A2FDE"/>
    <w:rsid w:val="009A4E74"/>
    <w:rsid w:val="009A4E94"/>
    <w:rsid w:val="009A7A74"/>
    <w:rsid w:val="009A7F51"/>
    <w:rsid w:val="009B1336"/>
    <w:rsid w:val="009B281F"/>
    <w:rsid w:val="009B6E54"/>
    <w:rsid w:val="009C086F"/>
    <w:rsid w:val="009C3456"/>
    <w:rsid w:val="009C3FEC"/>
    <w:rsid w:val="009C4FAB"/>
    <w:rsid w:val="009C5A15"/>
    <w:rsid w:val="009C64A5"/>
    <w:rsid w:val="009C6CC1"/>
    <w:rsid w:val="009D076B"/>
    <w:rsid w:val="009D0FEC"/>
    <w:rsid w:val="009D1FDE"/>
    <w:rsid w:val="009D6083"/>
    <w:rsid w:val="009E0001"/>
    <w:rsid w:val="009E1DCA"/>
    <w:rsid w:val="009E3F04"/>
    <w:rsid w:val="009F1893"/>
    <w:rsid w:val="009F79C7"/>
    <w:rsid w:val="00A007EE"/>
    <w:rsid w:val="00A05BE8"/>
    <w:rsid w:val="00A0786B"/>
    <w:rsid w:val="00A11669"/>
    <w:rsid w:val="00A11A9C"/>
    <w:rsid w:val="00A12F6F"/>
    <w:rsid w:val="00A175DE"/>
    <w:rsid w:val="00A204A7"/>
    <w:rsid w:val="00A221B3"/>
    <w:rsid w:val="00A258B7"/>
    <w:rsid w:val="00A30520"/>
    <w:rsid w:val="00A3176A"/>
    <w:rsid w:val="00A327DF"/>
    <w:rsid w:val="00A333DC"/>
    <w:rsid w:val="00A354F9"/>
    <w:rsid w:val="00A406D5"/>
    <w:rsid w:val="00A408FB"/>
    <w:rsid w:val="00A42353"/>
    <w:rsid w:val="00A42E38"/>
    <w:rsid w:val="00A44528"/>
    <w:rsid w:val="00A4518A"/>
    <w:rsid w:val="00A52149"/>
    <w:rsid w:val="00A52960"/>
    <w:rsid w:val="00A53EC8"/>
    <w:rsid w:val="00A5685D"/>
    <w:rsid w:val="00A57C65"/>
    <w:rsid w:val="00A63752"/>
    <w:rsid w:val="00A64734"/>
    <w:rsid w:val="00A65770"/>
    <w:rsid w:val="00A67FB1"/>
    <w:rsid w:val="00A703F6"/>
    <w:rsid w:val="00A71542"/>
    <w:rsid w:val="00A750E1"/>
    <w:rsid w:val="00A8254F"/>
    <w:rsid w:val="00A8275E"/>
    <w:rsid w:val="00A82CC9"/>
    <w:rsid w:val="00A8427B"/>
    <w:rsid w:val="00A8436F"/>
    <w:rsid w:val="00A8540D"/>
    <w:rsid w:val="00A900EB"/>
    <w:rsid w:val="00A90EDB"/>
    <w:rsid w:val="00A9461E"/>
    <w:rsid w:val="00A95ED0"/>
    <w:rsid w:val="00A976DE"/>
    <w:rsid w:val="00A97ECD"/>
    <w:rsid w:val="00AA2CA1"/>
    <w:rsid w:val="00AA2EF7"/>
    <w:rsid w:val="00AA3910"/>
    <w:rsid w:val="00AA4972"/>
    <w:rsid w:val="00AA53BA"/>
    <w:rsid w:val="00AA6447"/>
    <w:rsid w:val="00AA6FAD"/>
    <w:rsid w:val="00AB0250"/>
    <w:rsid w:val="00AB262A"/>
    <w:rsid w:val="00AB4F1F"/>
    <w:rsid w:val="00AB53FB"/>
    <w:rsid w:val="00AC143B"/>
    <w:rsid w:val="00AC1463"/>
    <w:rsid w:val="00AC39D4"/>
    <w:rsid w:val="00AC7648"/>
    <w:rsid w:val="00AD0982"/>
    <w:rsid w:val="00AD1EAB"/>
    <w:rsid w:val="00AD2F71"/>
    <w:rsid w:val="00AD50D8"/>
    <w:rsid w:val="00AD6B91"/>
    <w:rsid w:val="00AD77AA"/>
    <w:rsid w:val="00AE2DEA"/>
    <w:rsid w:val="00AE37F2"/>
    <w:rsid w:val="00AF0409"/>
    <w:rsid w:val="00AF27E7"/>
    <w:rsid w:val="00AF2D5B"/>
    <w:rsid w:val="00AF4043"/>
    <w:rsid w:val="00B00172"/>
    <w:rsid w:val="00B0126B"/>
    <w:rsid w:val="00B01FAF"/>
    <w:rsid w:val="00B07A82"/>
    <w:rsid w:val="00B10435"/>
    <w:rsid w:val="00B11B85"/>
    <w:rsid w:val="00B124E3"/>
    <w:rsid w:val="00B213AC"/>
    <w:rsid w:val="00B21A37"/>
    <w:rsid w:val="00B22573"/>
    <w:rsid w:val="00B23052"/>
    <w:rsid w:val="00B23F4D"/>
    <w:rsid w:val="00B326D2"/>
    <w:rsid w:val="00B33C38"/>
    <w:rsid w:val="00B33EA0"/>
    <w:rsid w:val="00B34CAA"/>
    <w:rsid w:val="00B36C8C"/>
    <w:rsid w:val="00B37DE5"/>
    <w:rsid w:val="00B406D0"/>
    <w:rsid w:val="00B40D24"/>
    <w:rsid w:val="00B41021"/>
    <w:rsid w:val="00B44073"/>
    <w:rsid w:val="00B46C71"/>
    <w:rsid w:val="00B54817"/>
    <w:rsid w:val="00B549E7"/>
    <w:rsid w:val="00B54B04"/>
    <w:rsid w:val="00B5503C"/>
    <w:rsid w:val="00B57A9C"/>
    <w:rsid w:val="00B6650A"/>
    <w:rsid w:val="00B676AB"/>
    <w:rsid w:val="00B67A40"/>
    <w:rsid w:val="00B71816"/>
    <w:rsid w:val="00B7479F"/>
    <w:rsid w:val="00B74EAA"/>
    <w:rsid w:val="00B7517E"/>
    <w:rsid w:val="00B8143B"/>
    <w:rsid w:val="00B82388"/>
    <w:rsid w:val="00B845ED"/>
    <w:rsid w:val="00B856B8"/>
    <w:rsid w:val="00B9013C"/>
    <w:rsid w:val="00B918A5"/>
    <w:rsid w:val="00B96587"/>
    <w:rsid w:val="00B971C7"/>
    <w:rsid w:val="00BA1E64"/>
    <w:rsid w:val="00BA3CAD"/>
    <w:rsid w:val="00BA6368"/>
    <w:rsid w:val="00BA670B"/>
    <w:rsid w:val="00BB0F1F"/>
    <w:rsid w:val="00BB4754"/>
    <w:rsid w:val="00BB4F36"/>
    <w:rsid w:val="00BC0037"/>
    <w:rsid w:val="00BC6F6E"/>
    <w:rsid w:val="00BD1EE3"/>
    <w:rsid w:val="00BD2A15"/>
    <w:rsid w:val="00BD32F8"/>
    <w:rsid w:val="00BD453A"/>
    <w:rsid w:val="00BD6636"/>
    <w:rsid w:val="00BE3854"/>
    <w:rsid w:val="00BE6FEF"/>
    <w:rsid w:val="00BE70AE"/>
    <w:rsid w:val="00BF05ED"/>
    <w:rsid w:val="00BF2988"/>
    <w:rsid w:val="00BF35F6"/>
    <w:rsid w:val="00BF3A43"/>
    <w:rsid w:val="00BF481A"/>
    <w:rsid w:val="00BF6DBF"/>
    <w:rsid w:val="00C018C2"/>
    <w:rsid w:val="00C01DFB"/>
    <w:rsid w:val="00C05BA4"/>
    <w:rsid w:val="00C07352"/>
    <w:rsid w:val="00C13962"/>
    <w:rsid w:val="00C13C03"/>
    <w:rsid w:val="00C13E03"/>
    <w:rsid w:val="00C13FCC"/>
    <w:rsid w:val="00C16C57"/>
    <w:rsid w:val="00C20203"/>
    <w:rsid w:val="00C23B96"/>
    <w:rsid w:val="00C300FD"/>
    <w:rsid w:val="00C360F4"/>
    <w:rsid w:val="00C36233"/>
    <w:rsid w:val="00C40EF4"/>
    <w:rsid w:val="00C40F66"/>
    <w:rsid w:val="00C42C73"/>
    <w:rsid w:val="00C458BD"/>
    <w:rsid w:val="00C45D3F"/>
    <w:rsid w:val="00C5047E"/>
    <w:rsid w:val="00C533C6"/>
    <w:rsid w:val="00C54DFA"/>
    <w:rsid w:val="00C56227"/>
    <w:rsid w:val="00C6104A"/>
    <w:rsid w:val="00C62F7A"/>
    <w:rsid w:val="00C64DFF"/>
    <w:rsid w:val="00C64F8E"/>
    <w:rsid w:val="00C67254"/>
    <w:rsid w:val="00C70D02"/>
    <w:rsid w:val="00C71CDD"/>
    <w:rsid w:val="00C72F02"/>
    <w:rsid w:val="00C75724"/>
    <w:rsid w:val="00C773BB"/>
    <w:rsid w:val="00C80A98"/>
    <w:rsid w:val="00C848C8"/>
    <w:rsid w:val="00C865DC"/>
    <w:rsid w:val="00C92F15"/>
    <w:rsid w:val="00C92F4B"/>
    <w:rsid w:val="00C96EFD"/>
    <w:rsid w:val="00C9776E"/>
    <w:rsid w:val="00CA0FE4"/>
    <w:rsid w:val="00CA1386"/>
    <w:rsid w:val="00CA3966"/>
    <w:rsid w:val="00CB4459"/>
    <w:rsid w:val="00CB5939"/>
    <w:rsid w:val="00CB7B98"/>
    <w:rsid w:val="00CC293D"/>
    <w:rsid w:val="00CC34D0"/>
    <w:rsid w:val="00CC50D2"/>
    <w:rsid w:val="00CC7845"/>
    <w:rsid w:val="00CD0E0B"/>
    <w:rsid w:val="00CD281B"/>
    <w:rsid w:val="00CD3B6D"/>
    <w:rsid w:val="00CD45D2"/>
    <w:rsid w:val="00CE2FB7"/>
    <w:rsid w:val="00CE3871"/>
    <w:rsid w:val="00CF0930"/>
    <w:rsid w:val="00CF108E"/>
    <w:rsid w:val="00CF14D6"/>
    <w:rsid w:val="00CF243D"/>
    <w:rsid w:val="00CF28FC"/>
    <w:rsid w:val="00D005A9"/>
    <w:rsid w:val="00D02620"/>
    <w:rsid w:val="00D041E3"/>
    <w:rsid w:val="00D11987"/>
    <w:rsid w:val="00D14F61"/>
    <w:rsid w:val="00D20CC8"/>
    <w:rsid w:val="00D21F8D"/>
    <w:rsid w:val="00D253DB"/>
    <w:rsid w:val="00D25A24"/>
    <w:rsid w:val="00D35201"/>
    <w:rsid w:val="00D36CA6"/>
    <w:rsid w:val="00D40725"/>
    <w:rsid w:val="00D40A83"/>
    <w:rsid w:val="00D41DE8"/>
    <w:rsid w:val="00D56470"/>
    <w:rsid w:val="00D56827"/>
    <w:rsid w:val="00D577F9"/>
    <w:rsid w:val="00D60AFF"/>
    <w:rsid w:val="00D60E57"/>
    <w:rsid w:val="00D62804"/>
    <w:rsid w:val="00D635A1"/>
    <w:rsid w:val="00D67689"/>
    <w:rsid w:val="00D73DB5"/>
    <w:rsid w:val="00D75566"/>
    <w:rsid w:val="00D75A43"/>
    <w:rsid w:val="00D81271"/>
    <w:rsid w:val="00D81A4D"/>
    <w:rsid w:val="00D853F6"/>
    <w:rsid w:val="00D874ED"/>
    <w:rsid w:val="00D87987"/>
    <w:rsid w:val="00D87B33"/>
    <w:rsid w:val="00D9222F"/>
    <w:rsid w:val="00D9297F"/>
    <w:rsid w:val="00D92FAB"/>
    <w:rsid w:val="00D94EC5"/>
    <w:rsid w:val="00D96106"/>
    <w:rsid w:val="00D972F6"/>
    <w:rsid w:val="00DA49E4"/>
    <w:rsid w:val="00DA6CB7"/>
    <w:rsid w:val="00DA7365"/>
    <w:rsid w:val="00DA7464"/>
    <w:rsid w:val="00DB0610"/>
    <w:rsid w:val="00DB1328"/>
    <w:rsid w:val="00DB1CAE"/>
    <w:rsid w:val="00DB36AD"/>
    <w:rsid w:val="00DB602C"/>
    <w:rsid w:val="00DB7156"/>
    <w:rsid w:val="00DC0A97"/>
    <w:rsid w:val="00DC52EE"/>
    <w:rsid w:val="00DC6A50"/>
    <w:rsid w:val="00DC70AB"/>
    <w:rsid w:val="00DC7876"/>
    <w:rsid w:val="00DD0441"/>
    <w:rsid w:val="00DD2ED0"/>
    <w:rsid w:val="00DD38D6"/>
    <w:rsid w:val="00DD48A2"/>
    <w:rsid w:val="00DD5AE6"/>
    <w:rsid w:val="00DD60AC"/>
    <w:rsid w:val="00DE0842"/>
    <w:rsid w:val="00DE0E57"/>
    <w:rsid w:val="00DE33D0"/>
    <w:rsid w:val="00DE3582"/>
    <w:rsid w:val="00DF0617"/>
    <w:rsid w:val="00DF072B"/>
    <w:rsid w:val="00DF0778"/>
    <w:rsid w:val="00DF14FD"/>
    <w:rsid w:val="00DF3429"/>
    <w:rsid w:val="00DF51F2"/>
    <w:rsid w:val="00DF6D32"/>
    <w:rsid w:val="00E024BA"/>
    <w:rsid w:val="00E027A1"/>
    <w:rsid w:val="00E0367E"/>
    <w:rsid w:val="00E075CA"/>
    <w:rsid w:val="00E1353C"/>
    <w:rsid w:val="00E213A5"/>
    <w:rsid w:val="00E21F45"/>
    <w:rsid w:val="00E22730"/>
    <w:rsid w:val="00E244C3"/>
    <w:rsid w:val="00E24580"/>
    <w:rsid w:val="00E24B12"/>
    <w:rsid w:val="00E27605"/>
    <w:rsid w:val="00E32C50"/>
    <w:rsid w:val="00E333E8"/>
    <w:rsid w:val="00E34E09"/>
    <w:rsid w:val="00E37F31"/>
    <w:rsid w:val="00E37F5B"/>
    <w:rsid w:val="00E41604"/>
    <w:rsid w:val="00E45C79"/>
    <w:rsid w:val="00E47674"/>
    <w:rsid w:val="00E511DF"/>
    <w:rsid w:val="00E53532"/>
    <w:rsid w:val="00E55198"/>
    <w:rsid w:val="00E5545F"/>
    <w:rsid w:val="00E55FEA"/>
    <w:rsid w:val="00E632B6"/>
    <w:rsid w:val="00E66327"/>
    <w:rsid w:val="00E66A78"/>
    <w:rsid w:val="00E74C86"/>
    <w:rsid w:val="00E7574A"/>
    <w:rsid w:val="00E85555"/>
    <w:rsid w:val="00E904DD"/>
    <w:rsid w:val="00E90943"/>
    <w:rsid w:val="00E90F12"/>
    <w:rsid w:val="00E90F7F"/>
    <w:rsid w:val="00E92058"/>
    <w:rsid w:val="00E95C4B"/>
    <w:rsid w:val="00E96278"/>
    <w:rsid w:val="00E97C12"/>
    <w:rsid w:val="00EA0027"/>
    <w:rsid w:val="00EA27E1"/>
    <w:rsid w:val="00EA2D03"/>
    <w:rsid w:val="00EA454C"/>
    <w:rsid w:val="00EA76EB"/>
    <w:rsid w:val="00EB2D95"/>
    <w:rsid w:val="00EB403E"/>
    <w:rsid w:val="00EB5BD7"/>
    <w:rsid w:val="00EB6311"/>
    <w:rsid w:val="00EB6397"/>
    <w:rsid w:val="00EC15FD"/>
    <w:rsid w:val="00EC78B7"/>
    <w:rsid w:val="00ED0823"/>
    <w:rsid w:val="00ED302C"/>
    <w:rsid w:val="00ED4210"/>
    <w:rsid w:val="00ED520E"/>
    <w:rsid w:val="00EE0785"/>
    <w:rsid w:val="00EE09A5"/>
    <w:rsid w:val="00EE0DBB"/>
    <w:rsid w:val="00EE7CE2"/>
    <w:rsid w:val="00EF0034"/>
    <w:rsid w:val="00EF0A04"/>
    <w:rsid w:val="00EF170A"/>
    <w:rsid w:val="00EF34E7"/>
    <w:rsid w:val="00EF44C8"/>
    <w:rsid w:val="00F00C43"/>
    <w:rsid w:val="00F029AF"/>
    <w:rsid w:val="00F0506E"/>
    <w:rsid w:val="00F078AD"/>
    <w:rsid w:val="00F10D42"/>
    <w:rsid w:val="00F11052"/>
    <w:rsid w:val="00F13688"/>
    <w:rsid w:val="00F17EEB"/>
    <w:rsid w:val="00F20285"/>
    <w:rsid w:val="00F24353"/>
    <w:rsid w:val="00F25E24"/>
    <w:rsid w:val="00F30709"/>
    <w:rsid w:val="00F30EAC"/>
    <w:rsid w:val="00F36916"/>
    <w:rsid w:val="00F4137E"/>
    <w:rsid w:val="00F43B82"/>
    <w:rsid w:val="00F44A53"/>
    <w:rsid w:val="00F46AAC"/>
    <w:rsid w:val="00F5106F"/>
    <w:rsid w:val="00F53230"/>
    <w:rsid w:val="00F55EEA"/>
    <w:rsid w:val="00F627BE"/>
    <w:rsid w:val="00F632FC"/>
    <w:rsid w:val="00F65E9F"/>
    <w:rsid w:val="00F72174"/>
    <w:rsid w:val="00F73F3D"/>
    <w:rsid w:val="00F76689"/>
    <w:rsid w:val="00F76FC6"/>
    <w:rsid w:val="00F76FE6"/>
    <w:rsid w:val="00F803AD"/>
    <w:rsid w:val="00F86236"/>
    <w:rsid w:val="00F912F5"/>
    <w:rsid w:val="00F92047"/>
    <w:rsid w:val="00F93A0A"/>
    <w:rsid w:val="00F95508"/>
    <w:rsid w:val="00F96049"/>
    <w:rsid w:val="00FA0798"/>
    <w:rsid w:val="00FA081E"/>
    <w:rsid w:val="00FA12BF"/>
    <w:rsid w:val="00FA5145"/>
    <w:rsid w:val="00FA574F"/>
    <w:rsid w:val="00FB19E0"/>
    <w:rsid w:val="00FB22AE"/>
    <w:rsid w:val="00FB4925"/>
    <w:rsid w:val="00FB67DF"/>
    <w:rsid w:val="00FC37B1"/>
    <w:rsid w:val="00FC67C9"/>
    <w:rsid w:val="00FD2708"/>
    <w:rsid w:val="00FE038B"/>
    <w:rsid w:val="00FE0CE0"/>
    <w:rsid w:val="00FE21CD"/>
    <w:rsid w:val="00FE2DC2"/>
    <w:rsid w:val="00FE33E2"/>
    <w:rsid w:val="00FF0EB4"/>
    <w:rsid w:val="00FF104A"/>
    <w:rsid w:val="00FF69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6898D94"/>
  <w15:docId w15:val="{23A1E269-BE47-4C83-9045-0CBE78757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70EE8"/>
    <w:pPr>
      <w:widowControl w:val="0"/>
      <w:spacing w:before="220" w:after="220" w:line="220" w:lineRule="exact"/>
      <w:contextualSpacing/>
    </w:pPr>
    <w:rPr>
      <w:rFonts w:ascii="Arial" w:eastAsia="Times New Roman" w:hAnsi="Arial" w:cs="Times New Roman"/>
      <w:color w:val="000000" w:themeColor="text1"/>
      <w:sz w:val="18"/>
      <w:szCs w:val="24"/>
      <w:lang w:val="it-IT" w:eastAsia="it-IT"/>
    </w:rPr>
  </w:style>
  <w:style w:type="paragraph" w:styleId="Nadpis10">
    <w:name w:val="heading 1"/>
    <w:basedOn w:val="Normln"/>
    <w:next w:val="Normln"/>
    <w:link w:val="Nadpis1Char"/>
    <w:qFormat/>
    <w:rsid w:val="003B4955"/>
    <w:pPr>
      <w:keepNext/>
      <w:keepLines/>
      <w:widowControl/>
      <w:numPr>
        <w:numId w:val="2"/>
      </w:numPr>
      <w:spacing w:before="240" w:after="240" w:line="240" w:lineRule="auto"/>
      <w:contextualSpacing w:val="0"/>
      <w:outlineLvl w:val="0"/>
    </w:pPr>
    <w:rPr>
      <w:rFonts w:eastAsiaTheme="majorEastAsia" w:cstheme="majorBidi"/>
      <w:b/>
      <w:sz w:val="22"/>
      <w:szCs w:val="32"/>
      <w:lang w:val="cs-CZ" w:eastAsia="en-US"/>
    </w:rPr>
  </w:style>
  <w:style w:type="paragraph" w:styleId="Nadpis20">
    <w:name w:val="heading 2"/>
    <w:basedOn w:val="Normln"/>
    <w:next w:val="Normln"/>
    <w:link w:val="Nadpis2Char"/>
    <w:qFormat/>
    <w:rsid w:val="009E0001"/>
    <w:pPr>
      <w:keepNext/>
      <w:widowControl/>
      <w:spacing w:before="0" w:after="0" w:line="240" w:lineRule="auto"/>
      <w:contextualSpacing w:val="0"/>
      <w:outlineLvl w:val="1"/>
    </w:pPr>
    <w:rPr>
      <w:rFonts w:cs="Arial"/>
      <w:b/>
      <w:color w:val="auto"/>
      <w:sz w:val="24"/>
      <w:lang w:val="cs-CZ" w:eastAsia="cs-CZ"/>
    </w:rPr>
  </w:style>
  <w:style w:type="paragraph" w:styleId="Nadpis30">
    <w:name w:val="heading 3"/>
    <w:basedOn w:val="Normln"/>
    <w:next w:val="Normln"/>
    <w:link w:val="Nadpis3Char"/>
    <w:qFormat/>
    <w:rsid w:val="008F2580"/>
    <w:pPr>
      <w:keepNext/>
      <w:widowControl/>
      <w:spacing w:before="120" w:after="120" w:line="240" w:lineRule="auto"/>
      <w:contextualSpacing w:val="0"/>
      <w:outlineLvl w:val="2"/>
    </w:pPr>
    <w:rPr>
      <w:b/>
      <w:color w:val="auto"/>
      <w:sz w:val="24"/>
      <w:szCs w:val="20"/>
      <w:lang w:val="cs-CZ" w:eastAsia="cs-CZ"/>
    </w:rPr>
  </w:style>
  <w:style w:type="paragraph" w:styleId="Nadpis40">
    <w:name w:val="heading 4"/>
    <w:basedOn w:val="Normln"/>
    <w:next w:val="Normln"/>
    <w:link w:val="Nadpis4Char"/>
    <w:qFormat/>
    <w:rsid w:val="008F2580"/>
    <w:pPr>
      <w:keepNext/>
      <w:widowControl/>
      <w:spacing w:before="60" w:after="60" w:line="240" w:lineRule="auto"/>
      <w:contextualSpacing w:val="0"/>
      <w:outlineLvl w:val="3"/>
    </w:pPr>
    <w:rPr>
      <w:i/>
      <w:color w:val="auto"/>
      <w:sz w:val="24"/>
      <w:szCs w:val="20"/>
      <w:lang w:val="cs-CZ" w:eastAsia="cs-CZ"/>
    </w:rPr>
  </w:style>
  <w:style w:type="paragraph" w:styleId="Nadpis5">
    <w:name w:val="heading 5"/>
    <w:basedOn w:val="Normln"/>
    <w:next w:val="Normln"/>
    <w:link w:val="Nadpis5Char"/>
    <w:qFormat/>
    <w:rsid w:val="008F2580"/>
    <w:pPr>
      <w:keepNext/>
      <w:widowControl/>
      <w:tabs>
        <w:tab w:val="left" w:pos="567"/>
        <w:tab w:val="right" w:pos="9072"/>
      </w:tabs>
      <w:spacing w:before="0" w:after="0" w:line="240" w:lineRule="auto"/>
      <w:contextualSpacing w:val="0"/>
      <w:outlineLvl w:val="4"/>
    </w:pPr>
    <w:rPr>
      <w:b/>
      <w:bCs/>
      <w:color w:val="auto"/>
      <w:sz w:val="22"/>
      <w:szCs w:val="20"/>
      <w:lang w:val="cs-CZ" w:eastAsia="cs-CZ"/>
    </w:rPr>
  </w:style>
  <w:style w:type="paragraph" w:styleId="Nadpis6">
    <w:name w:val="heading 6"/>
    <w:basedOn w:val="Normln"/>
    <w:next w:val="Normln"/>
    <w:link w:val="Nadpis6Char"/>
    <w:qFormat/>
    <w:rsid w:val="008F2580"/>
    <w:pPr>
      <w:keepNext/>
      <w:widowControl/>
      <w:spacing w:before="120" w:after="0" w:line="240" w:lineRule="auto"/>
      <w:contextualSpacing w:val="0"/>
      <w:jc w:val="both"/>
      <w:outlineLvl w:val="5"/>
    </w:pPr>
    <w:rPr>
      <w:rFonts w:cs="Arial"/>
      <w:b/>
      <w:color w:val="FF0000"/>
      <w:sz w:val="20"/>
      <w:szCs w:val="20"/>
      <w:lang w:val="cs-CZ" w:eastAsia="cs-CZ"/>
    </w:rPr>
  </w:style>
  <w:style w:type="paragraph" w:styleId="Nadpis7">
    <w:name w:val="heading 7"/>
    <w:basedOn w:val="Normln"/>
    <w:next w:val="Normln"/>
    <w:link w:val="Nadpis7Char"/>
    <w:qFormat/>
    <w:rsid w:val="008F2580"/>
    <w:pPr>
      <w:keepNext/>
      <w:widowControl/>
      <w:tabs>
        <w:tab w:val="left" w:pos="4536"/>
        <w:tab w:val="right" w:pos="9072"/>
      </w:tabs>
      <w:spacing w:before="0" w:after="0" w:line="240" w:lineRule="auto"/>
      <w:contextualSpacing w:val="0"/>
      <w:outlineLvl w:val="6"/>
    </w:pPr>
    <w:rPr>
      <w:rFonts w:ascii="Times New Roman" w:hAnsi="Times New Roman"/>
      <w:color w:val="auto"/>
      <w:sz w:val="24"/>
      <w:szCs w:val="20"/>
      <w:u w:val="single"/>
      <w:lang w:val="cs-CZ" w:eastAsia="cs-CZ"/>
    </w:rPr>
  </w:style>
  <w:style w:type="paragraph" w:styleId="Nadpis8">
    <w:name w:val="heading 8"/>
    <w:basedOn w:val="Normln"/>
    <w:next w:val="Normln"/>
    <w:link w:val="Nadpis8Char"/>
    <w:qFormat/>
    <w:rsid w:val="008F2580"/>
    <w:pPr>
      <w:keepNext/>
      <w:widowControl/>
      <w:pBdr>
        <w:top w:val="single" w:sz="4" w:space="1" w:color="auto"/>
      </w:pBdr>
      <w:tabs>
        <w:tab w:val="left" w:pos="2268"/>
        <w:tab w:val="right" w:pos="9072"/>
      </w:tabs>
      <w:spacing w:before="120" w:after="0" w:line="240" w:lineRule="auto"/>
      <w:contextualSpacing w:val="0"/>
      <w:outlineLvl w:val="7"/>
    </w:pPr>
    <w:rPr>
      <w:rFonts w:ascii="Times New Roman" w:hAnsi="Times New Roman"/>
      <w:b/>
      <w:color w:val="auto"/>
      <w:sz w:val="28"/>
      <w:szCs w:val="20"/>
      <w:lang w:val="cs-CZ" w:eastAsia="cs-CZ"/>
    </w:rPr>
  </w:style>
  <w:style w:type="paragraph" w:styleId="Nadpis9">
    <w:name w:val="heading 9"/>
    <w:basedOn w:val="Normln"/>
    <w:next w:val="Normln"/>
    <w:link w:val="Nadpis9Char"/>
    <w:qFormat/>
    <w:rsid w:val="008F2580"/>
    <w:pPr>
      <w:keepNext/>
      <w:widowControl/>
      <w:spacing w:before="0" w:after="0" w:line="240" w:lineRule="auto"/>
      <w:contextualSpacing w:val="0"/>
      <w:jc w:val="center"/>
      <w:outlineLvl w:val="8"/>
    </w:pPr>
    <w:rPr>
      <w:rFonts w:ascii="Courier New" w:hAnsi="Courier New"/>
      <w:b/>
      <w:caps/>
      <w:color w:val="auto"/>
      <w:sz w:val="48"/>
      <w:szCs w:val="20"/>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C92F4B"/>
    <w:pPr>
      <w:framePr w:hSpace="181" w:vSpace="181" w:wrap="around" w:vAnchor="page" w:hAnchor="text" w:y="1"/>
      <w:tabs>
        <w:tab w:val="center" w:pos="4320"/>
        <w:tab w:val="right" w:pos="8640"/>
      </w:tabs>
    </w:pPr>
  </w:style>
  <w:style w:type="character" w:customStyle="1" w:styleId="ZhlavChar">
    <w:name w:val="Záhlaví Char"/>
    <w:basedOn w:val="Standardnpsmoodstavce"/>
    <w:link w:val="Zhlav"/>
    <w:rsid w:val="00C92F4B"/>
    <w:rPr>
      <w:rFonts w:ascii="Arial" w:eastAsia="Times New Roman" w:hAnsi="Arial" w:cs="Times New Roman"/>
      <w:color w:val="000000" w:themeColor="text1"/>
      <w:sz w:val="18"/>
      <w:szCs w:val="24"/>
      <w:lang w:val="it-IT" w:eastAsia="it-IT"/>
    </w:rPr>
  </w:style>
  <w:style w:type="paragraph" w:styleId="Zpat">
    <w:name w:val="footer"/>
    <w:basedOn w:val="Normln"/>
    <w:link w:val="ZpatChar"/>
    <w:autoRedefine/>
    <w:uiPriority w:val="99"/>
    <w:unhideWhenUsed/>
    <w:qFormat/>
    <w:rsid w:val="003D187D"/>
    <w:pPr>
      <w:tabs>
        <w:tab w:val="center" w:pos="4320"/>
        <w:tab w:val="right" w:pos="8640"/>
      </w:tabs>
      <w:spacing w:before="0" w:after="0" w:line="240" w:lineRule="auto"/>
      <w:ind w:left="50"/>
      <w:jc w:val="right"/>
    </w:pPr>
    <w:rPr>
      <w:rFonts w:cs="Arial"/>
      <w:noProof/>
      <w:color w:val="auto"/>
      <w:sz w:val="12"/>
      <w:szCs w:val="12"/>
    </w:rPr>
  </w:style>
  <w:style w:type="character" w:customStyle="1" w:styleId="ZpatChar">
    <w:name w:val="Zápatí Char"/>
    <w:basedOn w:val="Standardnpsmoodstavce"/>
    <w:link w:val="Zpat"/>
    <w:uiPriority w:val="99"/>
    <w:rsid w:val="003D187D"/>
    <w:rPr>
      <w:rFonts w:ascii="Arial" w:eastAsia="Times New Roman" w:hAnsi="Arial" w:cs="Arial"/>
      <w:noProof/>
      <w:sz w:val="12"/>
      <w:szCs w:val="12"/>
      <w:lang w:val="it-IT" w:eastAsia="it-IT"/>
    </w:rPr>
  </w:style>
  <w:style w:type="table" w:styleId="Mkatabulky">
    <w:name w:val="Table Grid"/>
    <w:basedOn w:val="Normlntabulka"/>
    <w:uiPriority w:val="59"/>
    <w:rsid w:val="00C92F4B"/>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Henvelopeaddress">
    <w:name w:val="G_LH_envelope_address"/>
    <w:basedOn w:val="Normln"/>
    <w:autoRedefine/>
    <w:qFormat/>
    <w:rsid w:val="00B34CAA"/>
    <w:pPr>
      <w:spacing w:line="276" w:lineRule="auto"/>
      <w:ind w:left="-6180"/>
    </w:pPr>
  </w:style>
  <w:style w:type="character" w:customStyle="1" w:styleId="Bold">
    <w:name w:val="Bold"/>
    <w:basedOn w:val="Standardnpsmoodstavce"/>
    <w:uiPriority w:val="1"/>
    <w:qFormat/>
    <w:rsid w:val="00C92F4B"/>
    <w:rPr>
      <w:b/>
    </w:rPr>
  </w:style>
  <w:style w:type="paragraph" w:customStyle="1" w:styleId="IndirizzoGenerali">
    <w:name w:val="Indirizzo_Generali"/>
    <w:qFormat/>
    <w:rsid w:val="00C92F4B"/>
    <w:pPr>
      <w:spacing w:after="0" w:line="160" w:lineRule="exact"/>
    </w:pPr>
    <w:rPr>
      <w:rFonts w:ascii="Arial" w:eastAsia="Times New Roman" w:hAnsi="Arial" w:cs="Times New Roman"/>
      <w:color w:val="000000" w:themeColor="text1"/>
      <w:sz w:val="12"/>
      <w:szCs w:val="12"/>
      <w:lang w:val="it-IT" w:eastAsia="it-IT"/>
    </w:rPr>
  </w:style>
  <w:style w:type="paragraph" w:customStyle="1" w:styleId="testobullet">
    <w:name w:val="testo_bullet"/>
    <w:basedOn w:val="Odstavecseseznamem"/>
    <w:autoRedefine/>
    <w:qFormat/>
    <w:rsid w:val="00C92F4B"/>
    <w:pPr>
      <w:numPr>
        <w:numId w:val="1"/>
      </w:numPr>
      <w:contextualSpacing w:val="0"/>
    </w:pPr>
    <w:rPr>
      <w:szCs w:val="18"/>
    </w:rPr>
  </w:style>
  <w:style w:type="paragraph" w:customStyle="1" w:styleId="Gspacing23pt">
    <w:name w:val="G_spacing_23pt"/>
    <w:autoRedefine/>
    <w:qFormat/>
    <w:rsid w:val="00C92F4B"/>
    <w:pPr>
      <w:spacing w:after="0" w:line="460" w:lineRule="exact"/>
    </w:pPr>
    <w:rPr>
      <w:rFonts w:ascii="Arial" w:eastAsia="Times New Roman" w:hAnsi="Arial" w:cs="Times New Roman"/>
      <w:color w:val="000000" w:themeColor="text1"/>
      <w:sz w:val="18"/>
      <w:szCs w:val="24"/>
      <w:lang w:val="it-IT" w:eastAsia="it-IT"/>
    </w:rPr>
  </w:style>
  <w:style w:type="paragraph" w:customStyle="1" w:styleId="Gcitydate">
    <w:name w:val="G_city/date"/>
    <w:autoRedefine/>
    <w:qFormat/>
    <w:rsid w:val="00B41021"/>
    <w:pPr>
      <w:spacing w:after="0" w:line="220" w:lineRule="exact"/>
      <w:ind w:left="142"/>
    </w:pPr>
    <w:rPr>
      <w:rFonts w:ascii="Arial" w:eastAsia="Times New Roman" w:hAnsi="Arial" w:cs="Times New Roman"/>
      <w:color w:val="000000" w:themeColor="text1"/>
      <w:sz w:val="18"/>
      <w:szCs w:val="18"/>
      <w:lang w:val="it-IT" w:eastAsia="it-IT"/>
    </w:rPr>
  </w:style>
  <w:style w:type="paragraph" w:styleId="Odstavecseseznamem">
    <w:name w:val="List Paragraph"/>
    <w:basedOn w:val="Normln"/>
    <w:link w:val="OdstavecseseznamemChar"/>
    <w:uiPriority w:val="34"/>
    <w:qFormat/>
    <w:rsid w:val="00C92F4B"/>
    <w:pPr>
      <w:ind w:left="720"/>
    </w:pPr>
  </w:style>
  <w:style w:type="paragraph" w:styleId="Textbubliny">
    <w:name w:val="Balloon Text"/>
    <w:basedOn w:val="Normln"/>
    <w:link w:val="TextbublinyChar"/>
    <w:unhideWhenUsed/>
    <w:rsid w:val="00C92F4B"/>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rsid w:val="00C92F4B"/>
    <w:rPr>
      <w:rFonts w:ascii="Tahoma" w:eastAsia="Times New Roman" w:hAnsi="Tahoma" w:cs="Tahoma"/>
      <w:color w:val="000000" w:themeColor="text1"/>
      <w:sz w:val="16"/>
      <w:szCs w:val="16"/>
      <w:lang w:val="it-IT" w:eastAsia="it-IT"/>
    </w:rPr>
  </w:style>
  <w:style w:type="paragraph" w:customStyle="1" w:styleId="Zkladnodstavec">
    <w:name w:val="[Základní odstavec]"/>
    <w:basedOn w:val="Normln"/>
    <w:uiPriority w:val="99"/>
    <w:rsid w:val="00742609"/>
    <w:pPr>
      <w:widowControl/>
      <w:autoSpaceDE w:val="0"/>
      <w:autoSpaceDN w:val="0"/>
      <w:adjustRightInd w:val="0"/>
      <w:spacing w:before="0" w:after="0" w:line="288" w:lineRule="auto"/>
      <w:contextualSpacing w:val="0"/>
      <w:textAlignment w:val="center"/>
    </w:pPr>
    <w:rPr>
      <w:rFonts w:ascii="MinionPro-Regular" w:eastAsiaTheme="minorHAnsi" w:hAnsi="MinionPro-Regular" w:cs="MinionPro-Regular"/>
      <w:color w:val="000000"/>
      <w:sz w:val="24"/>
      <w:lang w:val="cs-CZ" w:eastAsia="en-US"/>
    </w:rPr>
  </w:style>
  <w:style w:type="character" w:styleId="Hypertextovodkaz">
    <w:name w:val="Hyperlink"/>
    <w:basedOn w:val="Standardnpsmoodstavce"/>
    <w:uiPriority w:val="99"/>
    <w:unhideWhenUsed/>
    <w:rsid w:val="000F4E95"/>
    <w:rPr>
      <w:color w:val="0000FF"/>
      <w:u w:val="single"/>
    </w:rPr>
  </w:style>
  <w:style w:type="table" w:customStyle="1" w:styleId="Kalend2">
    <w:name w:val="Kalendář 2"/>
    <w:basedOn w:val="Normlntabulka"/>
    <w:uiPriority w:val="99"/>
    <w:qFormat/>
    <w:rsid w:val="008C2691"/>
    <w:pPr>
      <w:spacing w:after="0" w:line="240" w:lineRule="auto"/>
      <w:jc w:val="center"/>
    </w:pPr>
    <w:rPr>
      <w:rFonts w:eastAsiaTheme="minorEastAsia"/>
      <w:sz w:val="28"/>
      <w:lang w:eastAsia="cs-CZ"/>
    </w:rPr>
    <w:tblPr>
      <w:tblBorders>
        <w:insideV w:val="single" w:sz="4" w:space="0" w:color="95B3D7" w:themeColor="accent1" w:themeTint="99"/>
      </w:tblBorders>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paragraph" w:customStyle="1" w:styleId="Default">
    <w:name w:val="Default"/>
    <w:rsid w:val="0065180F"/>
    <w:pPr>
      <w:autoSpaceDE w:val="0"/>
      <w:autoSpaceDN w:val="0"/>
      <w:adjustRightInd w:val="0"/>
      <w:spacing w:after="0" w:line="240" w:lineRule="auto"/>
    </w:pPr>
    <w:rPr>
      <w:rFonts w:ascii="Arial" w:hAnsi="Arial" w:cs="Arial"/>
      <w:color w:val="000000"/>
      <w:sz w:val="24"/>
      <w:szCs w:val="24"/>
    </w:rPr>
  </w:style>
  <w:style w:type="paragraph" w:customStyle="1" w:styleId="Pa0">
    <w:name w:val="Pa0"/>
    <w:basedOn w:val="Normln"/>
    <w:next w:val="Normln"/>
    <w:uiPriority w:val="99"/>
    <w:rsid w:val="0065180F"/>
    <w:pPr>
      <w:widowControl/>
      <w:autoSpaceDE w:val="0"/>
      <w:autoSpaceDN w:val="0"/>
      <w:adjustRightInd w:val="0"/>
      <w:spacing w:before="0" w:after="0" w:line="241" w:lineRule="atLeast"/>
      <w:contextualSpacing w:val="0"/>
    </w:pPr>
    <w:rPr>
      <w:rFonts w:eastAsiaTheme="minorHAnsi" w:cs="Arial"/>
      <w:color w:val="auto"/>
      <w:sz w:val="24"/>
      <w:lang w:val="cs-CZ" w:eastAsia="en-US"/>
    </w:rPr>
  </w:style>
  <w:style w:type="character" w:customStyle="1" w:styleId="A0">
    <w:name w:val="A0"/>
    <w:basedOn w:val="Standardnpsmoodstavce"/>
    <w:uiPriority w:val="99"/>
    <w:rsid w:val="0065180F"/>
    <w:rPr>
      <w:color w:val="000000"/>
    </w:rPr>
  </w:style>
  <w:style w:type="character" w:customStyle="1" w:styleId="Nadpis2Char">
    <w:name w:val="Nadpis 2 Char"/>
    <w:basedOn w:val="Standardnpsmoodstavce"/>
    <w:link w:val="Nadpis20"/>
    <w:rsid w:val="009E0001"/>
    <w:rPr>
      <w:rFonts w:ascii="Arial" w:eastAsia="Times New Roman" w:hAnsi="Arial" w:cs="Arial"/>
      <w:b/>
      <w:sz w:val="24"/>
      <w:szCs w:val="24"/>
      <w:lang w:eastAsia="cs-CZ"/>
    </w:rPr>
  </w:style>
  <w:style w:type="table" w:styleId="Svtlstnovn">
    <w:name w:val="Light Shading"/>
    <w:basedOn w:val="Normlntabulka"/>
    <w:uiPriority w:val="60"/>
    <w:rsid w:val="00C018C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Zkladntext">
    <w:name w:val="Body Text"/>
    <w:basedOn w:val="Normln"/>
    <w:link w:val="ZkladntextChar"/>
    <w:rsid w:val="006F775D"/>
    <w:pPr>
      <w:widowControl/>
      <w:spacing w:before="0" w:after="0" w:line="240" w:lineRule="auto"/>
      <w:contextualSpacing w:val="0"/>
    </w:pPr>
    <w:rPr>
      <w:rFonts w:ascii="Times New Roman" w:hAnsi="Times New Roman"/>
      <w:color w:val="auto"/>
      <w:sz w:val="24"/>
      <w:szCs w:val="20"/>
      <w:lang w:val="cs-CZ" w:eastAsia="cs-CZ"/>
    </w:rPr>
  </w:style>
  <w:style w:type="character" w:customStyle="1" w:styleId="ZkladntextChar">
    <w:name w:val="Základní text Char"/>
    <w:basedOn w:val="Standardnpsmoodstavce"/>
    <w:link w:val="Zkladntext"/>
    <w:rsid w:val="006F775D"/>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unhideWhenUsed/>
    <w:rsid w:val="00A65770"/>
    <w:pPr>
      <w:spacing w:after="120"/>
      <w:ind w:left="283"/>
    </w:pPr>
  </w:style>
  <w:style w:type="character" w:customStyle="1" w:styleId="ZkladntextodsazenChar">
    <w:name w:val="Základní text odsazený Char"/>
    <w:basedOn w:val="Standardnpsmoodstavce"/>
    <w:link w:val="Zkladntextodsazen"/>
    <w:uiPriority w:val="99"/>
    <w:rsid w:val="00A65770"/>
    <w:rPr>
      <w:rFonts w:ascii="Arial" w:eastAsia="Times New Roman" w:hAnsi="Arial" w:cs="Times New Roman"/>
      <w:color w:val="000000" w:themeColor="text1"/>
      <w:sz w:val="18"/>
      <w:szCs w:val="24"/>
      <w:lang w:val="it-IT" w:eastAsia="it-IT"/>
    </w:rPr>
  </w:style>
  <w:style w:type="paragraph" w:customStyle="1" w:styleId="Pa3">
    <w:name w:val="Pa3"/>
    <w:basedOn w:val="Normln"/>
    <w:next w:val="Normln"/>
    <w:uiPriority w:val="99"/>
    <w:rsid w:val="00A65770"/>
    <w:pPr>
      <w:widowControl/>
      <w:autoSpaceDE w:val="0"/>
      <w:autoSpaceDN w:val="0"/>
      <w:adjustRightInd w:val="0"/>
      <w:spacing w:before="0" w:after="0" w:line="171" w:lineRule="atLeast"/>
      <w:contextualSpacing w:val="0"/>
    </w:pPr>
    <w:rPr>
      <w:rFonts w:ascii="Generali" w:eastAsia="Calibri" w:hAnsi="Generali"/>
      <w:color w:val="auto"/>
      <w:sz w:val="24"/>
      <w:lang w:val="cs-CZ" w:eastAsia="en-US"/>
    </w:rPr>
  </w:style>
  <w:style w:type="character" w:styleId="slostrnky">
    <w:name w:val="page number"/>
    <w:basedOn w:val="Standardnpsmoodstavce"/>
    <w:rsid w:val="0052660F"/>
  </w:style>
  <w:style w:type="character" w:customStyle="1" w:styleId="dn">
    <w:name w:val="Žádný"/>
    <w:rsid w:val="00B406D0"/>
  </w:style>
  <w:style w:type="character" w:customStyle="1" w:styleId="Nadpis1Char">
    <w:name w:val="Nadpis 1 Char"/>
    <w:basedOn w:val="Standardnpsmoodstavce"/>
    <w:link w:val="Nadpis10"/>
    <w:rsid w:val="003B4955"/>
    <w:rPr>
      <w:rFonts w:ascii="Arial" w:eastAsiaTheme="majorEastAsia" w:hAnsi="Arial" w:cstheme="majorBidi"/>
      <w:b/>
      <w:color w:val="000000" w:themeColor="text1"/>
      <w:szCs w:val="32"/>
    </w:rPr>
  </w:style>
  <w:style w:type="paragraph" w:styleId="Nzev">
    <w:name w:val="Title"/>
    <w:aliases w:val="Tabulka text"/>
    <w:basedOn w:val="Normln"/>
    <w:next w:val="Normln"/>
    <w:link w:val="NzevChar"/>
    <w:uiPriority w:val="10"/>
    <w:qFormat/>
    <w:rsid w:val="005B5434"/>
    <w:pPr>
      <w:widowControl/>
      <w:spacing w:before="0" w:after="0" w:line="240" w:lineRule="exact"/>
    </w:pPr>
    <w:rPr>
      <w:rFonts w:eastAsiaTheme="majorEastAsia" w:cs="Times New Roman (Nadpisy CS)"/>
      <w:color w:val="4D4D4C"/>
      <w:kern w:val="28"/>
      <w:sz w:val="16"/>
      <w:szCs w:val="56"/>
      <w:lang w:val="cs-CZ" w:eastAsia="en-US"/>
    </w:rPr>
  </w:style>
  <w:style w:type="character" w:customStyle="1" w:styleId="NzevChar">
    <w:name w:val="Název Char"/>
    <w:aliases w:val="Tabulka text Char"/>
    <w:basedOn w:val="Standardnpsmoodstavce"/>
    <w:link w:val="Nzev"/>
    <w:uiPriority w:val="10"/>
    <w:rsid w:val="005B5434"/>
    <w:rPr>
      <w:rFonts w:ascii="Arial" w:eastAsiaTheme="majorEastAsia" w:hAnsi="Arial" w:cs="Times New Roman (Nadpisy CS)"/>
      <w:color w:val="4D4D4C"/>
      <w:kern w:val="28"/>
      <w:sz w:val="16"/>
      <w:szCs w:val="56"/>
    </w:rPr>
  </w:style>
  <w:style w:type="paragraph" w:customStyle="1" w:styleId="Tabulkanadpiserven">
    <w:name w:val="Tabulka nadpis červený"/>
    <w:basedOn w:val="Normln"/>
    <w:qFormat/>
    <w:rsid w:val="005B5434"/>
    <w:pPr>
      <w:widowControl/>
      <w:spacing w:before="0" w:after="0" w:line="240" w:lineRule="exact"/>
      <w:contextualSpacing w:val="0"/>
    </w:pPr>
    <w:rPr>
      <w:rFonts w:eastAsiaTheme="minorHAnsi" w:cs="Arial"/>
      <w:b/>
      <w:bCs/>
      <w:color w:val="CD0000"/>
      <w:sz w:val="20"/>
      <w:szCs w:val="20"/>
      <w:lang w:val="cs-CZ" w:eastAsia="en-US"/>
    </w:rPr>
  </w:style>
  <w:style w:type="paragraph" w:styleId="Textkomente">
    <w:name w:val="annotation text"/>
    <w:basedOn w:val="Normln"/>
    <w:link w:val="TextkomenteChar"/>
    <w:uiPriority w:val="99"/>
    <w:rsid w:val="005B5434"/>
    <w:pPr>
      <w:widowControl/>
      <w:spacing w:before="0" w:after="0" w:line="240" w:lineRule="auto"/>
      <w:contextualSpacing w:val="0"/>
    </w:pPr>
    <w:rPr>
      <w:rFonts w:ascii="Times New Roman" w:hAnsi="Times New Roman"/>
      <w:color w:val="auto"/>
      <w:sz w:val="20"/>
      <w:szCs w:val="20"/>
      <w:lang w:val="cs-CZ" w:eastAsia="cs-CZ"/>
    </w:rPr>
  </w:style>
  <w:style w:type="character" w:customStyle="1" w:styleId="TextkomenteChar">
    <w:name w:val="Text komentáře Char"/>
    <w:basedOn w:val="Standardnpsmoodstavce"/>
    <w:link w:val="Textkomente"/>
    <w:uiPriority w:val="99"/>
    <w:rsid w:val="005B5434"/>
    <w:rPr>
      <w:rFonts w:ascii="Times New Roman" w:eastAsia="Times New Roman" w:hAnsi="Times New Roman" w:cs="Times New Roman"/>
      <w:sz w:val="20"/>
      <w:szCs w:val="20"/>
      <w:lang w:eastAsia="cs-CZ"/>
    </w:rPr>
  </w:style>
  <w:style w:type="character" w:styleId="Odkaznakoment">
    <w:name w:val="annotation reference"/>
    <w:uiPriority w:val="99"/>
    <w:rsid w:val="00B124E3"/>
    <w:rPr>
      <w:sz w:val="16"/>
      <w:szCs w:val="16"/>
    </w:rPr>
  </w:style>
  <w:style w:type="paragraph" w:customStyle="1" w:styleId="Nadpis11">
    <w:name w:val="Nadpis 1."/>
    <w:next w:val="Zkladntext"/>
    <w:link w:val="Nadpis1Char0"/>
    <w:rsid w:val="007346C1"/>
    <w:pPr>
      <w:widowControl w:val="0"/>
      <w:tabs>
        <w:tab w:val="num" w:pos="907"/>
      </w:tabs>
      <w:spacing w:before="80" w:after="40" w:line="240" w:lineRule="auto"/>
      <w:ind w:left="907" w:hanging="907"/>
      <w:jc w:val="both"/>
    </w:pPr>
    <w:rPr>
      <w:rFonts w:ascii="Arial" w:eastAsia="Times New Roman" w:hAnsi="Arial" w:cs="Times New Roman"/>
      <w:b/>
      <w:snapToGrid w:val="0"/>
      <w:color w:val="000000"/>
      <w:sz w:val="28"/>
      <w:szCs w:val="20"/>
      <w:lang w:eastAsia="cs-CZ"/>
    </w:rPr>
  </w:style>
  <w:style w:type="paragraph" w:customStyle="1" w:styleId="Text11">
    <w:name w:val="Text 1.1."/>
    <w:next w:val="Zkladntext"/>
    <w:link w:val="Text11Char"/>
    <w:rsid w:val="007346C1"/>
    <w:pPr>
      <w:widowControl w:val="0"/>
      <w:tabs>
        <w:tab w:val="num" w:pos="907"/>
      </w:tabs>
      <w:spacing w:before="60" w:after="40" w:line="240" w:lineRule="auto"/>
      <w:ind w:left="907" w:hanging="907"/>
      <w:jc w:val="both"/>
    </w:pPr>
    <w:rPr>
      <w:rFonts w:ascii="Arial" w:eastAsia="Times New Roman" w:hAnsi="Arial" w:cs="Times New Roman"/>
      <w:snapToGrid w:val="0"/>
      <w:color w:val="000000"/>
      <w:szCs w:val="20"/>
      <w:lang w:eastAsia="cs-CZ"/>
    </w:rPr>
  </w:style>
  <w:style w:type="character" w:customStyle="1" w:styleId="Text11Char">
    <w:name w:val="Text 1.1. Char"/>
    <w:link w:val="Text11"/>
    <w:rsid w:val="007346C1"/>
    <w:rPr>
      <w:rFonts w:ascii="Arial" w:eastAsia="Times New Roman" w:hAnsi="Arial" w:cs="Times New Roman"/>
      <w:snapToGrid w:val="0"/>
      <w:color w:val="000000"/>
      <w:szCs w:val="20"/>
      <w:lang w:eastAsia="cs-CZ"/>
    </w:rPr>
  </w:style>
  <w:style w:type="character" w:customStyle="1" w:styleId="Nadpis1Char0">
    <w:name w:val="Nadpis 1. Char"/>
    <w:link w:val="Nadpis11"/>
    <w:rsid w:val="007346C1"/>
    <w:rPr>
      <w:rFonts w:ascii="Arial" w:eastAsia="Times New Roman" w:hAnsi="Arial" w:cs="Times New Roman"/>
      <w:b/>
      <w:snapToGrid w:val="0"/>
      <w:color w:val="000000"/>
      <w:sz w:val="28"/>
      <w:szCs w:val="20"/>
      <w:lang w:eastAsia="cs-CZ"/>
    </w:rPr>
  </w:style>
  <w:style w:type="character" w:customStyle="1" w:styleId="Nadpis3Char">
    <w:name w:val="Nadpis 3 Char"/>
    <w:basedOn w:val="Standardnpsmoodstavce"/>
    <w:link w:val="Nadpis30"/>
    <w:rsid w:val="008F2580"/>
    <w:rPr>
      <w:rFonts w:ascii="Arial" w:eastAsia="Times New Roman" w:hAnsi="Arial" w:cs="Times New Roman"/>
      <w:b/>
      <w:sz w:val="24"/>
      <w:szCs w:val="20"/>
      <w:lang w:eastAsia="cs-CZ"/>
    </w:rPr>
  </w:style>
  <w:style w:type="character" w:customStyle="1" w:styleId="Nadpis4Char">
    <w:name w:val="Nadpis 4 Char"/>
    <w:basedOn w:val="Standardnpsmoodstavce"/>
    <w:link w:val="Nadpis40"/>
    <w:rsid w:val="008F2580"/>
    <w:rPr>
      <w:rFonts w:ascii="Arial" w:eastAsia="Times New Roman" w:hAnsi="Arial" w:cs="Times New Roman"/>
      <w:i/>
      <w:sz w:val="24"/>
      <w:szCs w:val="20"/>
      <w:lang w:eastAsia="cs-CZ"/>
    </w:rPr>
  </w:style>
  <w:style w:type="character" w:customStyle="1" w:styleId="Nadpis5Char">
    <w:name w:val="Nadpis 5 Char"/>
    <w:basedOn w:val="Standardnpsmoodstavce"/>
    <w:link w:val="Nadpis5"/>
    <w:rsid w:val="008F2580"/>
    <w:rPr>
      <w:rFonts w:ascii="Arial" w:eastAsia="Times New Roman" w:hAnsi="Arial" w:cs="Times New Roman"/>
      <w:b/>
      <w:bCs/>
      <w:szCs w:val="20"/>
      <w:lang w:eastAsia="cs-CZ"/>
    </w:rPr>
  </w:style>
  <w:style w:type="character" w:customStyle="1" w:styleId="Nadpis6Char">
    <w:name w:val="Nadpis 6 Char"/>
    <w:basedOn w:val="Standardnpsmoodstavce"/>
    <w:link w:val="Nadpis6"/>
    <w:rsid w:val="008F2580"/>
    <w:rPr>
      <w:rFonts w:ascii="Arial" w:eastAsia="Times New Roman" w:hAnsi="Arial" w:cs="Arial"/>
      <w:b/>
      <w:color w:val="FF0000"/>
      <w:sz w:val="20"/>
      <w:szCs w:val="20"/>
      <w:lang w:eastAsia="cs-CZ"/>
    </w:rPr>
  </w:style>
  <w:style w:type="character" w:customStyle="1" w:styleId="Nadpis7Char">
    <w:name w:val="Nadpis 7 Char"/>
    <w:basedOn w:val="Standardnpsmoodstavce"/>
    <w:link w:val="Nadpis7"/>
    <w:rsid w:val="008F2580"/>
    <w:rPr>
      <w:rFonts w:ascii="Times New Roman" w:eastAsia="Times New Roman" w:hAnsi="Times New Roman" w:cs="Times New Roman"/>
      <w:sz w:val="24"/>
      <w:szCs w:val="20"/>
      <w:u w:val="single"/>
      <w:lang w:eastAsia="cs-CZ"/>
    </w:rPr>
  </w:style>
  <w:style w:type="character" w:customStyle="1" w:styleId="Nadpis8Char">
    <w:name w:val="Nadpis 8 Char"/>
    <w:basedOn w:val="Standardnpsmoodstavce"/>
    <w:link w:val="Nadpis8"/>
    <w:rsid w:val="008F2580"/>
    <w:rPr>
      <w:rFonts w:ascii="Times New Roman" w:eastAsia="Times New Roman" w:hAnsi="Times New Roman" w:cs="Times New Roman"/>
      <w:b/>
      <w:sz w:val="28"/>
      <w:szCs w:val="20"/>
      <w:lang w:eastAsia="cs-CZ"/>
    </w:rPr>
  </w:style>
  <w:style w:type="character" w:customStyle="1" w:styleId="Nadpis9Char">
    <w:name w:val="Nadpis 9 Char"/>
    <w:basedOn w:val="Standardnpsmoodstavce"/>
    <w:link w:val="Nadpis9"/>
    <w:rsid w:val="008F2580"/>
    <w:rPr>
      <w:rFonts w:ascii="Courier New" w:eastAsia="Times New Roman" w:hAnsi="Courier New" w:cs="Times New Roman"/>
      <w:b/>
      <w:caps/>
      <w:sz w:val="48"/>
      <w:szCs w:val="20"/>
      <w:lang w:eastAsia="cs-CZ"/>
    </w:rPr>
  </w:style>
  <w:style w:type="paragraph" w:customStyle="1" w:styleId="Odrazky">
    <w:name w:val="Odrazky"/>
    <w:basedOn w:val="Normln"/>
    <w:rsid w:val="008F2580"/>
    <w:pPr>
      <w:widowControl/>
      <w:numPr>
        <w:numId w:val="4"/>
      </w:numPr>
      <w:spacing w:before="0" w:after="120" w:line="240" w:lineRule="auto"/>
      <w:contextualSpacing w:val="0"/>
      <w:jc w:val="both"/>
    </w:pPr>
    <w:rPr>
      <w:rFonts w:ascii="Times New Roman" w:hAnsi="Times New Roman"/>
      <w:color w:val="auto"/>
      <w:sz w:val="24"/>
      <w:szCs w:val="20"/>
      <w:lang w:val="cs-CZ" w:eastAsia="cs-CZ"/>
    </w:rPr>
  </w:style>
  <w:style w:type="paragraph" w:customStyle="1" w:styleId="Odstavec">
    <w:name w:val="Odstavec"/>
    <w:basedOn w:val="Normln"/>
    <w:rsid w:val="008F2580"/>
    <w:pPr>
      <w:widowControl/>
      <w:spacing w:before="0" w:after="120" w:line="240" w:lineRule="auto"/>
      <w:ind w:left="992"/>
      <w:contextualSpacing w:val="0"/>
      <w:jc w:val="both"/>
    </w:pPr>
    <w:rPr>
      <w:rFonts w:ascii="Times New Roman" w:hAnsi="Times New Roman"/>
      <w:color w:val="auto"/>
      <w:sz w:val="24"/>
      <w:szCs w:val="20"/>
      <w:lang w:val="cs-CZ" w:eastAsia="cs-CZ"/>
    </w:rPr>
  </w:style>
  <w:style w:type="numbering" w:customStyle="1" w:styleId="Bezseznamu1">
    <w:name w:val="Bez seznamu1"/>
    <w:next w:val="Bezseznamu"/>
    <w:semiHidden/>
    <w:rsid w:val="008F2580"/>
  </w:style>
  <w:style w:type="paragraph" w:customStyle="1" w:styleId="boris">
    <w:name w:val="boris"/>
    <w:basedOn w:val="Normln"/>
    <w:rsid w:val="008F2580"/>
    <w:pPr>
      <w:widowControl/>
      <w:shd w:val="pct12" w:color="auto" w:fill="FFFFFF"/>
      <w:tabs>
        <w:tab w:val="right" w:pos="9072"/>
      </w:tabs>
      <w:spacing w:before="0" w:after="0" w:line="240" w:lineRule="auto"/>
      <w:contextualSpacing w:val="0"/>
      <w:outlineLvl w:val="0"/>
    </w:pPr>
    <w:rPr>
      <w:rFonts w:ascii="Times New Roman" w:hAnsi="Times New Roman"/>
      <w:b/>
      <w:color w:val="auto"/>
      <w:sz w:val="20"/>
      <w:szCs w:val="20"/>
      <w:lang w:val="cs-CZ" w:eastAsia="cs-CZ"/>
    </w:rPr>
  </w:style>
  <w:style w:type="paragraph" w:customStyle="1" w:styleId="nadpis31">
    <w:name w:val="nadpis 3"/>
    <w:basedOn w:val="Normln"/>
    <w:rsid w:val="008F2580"/>
    <w:pPr>
      <w:widowControl/>
      <w:tabs>
        <w:tab w:val="left" w:pos="2835"/>
      </w:tabs>
      <w:spacing w:before="0" w:after="0" w:line="240" w:lineRule="auto"/>
      <w:contextualSpacing w:val="0"/>
      <w:outlineLvl w:val="0"/>
    </w:pPr>
    <w:rPr>
      <w:rFonts w:ascii="Times New Roman" w:hAnsi="Times New Roman"/>
      <w:b/>
      <w:caps/>
      <w:color w:val="auto"/>
      <w:sz w:val="20"/>
      <w:szCs w:val="20"/>
      <w:lang w:val="cs-CZ" w:eastAsia="cs-CZ"/>
    </w:rPr>
  </w:style>
  <w:style w:type="paragraph" w:styleId="Zkladntext2">
    <w:name w:val="Body Text 2"/>
    <w:basedOn w:val="Normln"/>
    <w:link w:val="Zkladntext2Char"/>
    <w:rsid w:val="008F2580"/>
    <w:pPr>
      <w:widowControl/>
      <w:spacing w:before="0" w:after="0" w:line="240" w:lineRule="auto"/>
      <w:contextualSpacing w:val="0"/>
    </w:pPr>
    <w:rPr>
      <w:color w:val="auto"/>
      <w:sz w:val="20"/>
      <w:szCs w:val="20"/>
      <w:lang w:val="cs-CZ" w:eastAsia="cs-CZ"/>
    </w:rPr>
  </w:style>
  <w:style w:type="character" w:customStyle="1" w:styleId="Zkladntext2Char">
    <w:name w:val="Základní text 2 Char"/>
    <w:basedOn w:val="Standardnpsmoodstavce"/>
    <w:link w:val="Zkladntext2"/>
    <w:rsid w:val="008F2580"/>
    <w:rPr>
      <w:rFonts w:ascii="Arial" w:eastAsia="Times New Roman" w:hAnsi="Arial" w:cs="Times New Roman"/>
      <w:sz w:val="20"/>
      <w:szCs w:val="20"/>
      <w:lang w:eastAsia="cs-CZ"/>
    </w:rPr>
  </w:style>
  <w:style w:type="paragraph" w:styleId="Zkladntext3">
    <w:name w:val="Body Text 3"/>
    <w:basedOn w:val="Normln"/>
    <w:link w:val="Zkladntext3Char"/>
    <w:rsid w:val="008F2580"/>
    <w:pPr>
      <w:widowControl/>
      <w:tabs>
        <w:tab w:val="left" w:pos="3119"/>
        <w:tab w:val="right" w:pos="6237"/>
      </w:tabs>
      <w:spacing w:before="0" w:after="0" w:line="240" w:lineRule="auto"/>
      <w:contextualSpacing w:val="0"/>
    </w:pPr>
    <w:rPr>
      <w:rFonts w:ascii="Times New Roman" w:hAnsi="Times New Roman"/>
      <w:b/>
      <w:color w:val="auto"/>
      <w:sz w:val="24"/>
      <w:szCs w:val="20"/>
      <w:lang w:val="cs-CZ" w:eastAsia="cs-CZ"/>
    </w:rPr>
  </w:style>
  <w:style w:type="character" w:customStyle="1" w:styleId="Zkladntext3Char">
    <w:name w:val="Základní text 3 Char"/>
    <w:basedOn w:val="Standardnpsmoodstavce"/>
    <w:link w:val="Zkladntext3"/>
    <w:rsid w:val="008F2580"/>
    <w:rPr>
      <w:rFonts w:ascii="Times New Roman" w:eastAsia="Times New Roman" w:hAnsi="Times New Roman" w:cs="Times New Roman"/>
      <w:b/>
      <w:sz w:val="24"/>
      <w:szCs w:val="20"/>
      <w:lang w:eastAsia="cs-CZ"/>
    </w:rPr>
  </w:style>
  <w:style w:type="paragraph" w:styleId="Rozloendokumentu">
    <w:name w:val="Document Map"/>
    <w:basedOn w:val="Normln"/>
    <w:link w:val="RozloendokumentuChar"/>
    <w:rsid w:val="008F2580"/>
    <w:pPr>
      <w:widowControl/>
      <w:shd w:val="clear" w:color="auto" w:fill="000080"/>
      <w:spacing w:before="0" w:after="0" w:line="240" w:lineRule="auto"/>
      <w:contextualSpacing w:val="0"/>
    </w:pPr>
    <w:rPr>
      <w:rFonts w:ascii="Tahoma" w:hAnsi="Tahoma"/>
      <w:color w:val="auto"/>
      <w:sz w:val="20"/>
      <w:szCs w:val="20"/>
      <w:lang w:val="cs-CZ" w:eastAsia="cs-CZ"/>
    </w:rPr>
  </w:style>
  <w:style w:type="character" w:customStyle="1" w:styleId="RozloendokumentuChar">
    <w:name w:val="Rozložení dokumentu Char"/>
    <w:basedOn w:val="Standardnpsmoodstavce"/>
    <w:link w:val="Rozloendokumentu"/>
    <w:rsid w:val="008F2580"/>
    <w:rPr>
      <w:rFonts w:ascii="Tahoma" w:eastAsia="Times New Roman" w:hAnsi="Tahoma" w:cs="Times New Roman"/>
      <w:sz w:val="20"/>
      <w:szCs w:val="20"/>
      <w:shd w:val="clear" w:color="auto" w:fill="000080"/>
      <w:lang w:eastAsia="cs-CZ"/>
    </w:rPr>
  </w:style>
  <w:style w:type="table" w:customStyle="1" w:styleId="Mkatabulky1">
    <w:name w:val="Mřížka tabulky1"/>
    <w:basedOn w:val="Normlntabulka"/>
    <w:next w:val="Mkatabulky"/>
    <w:rsid w:val="008F2580"/>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
    <w:name w:val="A2"/>
    <w:uiPriority w:val="99"/>
    <w:rsid w:val="008F2580"/>
    <w:rPr>
      <w:rFonts w:cs="Generali"/>
      <w:b/>
      <w:bCs/>
      <w:color w:val="000000"/>
      <w:sz w:val="30"/>
      <w:szCs w:val="30"/>
    </w:rPr>
  </w:style>
  <w:style w:type="character" w:customStyle="1" w:styleId="A3">
    <w:name w:val="A3"/>
    <w:uiPriority w:val="99"/>
    <w:rsid w:val="008F2580"/>
    <w:rPr>
      <w:rFonts w:cs="Generali"/>
      <w:color w:val="000000"/>
      <w:sz w:val="14"/>
      <w:szCs w:val="14"/>
    </w:rPr>
  </w:style>
  <w:style w:type="paragraph" w:customStyle="1" w:styleId="Pa1">
    <w:name w:val="Pa1"/>
    <w:basedOn w:val="Default"/>
    <w:next w:val="Default"/>
    <w:uiPriority w:val="99"/>
    <w:rsid w:val="008F2580"/>
    <w:pPr>
      <w:widowControl w:val="0"/>
      <w:spacing w:line="171" w:lineRule="atLeast"/>
    </w:pPr>
    <w:rPr>
      <w:rFonts w:ascii="Generali" w:eastAsia="Times New Roman" w:hAnsi="Generali" w:cs="Times New Roman"/>
      <w:color w:val="auto"/>
      <w:lang w:val="en-US"/>
    </w:rPr>
  </w:style>
  <w:style w:type="paragraph" w:customStyle="1" w:styleId="Pa2">
    <w:name w:val="Pa2"/>
    <w:basedOn w:val="Default"/>
    <w:next w:val="Default"/>
    <w:uiPriority w:val="99"/>
    <w:rsid w:val="008F2580"/>
    <w:pPr>
      <w:widowControl w:val="0"/>
      <w:spacing w:line="171" w:lineRule="atLeast"/>
    </w:pPr>
    <w:rPr>
      <w:rFonts w:ascii="Generali" w:eastAsia="Times New Roman" w:hAnsi="Generali" w:cs="Times New Roman"/>
      <w:color w:val="auto"/>
      <w:lang w:val="en-US"/>
    </w:rPr>
  </w:style>
  <w:style w:type="table" w:customStyle="1" w:styleId="Mkatabulky2">
    <w:name w:val="Mřížka tabulky2"/>
    <w:basedOn w:val="Normlntabulka"/>
    <w:next w:val="Mkatabulky"/>
    <w:uiPriority w:val="59"/>
    <w:rsid w:val="008F2580"/>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59"/>
    <w:rsid w:val="008F2580"/>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
    <w:name w:val="Mřížka tabulky4"/>
    <w:basedOn w:val="Normlntabulka"/>
    <w:next w:val="Mkatabulky"/>
    <w:uiPriority w:val="59"/>
    <w:rsid w:val="008F2580"/>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4">
    <w:name w:val="Styl4"/>
    <w:basedOn w:val="Normln"/>
    <w:qFormat/>
    <w:rsid w:val="008F2580"/>
    <w:pPr>
      <w:numPr>
        <w:numId w:val="6"/>
      </w:numPr>
      <w:spacing w:before="120" w:after="60" w:line="240" w:lineRule="auto"/>
      <w:contextualSpacing w:val="0"/>
      <w:jc w:val="both"/>
    </w:pPr>
    <w:rPr>
      <w:rFonts w:cs="Arial"/>
      <w:color w:val="auto"/>
      <w:sz w:val="22"/>
      <w:szCs w:val="20"/>
      <w:lang w:val="cs-CZ" w:eastAsia="cs-CZ"/>
    </w:rPr>
  </w:style>
  <w:style w:type="paragraph" w:customStyle="1" w:styleId="Styl87">
    <w:name w:val="Styl87"/>
    <w:basedOn w:val="Normln"/>
    <w:qFormat/>
    <w:rsid w:val="008F2580"/>
    <w:pPr>
      <w:numPr>
        <w:numId w:val="5"/>
      </w:numPr>
      <w:tabs>
        <w:tab w:val="left" w:pos="567"/>
      </w:tabs>
      <w:spacing w:before="120" w:after="60" w:line="240" w:lineRule="auto"/>
      <w:contextualSpacing w:val="0"/>
      <w:jc w:val="both"/>
    </w:pPr>
    <w:rPr>
      <w:rFonts w:cs="Arial"/>
      <w:color w:val="auto"/>
      <w:sz w:val="22"/>
      <w:szCs w:val="20"/>
      <w:lang w:val="cs-CZ" w:eastAsia="cs-CZ"/>
    </w:rPr>
  </w:style>
  <w:style w:type="paragraph" w:customStyle="1" w:styleId="Text111">
    <w:name w:val="Text 1.1.1."/>
    <w:next w:val="Zkladntext"/>
    <w:rsid w:val="008F2580"/>
    <w:pPr>
      <w:widowControl w:val="0"/>
      <w:tabs>
        <w:tab w:val="num" w:pos="907"/>
      </w:tabs>
      <w:spacing w:before="40" w:after="40" w:line="240" w:lineRule="auto"/>
      <w:ind w:left="907" w:hanging="907"/>
      <w:jc w:val="both"/>
    </w:pPr>
    <w:rPr>
      <w:rFonts w:ascii="Arial" w:eastAsia="Times New Roman" w:hAnsi="Arial" w:cs="Times New Roman"/>
      <w:snapToGrid w:val="0"/>
      <w:color w:val="000000"/>
      <w:szCs w:val="20"/>
      <w:lang w:eastAsia="cs-CZ"/>
    </w:rPr>
  </w:style>
  <w:style w:type="paragraph" w:customStyle="1" w:styleId="Text1111">
    <w:name w:val="Text 1.1.1.1."/>
    <w:next w:val="Zkladntext"/>
    <w:rsid w:val="008F2580"/>
    <w:pPr>
      <w:widowControl w:val="0"/>
      <w:tabs>
        <w:tab w:val="num" w:pos="1790"/>
      </w:tabs>
      <w:spacing w:before="40" w:after="40" w:line="240" w:lineRule="auto"/>
      <w:ind w:left="1617" w:hanging="907"/>
      <w:jc w:val="both"/>
    </w:pPr>
    <w:rPr>
      <w:rFonts w:ascii="Arial" w:eastAsia="Times New Roman" w:hAnsi="Arial" w:cs="Times New Roman"/>
      <w:b/>
      <w:snapToGrid w:val="0"/>
      <w:color w:val="000000"/>
      <w:szCs w:val="20"/>
      <w:lang w:eastAsia="cs-CZ"/>
    </w:rPr>
  </w:style>
  <w:style w:type="paragraph" w:customStyle="1" w:styleId="Text11111">
    <w:name w:val="Text 1.1.1.1.1."/>
    <w:next w:val="Zkladntext"/>
    <w:rsid w:val="008F2580"/>
    <w:pPr>
      <w:widowControl w:val="0"/>
      <w:tabs>
        <w:tab w:val="num" w:pos="1440"/>
      </w:tabs>
      <w:spacing w:before="40" w:after="40" w:line="240" w:lineRule="auto"/>
      <w:ind w:left="907" w:hanging="907"/>
      <w:jc w:val="both"/>
    </w:pPr>
    <w:rPr>
      <w:rFonts w:ascii="Arial" w:eastAsia="Times New Roman" w:hAnsi="Arial" w:cs="Times New Roman"/>
      <w:snapToGrid w:val="0"/>
      <w:color w:val="000000"/>
      <w:sz w:val="20"/>
      <w:szCs w:val="20"/>
      <w:lang w:eastAsia="cs-CZ"/>
    </w:rPr>
  </w:style>
  <w:style w:type="paragraph" w:customStyle="1" w:styleId="Texttabulky">
    <w:name w:val="Text tabulky"/>
    <w:rsid w:val="008F2580"/>
    <w:pPr>
      <w:widowControl w:val="0"/>
      <w:spacing w:after="0" w:line="240" w:lineRule="auto"/>
    </w:pPr>
    <w:rPr>
      <w:rFonts w:ascii="Arial" w:eastAsia="Times New Roman" w:hAnsi="Arial" w:cs="Times New Roman"/>
      <w:snapToGrid w:val="0"/>
      <w:color w:val="000000"/>
      <w:szCs w:val="20"/>
      <w:lang w:eastAsia="cs-CZ"/>
    </w:rPr>
  </w:style>
  <w:style w:type="paragraph" w:customStyle="1" w:styleId="Nadpis1">
    <w:name w:val="ČNadpis 1"/>
    <w:basedOn w:val="Nadpis10"/>
    <w:rsid w:val="008F2580"/>
    <w:pPr>
      <w:keepLines w:val="0"/>
      <w:numPr>
        <w:numId w:val="7"/>
      </w:numPr>
      <w:spacing w:after="60"/>
      <w:ind w:left="0" w:firstLine="0"/>
      <w:jc w:val="both"/>
    </w:pPr>
    <w:rPr>
      <w:rFonts w:eastAsia="Times New Roman" w:cs="Times New Roman"/>
      <w:color w:val="auto"/>
      <w:kern w:val="28"/>
      <w:sz w:val="28"/>
      <w:szCs w:val="20"/>
      <w:lang w:eastAsia="cs-CZ"/>
    </w:rPr>
  </w:style>
  <w:style w:type="paragraph" w:customStyle="1" w:styleId="Nadpis2">
    <w:name w:val="ČNadpis 2"/>
    <w:basedOn w:val="Nadpis20"/>
    <w:rsid w:val="008F2580"/>
    <w:pPr>
      <w:numPr>
        <w:ilvl w:val="1"/>
        <w:numId w:val="7"/>
      </w:numPr>
      <w:spacing w:before="240" w:after="60"/>
      <w:ind w:left="0" w:firstLine="0"/>
      <w:jc w:val="both"/>
    </w:pPr>
    <w:rPr>
      <w:rFonts w:cs="Times New Roman"/>
      <w:szCs w:val="20"/>
    </w:rPr>
  </w:style>
  <w:style w:type="paragraph" w:customStyle="1" w:styleId="Nadpis3">
    <w:name w:val="ČNadpis 3"/>
    <w:basedOn w:val="Nadpis30"/>
    <w:rsid w:val="008F2580"/>
    <w:pPr>
      <w:numPr>
        <w:ilvl w:val="2"/>
        <w:numId w:val="7"/>
      </w:numPr>
      <w:spacing w:before="240" w:after="60"/>
      <w:ind w:left="0" w:firstLine="0"/>
      <w:jc w:val="both"/>
    </w:pPr>
    <w:rPr>
      <w:sz w:val="22"/>
    </w:rPr>
  </w:style>
  <w:style w:type="paragraph" w:customStyle="1" w:styleId="Nadpis4">
    <w:name w:val="ČNadpis 4"/>
    <w:basedOn w:val="Nadpis40"/>
    <w:rsid w:val="008F2580"/>
    <w:pPr>
      <w:numPr>
        <w:ilvl w:val="3"/>
        <w:numId w:val="7"/>
      </w:numPr>
      <w:tabs>
        <w:tab w:val="left" w:pos="862"/>
      </w:tabs>
      <w:spacing w:before="100"/>
      <w:jc w:val="both"/>
    </w:pPr>
    <w:rPr>
      <w:b/>
      <w:i w:val="0"/>
      <w:sz w:val="22"/>
    </w:rPr>
  </w:style>
  <w:style w:type="character" w:styleId="Znakapoznpodarou">
    <w:name w:val="footnote reference"/>
    <w:semiHidden/>
    <w:rsid w:val="008F2580"/>
    <w:rPr>
      <w:vertAlign w:val="superscript"/>
    </w:rPr>
  </w:style>
  <w:style w:type="character" w:customStyle="1" w:styleId="normln-ERNPSMO">
    <w:name w:val="normální - ČERNÉ PÍSMO"/>
    <w:uiPriority w:val="1"/>
    <w:qFormat/>
    <w:rsid w:val="008F2580"/>
    <w:rPr>
      <w:rFonts w:ascii="Arial" w:hAnsi="Arial"/>
      <w:sz w:val="20"/>
    </w:rPr>
  </w:style>
  <w:style w:type="character" w:customStyle="1" w:styleId="normln-tun">
    <w:name w:val="normální - tučně"/>
    <w:uiPriority w:val="1"/>
    <w:qFormat/>
    <w:rsid w:val="008F2580"/>
    <w:rPr>
      <w:rFonts w:ascii="Arial" w:hAnsi="Arial" w:cs="Times New Roman"/>
      <w:b/>
      <w:sz w:val="20"/>
    </w:rPr>
  </w:style>
  <w:style w:type="paragraph" w:customStyle="1" w:styleId="P111">
    <w:name w:val="ČP 1.1.1."/>
    <w:basedOn w:val="Odstavecseseznamem"/>
    <w:link w:val="P111Char"/>
    <w:autoRedefine/>
    <w:qFormat/>
    <w:rsid w:val="00A53EC8"/>
    <w:pPr>
      <w:keepNext/>
      <w:numPr>
        <w:numId w:val="8"/>
      </w:numPr>
      <w:tabs>
        <w:tab w:val="clear" w:pos="907"/>
        <w:tab w:val="num" w:pos="567"/>
      </w:tabs>
      <w:spacing w:before="120" w:after="60" w:line="240" w:lineRule="auto"/>
      <w:ind w:left="567" w:hanging="567"/>
    </w:pPr>
    <w:rPr>
      <w:rFonts w:eastAsia="Calibri" w:cs="Arial"/>
      <w:color w:val="auto"/>
      <w:sz w:val="20"/>
      <w:szCs w:val="20"/>
      <w:lang w:val="cs-CZ" w:eastAsia="en-US"/>
    </w:rPr>
  </w:style>
  <w:style w:type="character" w:customStyle="1" w:styleId="P111Char">
    <w:name w:val="ČP 1.1.1. Char"/>
    <w:link w:val="P111"/>
    <w:rsid w:val="00A53EC8"/>
    <w:rPr>
      <w:rFonts w:ascii="Arial" w:eastAsia="Calibri" w:hAnsi="Arial" w:cs="Arial"/>
      <w:sz w:val="20"/>
      <w:szCs w:val="20"/>
    </w:rPr>
  </w:style>
  <w:style w:type="paragraph" w:customStyle="1" w:styleId="Pa7">
    <w:name w:val="Pa7"/>
    <w:basedOn w:val="Normln"/>
    <w:next w:val="Normln"/>
    <w:uiPriority w:val="99"/>
    <w:rsid w:val="008F2580"/>
    <w:pPr>
      <w:widowControl/>
      <w:autoSpaceDE w:val="0"/>
      <w:autoSpaceDN w:val="0"/>
      <w:adjustRightInd w:val="0"/>
      <w:spacing w:before="0" w:after="0" w:line="181" w:lineRule="atLeast"/>
      <w:contextualSpacing w:val="0"/>
    </w:pPr>
    <w:rPr>
      <w:rFonts w:ascii="Times New Roman" w:hAnsi="Times New Roman"/>
      <w:color w:val="auto"/>
      <w:sz w:val="24"/>
      <w:lang w:val="cs-CZ" w:eastAsia="cs-CZ"/>
    </w:rPr>
  </w:style>
  <w:style w:type="paragraph" w:styleId="Pedmtkomente">
    <w:name w:val="annotation subject"/>
    <w:basedOn w:val="Textkomente"/>
    <w:next w:val="Textkomente"/>
    <w:link w:val="PedmtkomenteChar"/>
    <w:semiHidden/>
    <w:unhideWhenUsed/>
    <w:rsid w:val="008F2580"/>
    <w:pPr>
      <w:widowControl w:val="0"/>
      <w:spacing w:before="220" w:after="220"/>
      <w:contextualSpacing/>
    </w:pPr>
    <w:rPr>
      <w:rFonts w:ascii="Arial" w:hAnsi="Arial"/>
      <w:b/>
      <w:bCs/>
      <w:color w:val="000000" w:themeColor="text1"/>
      <w:lang w:val="it-IT" w:eastAsia="it-IT"/>
    </w:rPr>
  </w:style>
  <w:style w:type="character" w:customStyle="1" w:styleId="PedmtkomenteChar">
    <w:name w:val="Předmět komentáře Char"/>
    <w:basedOn w:val="TextkomenteChar"/>
    <w:link w:val="Pedmtkomente"/>
    <w:semiHidden/>
    <w:rsid w:val="008F2580"/>
    <w:rPr>
      <w:rFonts w:ascii="Arial" w:eastAsia="Times New Roman" w:hAnsi="Arial" w:cs="Times New Roman"/>
      <w:b/>
      <w:bCs/>
      <w:color w:val="000000" w:themeColor="text1"/>
      <w:sz w:val="20"/>
      <w:szCs w:val="20"/>
      <w:lang w:val="it-IT" w:eastAsia="it-IT"/>
    </w:rPr>
  </w:style>
  <w:style w:type="paragraph" w:customStyle="1" w:styleId="GPseznambody">
    <w:name w:val="GPČ_seznam (body)"/>
    <w:basedOn w:val="Odstavecseseznamem"/>
    <w:link w:val="GPseznambodyChar"/>
    <w:qFormat/>
    <w:rsid w:val="00DC7876"/>
    <w:pPr>
      <w:widowControl/>
      <w:numPr>
        <w:numId w:val="12"/>
      </w:numPr>
      <w:autoSpaceDE w:val="0"/>
      <w:autoSpaceDN w:val="0"/>
      <w:adjustRightInd w:val="0"/>
      <w:spacing w:before="0" w:after="0" w:line="240" w:lineRule="auto"/>
      <w:ind w:left="1134" w:hanging="425"/>
      <w:contextualSpacing w:val="0"/>
    </w:pPr>
    <w:rPr>
      <w:rFonts w:cs="Arial"/>
      <w:sz w:val="20"/>
      <w:szCs w:val="20"/>
    </w:rPr>
  </w:style>
  <w:style w:type="character" w:customStyle="1" w:styleId="OdstavecseseznamemChar">
    <w:name w:val="Odstavec se seznamem Char"/>
    <w:basedOn w:val="Standardnpsmoodstavce"/>
    <w:link w:val="Odstavecseseznamem"/>
    <w:uiPriority w:val="34"/>
    <w:rsid w:val="00DC7876"/>
    <w:rPr>
      <w:rFonts w:ascii="Arial" w:eastAsia="Times New Roman" w:hAnsi="Arial" w:cs="Times New Roman"/>
      <w:color w:val="000000" w:themeColor="text1"/>
      <w:sz w:val="18"/>
      <w:szCs w:val="24"/>
      <w:lang w:val="it-IT" w:eastAsia="it-IT"/>
    </w:rPr>
  </w:style>
  <w:style w:type="paragraph" w:customStyle="1" w:styleId="GPlnek">
    <w:name w:val="GPČ_článek"/>
    <w:basedOn w:val="Normln"/>
    <w:link w:val="GPlnekChar"/>
    <w:qFormat/>
    <w:rsid w:val="00137D1E"/>
    <w:pPr>
      <w:widowControl/>
      <w:spacing w:before="0" w:after="240" w:line="240" w:lineRule="auto"/>
      <w:contextualSpacing w:val="0"/>
    </w:pPr>
    <w:rPr>
      <w:rFonts w:cs="Arial"/>
      <w:b/>
      <w:sz w:val="22"/>
      <w:szCs w:val="22"/>
    </w:rPr>
  </w:style>
  <w:style w:type="paragraph" w:customStyle="1" w:styleId="GPodstavec">
    <w:name w:val="GPČ_odstavec"/>
    <w:basedOn w:val="Normln"/>
    <w:link w:val="GPodstavecChar"/>
    <w:qFormat/>
    <w:rsid w:val="00137D1E"/>
    <w:pPr>
      <w:widowControl/>
      <w:autoSpaceDE w:val="0"/>
      <w:autoSpaceDN w:val="0"/>
      <w:adjustRightInd w:val="0"/>
      <w:spacing w:before="120" w:after="0" w:line="240" w:lineRule="auto"/>
      <w:contextualSpacing w:val="0"/>
    </w:pPr>
    <w:rPr>
      <w:rFonts w:cs="Arial"/>
      <w:sz w:val="20"/>
      <w:szCs w:val="20"/>
    </w:rPr>
  </w:style>
  <w:style w:type="character" w:customStyle="1" w:styleId="GPseznambodyChar">
    <w:name w:val="GPČ_seznam (body) Char"/>
    <w:basedOn w:val="OdstavecseseznamemChar"/>
    <w:link w:val="GPseznambody"/>
    <w:rsid w:val="00137D1E"/>
    <w:rPr>
      <w:rFonts w:ascii="Arial" w:eastAsia="Times New Roman" w:hAnsi="Arial" w:cs="Arial"/>
      <w:color w:val="000000" w:themeColor="text1"/>
      <w:sz w:val="20"/>
      <w:szCs w:val="20"/>
      <w:lang w:val="it-IT" w:eastAsia="it-IT"/>
    </w:rPr>
  </w:style>
  <w:style w:type="character" w:customStyle="1" w:styleId="GPodstavecChar">
    <w:name w:val="GPČ_odstavec Char"/>
    <w:basedOn w:val="Standardnpsmoodstavce"/>
    <w:link w:val="GPodstavec"/>
    <w:rsid w:val="003C4960"/>
    <w:rPr>
      <w:rFonts w:ascii="Arial" w:eastAsia="Times New Roman" w:hAnsi="Arial" w:cs="Arial"/>
      <w:color w:val="000000" w:themeColor="text1"/>
      <w:sz w:val="20"/>
      <w:szCs w:val="20"/>
      <w:lang w:val="it-IT" w:eastAsia="it-IT"/>
    </w:rPr>
  </w:style>
  <w:style w:type="paragraph" w:styleId="Revize">
    <w:name w:val="Revision"/>
    <w:hidden/>
    <w:uiPriority w:val="99"/>
    <w:semiHidden/>
    <w:rsid w:val="0075190D"/>
    <w:pPr>
      <w:spacing w:after="0" w:line="240" w:lineRule="auto"/>
    </w:pPr>
    <w:rPr>
      <w:rFonts w:ascii="Arial" w:eastAsia="Times New Roman" w:hAnsi="Arial" w:cs="Times New Roman"/>
      <w:color w:val="000000" w:themeColor="text1"/>
      <w:sz w:val="18"/>
      <w:szCs w:val="24"/>
      <w:lang w:val="it-IT" w:eastAsia="it-IT"/>
    </w:rPr>
  </w:style>
  <w:style w:type="character" w:customStyle="1" w:styleId="GPlnekChar">
    <w:name w:val="GPČ_článek Char"/>
    <w:basedOn w:val="Standardnpsmoodstavce"/>
    <w:link w:val="GPlnek"/>
    <w:rsid w:val="005A0E66"/>
    <w:rPr>
      <w:rFonts w:ascii="Arial" w:eastAsia="Times New Roman" w:hAnsi="Arial" w:cs="Arial"/>
      <w:b/>
      <w:color w:val="000000" w:themeColor="text1"/>
      <w:lang w:val="it-IT" w:eastAsia="it-IT"/>
    </w:rPr>
  </w:style>
  <w:style w:type="paragraph" w:customStyle="1" w:styleId="Nadpis111">
    <w:name w:val="Nadpis 1.1.1."/>
    <w:basedOn w:val="Odstavecseseznamem"/>
    <w:qFormat/>
    <w:rsid w:val="00C96EFD"/>
    <w:pPr>
      <w:widowControl/>
      <w:spacing w:before="0" w:after="0" w:line="240" w:lineRule="auto"/>
      <w:ind w:left="1080" w:hanging="720"/>
      <w:contextualSpacing w:val="0"/>
      <w:jc w:val="both"/>
    </w:pPr>
    <w:rPr>
      <w:rFonts w:cs="Arial"/>
      <w:sz w:val="20"/>
      <w:szCs w:val="20"/>
    </w:rPr>
  </w:style>
  <w:style w:type="paragraph" w:customStyle="1" w:styleId="Paragrafoelenco">
    <w:name w:val="Paragrafo elenco"/>
    <w:aliases w:val="Paragrafo elenco TelemaCxSpLast,text bullet"/>
    <w:basedOn w:val="Normln"/>
    <w:uiPriority w:val="34"/>
    <w:rsid w:val="00DF0778"/>
    <w:pPr>
      <w:widowControl/>
      <w:spacing w:before="0" w:after="0" w:line="240" w:lineRule="auto"/>
      <w:ind w:left="720"/>
      <w:contextualSpacing w:val="0"/>
    </w:pPr>
    <w:rPr>
      <w:rFonts w:ascii="Calibri" w:eastAsia="Calibri" w:hAnsi="Calibri" w:cs="Calibri"/>
      <w:color w:val="auto"/>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10222">
      <w:bodyDiv w:val="1"/>
      <w:marLeft w:val="0"/>
      <w:marRight w:val="0"/>
      <w:marTop w:val="0"/>
      <w:marBottom w:val="0"/>
      <w:divBdr>
        <w:top w:val="none" w:sz="0" w:space="0" w:color="auto"/>
        <w:left w:val="none" w:sz="0" w:space="0" w:color="auto"/>
        <w:bottom w:val="none" w:sz="0" w:space="0" w:color="auto"/>
        <w:right w:val="none" w:sz="0" w:space="0" w:color="auto"/>
      </w:divBdr>
    </w:div>
    <w:div w:id="151530124">
      <w:bodyDiv w:val="1"/>
      <w:marLeft w:val="0"/>
      <w:marRight w:val="0"/>
      <w:marTop w:val="0"/>
      <w:marBottom w:val="0"/>
      <w:divBdr>
        <w:top w:val="none" w:sz="0" w:space="0" w:color="auto"/>
        <w:left w:val="none" w:sz="0" w:space="0" w:color="auto"/>
        <w:bottom w:val="none" w:sz="0" w:space="0" w:color="auto"/>
        <w:right w:val="none" w:sz="0" w:space="0" w:color="auto"/>
      </w:divBdr>
    </w:div>
    <w:div w:id="302463612">
      <w:bodyDiv w:val="1"/>
      <w:marLeft w:val="0"/>
      <w:marRight w:val="0"/>
      <w:marTop w:val="0"/>
      <w:marBottom w:val="0"/>
      <w:divBdr>
        <w:top w:val="none" w:sz="0" w:space="0" w:color="auto"/>
        <w:left w:val="none" w:sz="0" w:space="0" w:color="auto"/>
        <w:bottom w:val="none" w:sz="0" w:space="0" w:color="auto"/>
        <w:right w:val="none" w:sz="0" w:space="0" w:color="auto"/>
      </w:divBdr>
    </w:div>
    <w:div w:id="431978017">
      <w:bodyDiv w:val="1"/>
      <w:marLeft w:val="0"/>
      <w:marRight w:val="0"/>
      <w:marTop w:val="0"/>
      <w:marBottom w:val="0"/>
      <w:divBdr>
        <w:top w:val="none" w:sz="0" w:space="0" w:color="auto"/>
        <w:left w:val="none" w:sz="0" w:space="0" w:color="auto"/>
        <w:bottom w:val="none" w:sz="0" w:space="0" w:color="auto"/>
        <w:right w:val="none" w:sz="0" w:space="0" w:color="auto"/>
      </w:divBdr>
    </w:div>
    <w:div w:id="598834929">
      <w:bodyDiv w:val="1"/>
      <w:marLeft w:val="0"/>
      <w:marRight w:val="0"/>
      <w:marTop w:val="0"/>
      <w:marBottom w:val="0"/>
      <w:divBdr>
        <w:top w:val="none" w:sz="0" w:space="0" w:color="auto"/>
        <w:left w:val="none" w:sz="0" w:space="0" w:color="auto"/>
        <w:bottom w:val="none" w:sz="0" w:space="0" w:color="auto"/>
        <w:right w:val="none" w:sz="0" w:space="0" w:color="auto"/>
      </w:divBdr>
    </w:div>
    <w:div w:id="704863661">
      <w:bodyDiv w:val="1"/>
      <w:marLeft w:val="0"/>
      <w:marRight w:val="0"/>
      <w:marTop w:val="0"/>
      <w:marBottom w:val="0"/>
      <w:divBdr>
        <w:top w:val="none" w:sz="0" w:space="0" w:color="auto"/>
        <w:left w:val="none" w:sz="0" w:space="0" w:color="auto"/>
        <w:bottom w:val="none" w:sz="0" w:space="0" w:color="auto"/>
        <w:right w:val="none" w:sz="0" w:space="0" w:color="auto"/>
      </w:divBdr>
    </w:div>
    <w:div w:id="819272507">
      <w:bodyDiv w:val="1"/>
      <w:marLeft w:val="0"/>
      <w:marRight w:val="0"/>
      <w:marTop w:val="0"/>
      <w:marBottom w:val="0"/>
      <w:divBdr>
        <w:top w:val="none" w:sz="0" w:space="0" w:color="auto"/>
        <w:left w:val="none" w:sz="0" w:space="0" w:color="auto"/>
        <w:bottom w:val="none" w:sz="0" w:space="0" w:color="auto"/>
        <w:right w:val="none" w:sz="0" w:space="0" w:color="auto"/>
      </w:divBdr>
    </w:div>
    <w:div w:id="896433282">
      <w:bodyDiv w:val="1"/>
      <w:marLeft w:val="0"/>
      <w:marRight w:val="0"/>
      <w:marTop w:val="0"/>
      <w:marBottom w:val="0"/>
      <w:divBdr>
        <w:top w:val="none" w:sz="0" w:space="0" w:color="auto"/>
        <w:left w:val="none" w:sz="0" w:space="0" w:color="auto"/>
        <w:bottom w:val="none" w:sz="0" w:space="0" w:color="auto"/>
        <w:right w:val="none" w:sz="0" w:space="0" w:color="auto"/>
      </w:divBdr>
    </w:div>
    <w:div w:id="965696728">
      <w:bodyDiv w:val="1"/>
      <w:marLeft w:val="0"/>
      <w:marRight w:val="0"/>
      <w:marTop w:val="0"/>
      <w:marBottom w:val="0"/>
      <w:divBdr>
        <w:top w:val="none" w:sz="0" w:space="0" w:color="auto"/>
        <w:left w:val="none" w:sz="0" w:space="0" w:color="auto"/>
        <w:bottom w:val="none" w:sz="0" w:space="0" w:color="auto"/>
        <w:right w:val="none" w:sz="0" w:space="0" w:color="auto"/>
      </w:divBdr>
    </w:div>
    <w:div w:id="1137455919">
      <w:bodyDiv w:val="1"/>
      <w:marLeft w:val="0"/>
      <w:marRight w:val="0"/>
      <w:marTop w:val="0"/>
      <w:marBottom w:val="0"/>
      <w:divBdr>
        <w:top w:val="none" w:sz="0" w:space="0" w:color="auto"/>
        <w:left w:val="none" w:sz="0" w:space="0" w:color="auto"/>
        <w:bottom w:val="none" w:sz="0" w:space="0" w:color="auto"/>
        <w:right w:val="none" w:sz="0" w:space="0" w:color="auto"/>
      </w:divBdr>
    </w:div>
    <w:div w:id="1181041792">
      <w:bodyDiv w:val="1"/>
      <w:marLeft w:val="0"/>
      <w:marRight w:val="0"/>
      <w:marTop w:val="0"/>
      <w:marBottom w:val="0"/>
      <w:divBdr>
        <w:top w:val="none" w:sz="0" w:space="0" w:color="auto"/>
        <w:left w:val="none" w:sz="0" w:space="0" w:color="auto"/>
        <w:bottom w:val="none" w:sz="0" w:space="0" w:color="auto"/>
        <w:right w:val="none" w:sz="0" w:space="0" w:color="auto"/>
      </w:divBdr>
    </w:div>
    <w:div w:id="1600872828">
      <w:bodyDiv w:val="1"/>
      <w:marLeft w:val="0"/>
      <w:marRight w:val="0"/>
      <w:marTop w:val="0"/>
      <w:marBottom w:val="0"/>
      <w:divBdr>
        <w:top w:val="none" w:sz="0" w:space="0" w:color="auto"/>
        <w:left w:val="none" w:sz="0" w:space="0" w:color="auto"/>
        <w:bottom w:val="none" w:sz="0" w:space="0" w:color="auto"/>
        <w:right w:val="none" w:sz="0" w:space="0" w:color="auto"/>
      </w:divBdr>
    </w:div>
    <w:div w:id="1664702609">
      <w:bodyDiv w:val="1"/>
      <w:marLeft w:val="0"/>
      <w:marRight w:val="0"/>
      <w:marTop w:val="0"/>
      <w:marBottom w:val="0"/>
      <w:divBdr>
        <w:top w:val="none" w:sz="0" w:space="0" w:color="auto"/>
        <w:left w:val="none" w:sz="0" w:space="0" w:color="auto"/>
        <w:bottom w:val="none" w:sz="0" w:space="0" w:color="auto"/>
        <w:right w:val="none" w:sz="0" w:space="0" w:color="auto"/>
      </w:divBdr>
    </w:div>
    <w:div w:id="1734045074">
      <w:bodyDiv w:val="1"/>
      <w:marLeft w:val="0"/>
      <w:marRight w:val="0"/>
      <w:marTop w:val="0"/>
      <w:marBottom w:val="0"/>
      <w:divBdr>
        <w:top w:val="none" w:sz="0" w:space="0" w:color="auto"/>
        <w:left w:val="none" w:sz="0" w:space="0" w:color="auto"/>
        <w:bottom w:val="none" w:sz="0" w:space="0" w:color="auto"/>
        <w:right w:val="none" w:sz="0" w:space="0" w:color="auto"/>
      </w:divBdr>
    </w:div>
    <w:div w:id="1745297154">
      <w:bodyDiv w:val="1"/>
      <w:marLeft w:val="0"/>
      <w:marRight w:val="0"/>
      <w:marTop w:val="0"/>
      <w:marBottom w:val="0"/>
      <w:divBdr>
        <w:top w:val="none" w:sz="0" w:space="0" w:color="auto"/>
        <w:left w:val="none" w:sz="0" w:space="0" w:color="auto"/>
        <w:bottom w:val="none" w:sz="0" w:space="0" w:color="auto"/>
        <w:right w:val="none" w:sz="0" w:space="0" w:color="auto"/>
      </w:divBdr>
    </w:div>
    <w:div w:id="184407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FB719-0199-4203-B5B6-8B34FCF4D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3065</Words>
  <Characters>18084</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Generali Pojišťovna a.s.</Company>
  <LinksUpToDate>false</LinksUpToDate>
  <CharactersWithSpaces>21107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Trávníčková Martina</dc:creator>
  <cp:keywords/>
  <dc:description/>
  <cp:lastModifiedBy>Klára Ibrmajerová</cp:lastModifiedBy>
  <cp:revision>3</cp:revision>
  <cp:lastPrinted>2022-10-20T07:21:00Z</cp:lastPrinted>
  <dcterms:created xsi:type="dcterms:W3CDTF">2025-01-06T08:40:00Z</dcterms:created>
  <dcterms:modified xsi:type="dcterms:W3CDTF">2025-01-06T08:43:00Z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a71049-ab6d-463d-b568-0751aa1e8107_Enabled">
    <vt:lpwstr>true</vt:lpwstr>
  </property>
  <property fmtid="{D5CDD505-2E9C-101B-9397-08002B2CF9AE}" pid="3" name="MSIP_Label_17a71049-ab6d-463d-b568-0751aa1e8107_SetDate">
    <vt:lpwstr>2022-10-20T07:21:21Z</vt:lpwstr>
  </property>
  <property fmtid="{D5CDD505-2E9C-101B-9397-08002B2CF9AE}" pid="4" name="MSIP_Label_17a71049-ab6d-463d-b568-0751aa1e8107_Method">
    <vt:lpwstr>Privileged</vt:lpwstr>
  </property>
  <property fmtid="{D5CDD505-2E9C-101B-9397-08002B2CF9AE}" pid="5" name="MSIP_Label_17a71049-ab6d-463d-b568-0751aa1e8107_Name">
    <vt:lpwstr>Důvěrné-CZE-Viditelna</vt:lpwstr>
  </property>
  <property fmtid="{D5CDD505-2E9C-101B-9397-08002B2CF9AE}" pid="6" name="MSIP_Label_17a71049-ab6d-463d-b568-0751aa1e8107_SiteId">
    <vt:lpwstr>cbeb3ecc-6f45-4183-b5a8-088140deae5d</vt:lpwstr>
  </property>
  <property fmtid="{D5CDD505-2E9C-101B-9397-08002B2CF9AE}" pid="7" name="MSIP_Label_17a71049-ab6d-463d-b568-0751aa1e8107_ActionId">
    <vt:lpwstr>314cce80-b716-4cea-9f89-c70e3738921f</vt:lpwstr>
  </property>
  <property fmtid="{D5CDD505-2E9C-101B-9397-08002B2CF9AE}" pid="8" name="MSIP_Label_17a71049-ab6d-463d-b568-0751aa1e8107_ContentBits">
    <vt:lpwstr>2</vt:lpwstr>
  </property>
</Properties>
</file>