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668D" w14:textId="5CCCE62C" w:rsidR="005E3E37" w:rsidRDefault="005E3E37" w:rsidP="005E3E37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45D944" wp14:editId="227AD1BC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494D9" w14:textId="40F601A0" w:rsidR="005E3E37" w:rsidRDefault="005E3E37" w:rsidP="005E3E37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5AD0B3B" wp14:editId="22981F50">
                                  <wp:extent cx="1876425" cy="571500"/>
                                  <wp:effectExtent l="0" t="0" r="9525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1F2E6F" w14:textId="77777777" w:rsidR="005E3E37" w:rsidRDefault="005E3E37" w:rsidP="005E3E37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NPU1002454333</w:t>
                            </w:r>
                          </w:p>
                          <w:p w14:paraId="64453DDA" w14:textId="77777777" w:rsidR="005E3E37" w:rsidRDefault="005E3E37" w:rsidP="005E3E37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NPU-420/111207/2024</w:t>
                            </w:r>
                          </w:p>
                          <w:p w14:paraId="4F62B2C1" w14:textId="77777777" w:rsidR="005E3E37" w:rsidRDefault="005E3E37" w:rsidP="005E3E3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 2002H1240023</w:t>
                            </w:r>
                          </w:p>
                          <w:p w14:paraId="187078CC" w14:textId="77777777" w:rsidR="005E3E37" w:rsidRDefault="005E3E37" w:rsidP="005E3E37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DD6E60E" w14:textId="77777777" w:rsidR="005E3E37" w:rsidRDefault="005E3E37" w:rsidP="005E3E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F45D94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301.95pt;margin-top:-60.45pt;width:163.1pt;height:13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" stroked="f">
                <v:textbox>
                  <w:txbxContent>
                    <w:p w14:paraId="4A9494D9" w14:textId="40F601A0" w:rsidR="005E3E37" w:rsidRDefault="005E3E37" w:rsidP="005E3E37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5AD0B3B" wp14:editId="22981F50">
                            <wp:extent cx="1876425" cy="571500"/>
                            <wp:effectExtent l="0" t="0" r="9525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1F2E6F" w14:textId="77777777" w:rsidR="005E3E37" w:rsidRDefault="005E3E37" w:rsidP="005E3E37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NPU1002454333</w:t>
                      </w:r>
                    </w:p>
                    <w:p w14:paraId="64453DDA" w14:textId="77777777" w:rsidR="005E3E37" w:rsidRDefault="005E3E37" w:rsidP="005E3E37">
                      <w:pPr>
                        <w:jc w:val="center"/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NPU-420/111207/2024</w:t>
                      </w:r>
                    </w:p>
                    <w:p w14:paraId="4F62B2C1" w14:textId="77777777" w:rsidR="005E3E37" w:rsidRDefault="005E3E37" w:rsidP="005E3E3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 2002H1240023</w:t>
                      </w:r>
                    </w:p>
                    <w:p w14:paraId="187078CC" w14:textId="77777777" w:rsidR="005E3E37" w:rsidRDefault="005E3E37" w:rsidP="005E3E37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2DD6E60E" w14:textId="77777777" w:rsidR="005E3E37" w:rsidRDefault="005E3E37" w:rsidP="005E3E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31F034A" w14:textId="77777777" w:rsidR="005E3E37" w:rsidRDefault="005E3E37" w:rsidP="005E3E37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37CE2671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7AA5A0DA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3F18C94D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34EF5D6C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5DDFD8E4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6F9088CE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16DD28D8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3D74B06C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40A103CA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7C1B2D14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399D4A28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6232BDF7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4FAE99FA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7855DF36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11612131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564310F8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65EECE76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157372F1" w14:textId="77777777" w:rsidR="005E3E37" w:rsidRDefault="005E3E37" w:rsidP="005E3E37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105F74">
      <w:pPr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70035C0" w14:textId="77777777" w:rsidR="00C918FA" w:rsidRPr="000F497D" w:rsidRDefault="00C918FA" w:rsidP="00C918FA">
      <w:pPr>
        <w:rPr>
          <w:color w:val="000000"/>
          <w:sz w:val="22"/>
          <w:szCs w:val="22"/>
        </w:rPr>
      </w:pPr>
      <w:r w:rsidRPr="000F497D">
        <w:rPr>
          <w:rStyle w:val="Siln"/>
          <w:rFonts w:cs="Calibri"/>
          <w:color w:val="000000"/>
          <w:sz w:val="22"/>
          <w:szCs w:val="22"/>
        </w:rPr>
        <w:t>Národní památkový ústav,</w:t>
      </w:r>
      <w:r w:rsidRPr="000F497D">
        <w:rPr>
          <w:color w:val="000000"/>
          <w:sz w:val="22"/>
          <w:szCs w:val="22"/>
        </w:rPr>
        <w:t xml:space="preserve"> státní příspěvková organizace</w:t>
      </w:r>
    </w:p>
    <w:p w14:paraId="2E1AC491" w14:textId="77777777" w:rsidR="00C918FA" w:rsidRPr="000F497D" w:rsidRDefault="00C918FA" w:rsidP="00C918FA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IČO: 75032333, DIČ: CZ75032333,</w:t>
      </w:r>
    </w:p>
    <w:p w14:paraId="53F3C2E5" w14:textId="77777777" w:rsidR="00C918FA" w:rsidRPr="000F497D" w:rsidRDefault="00C918FA" w:rsidP="00C918FA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se sídlem: Valdštejnské nám. 162/3, PSČ 118 01 Praha 1 – Malá Strana,</w:t>
      </w:r>
    </w:p>
    <w:p w14:paraId="4988AB53" w14:textId="77777777" w:rsidR="00C918FA" w:rsidRPr="003D60A4" w:rsidRDefault="00C918FA" w:rsidP="00C918FA">
      <w:pPr>
        <w:rPr>
          <w:color w:val="000000"/>
          <w:sz w:val="22"/>
          <w:szCs w:val="22"/>
        </w:rPr>
      </w:pPr>
      <w:r w:rsidRPr="003D60A4">
        <w:rPr>
          <w:color w:val="000000"/>
          <w:sz w:val="22"/>
          <w:szCs w:val="22"/>
        </w:rPr>
        <w:t>zastoupen: Bc. Liborem Knížkem, kastelánem SZ Hořovice</w:t>
      </w:r>
    </w:p>
    <w:p w14:paraId="1B216AB8" w14:textId="48E7BBCD" w:rsidR="00C918FA" w:rsidRDefault="00C918FA" w:rsidP="00C918FA">
      <w:pPr>
        <w:rPr>
          <w:color w:val="000000"/>
          <w:sz w:val="22"/>
          <w:szCs w:val="22"/>
        </w:rPr>
      </w:pPr>
      <w:r w:rsidRPr="003D60A4">
        <w:rPr>
          <w:color w:val="000000"/>
          <w:sz w:val="22"/>
          <w:szCs w:val="22"/>
        </w:rPr>
        <w:t xml:space="preserve">bankovní spojení: ČNB, č. </w:t>
      </w:r>
      <w:proofErr w:type="spellStart"/>
      <w:r w:rsidRPr="003D60A4">
        <w:rPr>
          <w:color w:val="000000"/>
          <w:sz w:val="22"/>
          <w:szCs w:val="22"/>
        </w:rPr>
        <w:t>ú.</w:t>
      </w:r>
      <w:proofErr w:type="spellEnd"/>
      <w:r w:rsidRPr="003D60A4">
        <w:rPr>
          <w:color w:val="000000"/>
          <w:sz w:val="22"/>
          <w:szCs w:val="22"/>
        </w:rPr>
        <w:t xml:space="preserve">: </w:t>
      </w:r>
      <w:proofErr w:type="spellStart"/>
      <w:r w:rsidR="00930357">
        <w:rPr>
          <w:color w:val="000000"/>
          <w:sz w:val="22"/>
          <w:szCs w:val="22"/>
        </w:rPr>
        <w:t>xxx</w:t>
      </w:r>
      <w:proofErr w:type="spellEnd"/>
    </w:p>
    <w:p w14:paraId="6C07C6F8" w14:textId="77777777" w:rsidR="00C918FA" w:rsidRPr="000F497D" w:rsidRDefault="00C918FA" w:rsidP="00C918FA">
      <w:pPr>
        <w:rPr>
          <w:color w:val="000000"/>
          <w:sz w:val="22"/>
          <w:szCs w:val="22"/>
        </w:rPr>
      </w:pPr>
    </w:p>
    <w:p w14:paraId="016905CB" w14:textId="77777777" w:rsidR="00C918FA" w:rsidRPr="000F497D" w:rsidRDefault="00C918FA" w:rsidP="00C918FA">
      <w:pPr>
        <w:rPr>
          <w:color w:val="000000"/>
          <w:sz w:val="22"/>
          <w:szCs w:val="22"/>
        </w:rPr>
      </w:pPr>
      <w:r w:rsidRPr="000F497D">
        <w:rPr>
          <w:b/>
          <w:bCs/>
          <w:color w:val="000000"/>
          <w:sz w:val="22"/>
          <w:szCs w:val="22"/>
        </w:rPr>
        <w:t>Doručovací adresa:</w:t>
      </w:r>
    </w:p>
    <w:p w14:paraId="350FED3A" w14:textId="77777777" w:rsidR="00C918FA" w:rsidRPr="007040FF" w:rsidRDefault="00C918FA" w:rsidP="00C918FA">
      <w:pPr>
        <w:rPr>
          <w:sz w:val="22"/>
          <w:szCs w:val="22"/>
        </w:rPr>
      </w:pPr>
      <w:r w:rsidRPr="007040FF">
        <w:rPr>
          <w:sz w:val="22"/>
          <w:szCs w:val="22"/>
        </w:rPr>
        <w:t xml:space="preserve">Národní památkový ústav, státního </w:t>
      </w:r>
      <w:r>
        <w:rPr>
          <w:sz w:val="22"/>
          <w:szCs w:val="22"/>
        </w:rPr>
        <w:t>zámku Hořovice</w:t>
      </w:r>
    </w:p>
    <w:p w14:paraId="3F0C918E" w14:textId="77777777" w:rsidR="00C918FA" w:rsidRPr="007040FF" w:rsidRDefault="00C918FA" w:rsidP="00C918FA">
      <w:pPr>
        <w:rPr>
          <w:sz w:val="22"/>
          <w:szCs w:val="22"/>
        </w:rPr>
      </w:pPr>
      <w:r w:rsidRPr="007040FF">
        <w:rPr>
          <w:sz w:val="22"/>
          <w:szCs w:val="22"/>
        </w:rPr>
        <w:t xml:space="preserve">adresa: </w:t>
      </w:r>
      <w:proofErr w:type="spellStart"/>
      <w:r>
        <w:rPr>
          <w:sz w:val="22"/>
          <w:szCs w:val="22"/>
        </w:rPr>
        <w:t>Vrbnovská</w:t>
      </w:r>
      <w:proofErr w:type="spellEnd"/>
      <w:r>
        <w:rPr>
          <w:sz w:val="22"/>
          <w:szCs w:val="22"/>
        </w:rPr>
        <w:t xml:space="preserve"> 22, 268 01 Hořovice</w:t>
      </w:r>
      <w:r w:rsidRPr="007040FF">
        <w:rPr>
          <w:sz w:val="22"/>
          <w:szCs w:val="22"/>
        </w:rPr>
        <w:t>,</w:t>
      </w:r>
    </w:p>
    <w:p w14:paraId="6038BE80" w14:textId="12B5F5F6" w:rsidR="00C918FA" w:rsidRPr="007040FF" w:rsidRDefault="00C918FA" w:rsidP="00C918FA">
      <w:pPr>
        <w:rPr>
          <w:sz w:val="22"/>
          <w:szCs w:val="22"/>
        </w:rPr>
      </w:pPr>
      <w:r w:rsidRPr="007040FF">
        <w:rPr>
          <w:sz w:val="22"/>
          <w:szCs w:val="22"/>
        </w:rPr>
        <w:t xml:space="preserve">tel.: </w:t>
      </w:r>
      <w:proofErr w:type="spellStart"/>
      <w:r w:rsidR="00930357">
        <w:rPr>
          <w:sz w:val="22"/>
          <w:szCs w:val="22"/>
        </w:rPr>
        <w:t>xxx</w:t>
      </w:r>
      <w:bookmarkStart w:id="0" w:name="_GoBack"/>
      <w:bookmarkEnd w:id="0"/>
      <w:proofErr w:type="spellEnd"/>
    </w:p>
    <w:p w14:paraId="7BF128C9" w14:textId="77777777" w:rsidR="00C918FA" w:rsidRPr="000F497D" w:rsidRDefault="00C918FA" w:rsidP="00C918FA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 w:rsidRPr="000F497D">
        <w:rPr>
          <w:color w:val="000000"/>
          <w:sz w:val="22"/>
          <w:szCs w:val="22"/>
        </w:rPr>
        <w:t>“)</w:t>
      </w:r>
    </w:p>
    <w:p w14:paraId="6DB6A39F" w14:textId="77777777" w:rsidR="00C918FA" w:rsidRPr="000F497D" w:rsidRDefault="00C918FA" w:rsidP="00C918FA">
      <w:pPr>
        <w:rPr>
          <w:color w:val="000000"/>
          <w:sz w:val="22"/>
          <w:szCs w:val="22"/>
        </w:rPr>
      </w:pPr>
    </w:p>
    <w:p w14:paraId="12B00DAA" w14:textId="77777777" w:rsidR="00C918FA" w:rsidRPr="000F497D" w:rsidRDefault="00C918FA" w:rsidP="00C918FA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14:paraId="0708F2D3" w14:textId="77777777" w:rsidR="00C918FA" w:rsidRPr="000F497D" w:rsidRDefault="00C918FA" w:rsidP="00C918FA">
      <w:pPr>
        <w:rPr>
          <w:color w:val="000000"/>
          <w:sz w:val="22"/>
          <w:szCs w:val="22"/>
        </w:rPr>
      </w:pPr>
    </w:p>
    <w:p w14:paraId="381D8D6A" w14:textId="77777777" w:rsidR="00656F8B" w:rsidRPr="002F5371" w:rsidRDefault="00656F8B" w:rsidP="00656F8B">
      <w:pPr>
        <w:rPr>
          <w:b/>
          <w:sz w:val="22"/>
          <w:szCs w:val="22"/>
        </w:rPr>
      </w:pPr>
      <w:proofErr w:type="spellStart"/>
      <w:r w:rsidRPr="002F5371">
        <w:rPr>
          <w:b/>
        </w:rPr>
        <w:t>Styldekor</w:t>
      </w:r>
      <w:proofErr w:type="spellEnd"/>
      <w:r w:rsidRPr="002F5371">
        <w:rPr>
          <w:b/>
        </w:rPr>
        <w:t xml:space="preserve"> s.r.o.</w:t>
      </w:r>
    </w:p>
    <w:p w14:paraId="60C6F725" w14:textId="1B3BA800" w:rsidR="00656F8B" w:rsidRPr="00777E75" w:rsidRDefault="00656F8B" w:rsidP="00656F8B">
      <w:pPr>
        <w:rPr>
          <w:sz w:val="22"/>
        </w:rPr>
      </w:pPr>
      <w:r w:rsidRPr="00777E75">
        <w:rPr>
          <w:sz w:val="22"/>
        </w:rPr>
        <w:t xml:space="preserve">se sídlem: </w:t>
      </w:r>
      <w:r w:rsidR="009D6691">
        <w:rPr>
          <w:sz w:val="22"/>
        </w:rPr>
        <w:t xml:space="preserve">Doksy, </w:t>
      </w:r>
      <w:r>
        <w:rPr>
          <w:sz w:val="22"/>
        </w:rPr>
        <w:t>Jiřího z Poděbrad 285</w:t>
      </w:r>
    </w:p>
    <w:p w14:paraId="4C0425E6" w14:textId="77777777" w:rsidR="00656F8B" w:rsidRPr="00777E75" w:rsidRDefault="00656F8B" w:rsidP="00656F8B">
      <w:pPr>
        <w:rPr>
          <w:sz w:val="22"/>
          <w:shd w:val="clear" w:color="auto" w:fill="FFFFFF"/>
        </w:rPr>
      </w:pPr>
      <w:r w:rsidRPr="00777E75">
        <w:rPr>
          <w:sz w:val="22"/>
        </w:rPr>
        <w:t xml:space="preserve">IČ: </w:t>
      </w:r>
      <w:r>
        <w:rPr>
          <w:sz w:val="22"/>
          <w:shd w:val="clear" w:color="auto" w:fill="FFFFFF"/>
        </w:rPr>
        <w:t>24820687</w:t>
      </w:r>
    </w:p>
    <w:p w14:paraId="562ED221" w14:textId="77777777" w:rsidR="00656F8B" w:rsidRPr="00777E75" w:rsidRDefault="00656F8B" w:rsidP="00656F8B">
      <w:pPr>
        <w:rPr>
          <w:sz w:val="22"/>
        </w:rPr>
      </w:pPr>
      <w:r w:rsidRPr="00777E75">
        <w:rPr>
          <w:sz w:val="22"/>
        </w:rPr>
        <w:t>DIČ: CZ</w:t>
      </w:r>
      <w:r>
        <w:rPr>
          <w:sz w:val="22"/>
        </w:rPr>
        <w:t>4820687</w:t>
      </w:r>
    </w:p>
    <w:p w14:paraId="5D401334" w14:textId="77777777" w:rsidR="00656F8B" w:rsidRPr="003D60A4" w:rsidRDefault="00656F8B" w:rsidP="00656F8B">
      <w:pPr>
        <w:rPr>
          <w:sz w:val="22"/>
          <w:szCs w:val="22"/>
        </w:rPr>
      </w:pPr>
      <w:r w:rsidRPr="003D60A4">
        <w:rPr>
          <w:sz w:val="22"/>
          <w:szCs w:val="22"/>
        </w:rPr>
        <w:t xml:space="preserve">zastoupen: </w:t>
      </w:r>
      <w:r>
        <w:rPr>
          <w:sz w:val="22"/>
          <w:szCs w:val="22"/>
        </w:rPr>
        <w:t>Ing. Jitka Vítková</w:t>
      </w:r>
    </w:p>
    <w:p w14:paraId="7E2D9C36" w14:textId="77777777" w:rsidR="00656F8B" w:rsidRPr="003D60A4" w:rsidRDefault="00656F8B" w:rsidP="00656F8B">
      <w:pPr>
        <w:rPr>
          <w:sz w:val="22"/>
          <w:szCs w:val="22"/>
        </w:rPr>
      </w:pPr>
      <w:r w:rsidRPr="003D60A4">
        <w:rPr>
          <w:sz w:val="22"/>
          <w:szCs w:val="22"/>
        </w:rPr>
        <w:t>(dále jen „</w:t>
      </w:r>
      <w:r w:rsidRPr="003D60A4">
        <w:rPr>
          <w:b/>
          <w:sz w:val="22"/>
          <w:szCs w:val="22"/>
        </w:rPr>
        <w:t>Zhotovitel</w:t>
      </w:r>
      <w:r w:rsidRPr="003D60A4">
        <w:rPr>
          <w:sz w:val="22"/>
          <w:szCs w:val="22"/>
        </w:rPr>
        <w:t>“)</w:t>
      </w:r>
    </w:p>
    <w:p w14:paraId="2FA1E6C8" w14:textId="77777777" w:rsidR="00C918FA" w:rsidRPr="000F497D" w:rsidRDefault="00C918FA" w:rsidP="00C918FA">
      <w:pPr>
        <w:rPr>
          <w:color w:val="000000"/>
          <w:sz w:val="22"/>
          <w:szCs w:val="22"/>
        </w:rPr>
      </w:pPr>
    </w:p>
    <w:p w14:paraId="711F4119" w14:textId="77777777" w:rsidR="00C918FA" w:rsidRPr="000F497D" w:rsidRDefault="00C918FA" w:rsidP="00C918FA">
      <w:pPr>
        <w:pStyle w:val="Default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14:paraId="57114FFF" w14:textId="77777777" w:rsidR="00C918FA" w:rsidRPr="000F497D" w:rsidRDefault="00C918FA" w:rsidP="00C918FA">
      <w:pPr>
        <w:rPr>
          <w:color w:val="000000"/>
          <w:sz w:val="22"/>
          <w:szCs w:val="22"/>
        </w:rPr>
      </w:pPr>
    </w:p>
    <w:p w14:paraId="4E36C37A" w14:textId="77777777" w:rsidR="00C918FA" w:rsidRPr="000F497D" w:rsidRDefault="00C918FA" w:rsidP="00C918FA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14:paraId="25F5F0FE" w14:textId="77777777" w:rsidR="00C918FA" w:rsidRPr="000F497D" w:rsidRDefault="00C918FA" w:rsidP="00C918FA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14:paraId="672B19A9" w14:textId="77777777" w:rsidR="00C918FA" w:rsidRPr="00F7639D" w:rsidRDefault="00C918FA" w:rsidP="00C918FA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</w:p>
    <w:p w14:paraId="7B845CFB" w14:textId="77777777" w:rsidR="00C918FA" w:rsidRPr="000F497D" w:rsidRDefault="00C918FA" w:rsidP="00C918FA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14:paraId="1FEFFB4D" w14:textId="77777777" w:rsidR="00C918FA" w:rsidRPr="006D1683" w:rsidRDefault="00C918FA" w:rsidP="00C918FA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54888506" w14:textId="77777777" w:rsidR="00C918FA" w:rsidRDefault="00C918FA" w:rsidP="00C918FA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  <w:lang w:val="cs-CZ"/>
        </w:rPr>
      </w:pPr>
      <w:r w:rsidRPr="006D1683">
        <w:rPr>
          <w:b/>
          <w:bCs/>
          <w:sz w:val="22"/>
          <w:szCs w:val="22"/>
          <w:u w:val="none"/>
          <w:lang w:val="cs-CZ"/>
        </w:rPr>
        <w:t>Preambule</w:t>
      </w:r>
    </w:p>
    <w:p w14:paraId="14641F09" w14:textId="77777777" w:rsidR="00C918FA" w:rsidRPr="00E76DF6" w:rsidRDefault="00C918FA" w:rsidP="00C918FA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E76DF6">
        <w:rPr>
          <w:sz w:val="22"/>
          <w:szCs w:val="22"/>
          <w:u w:val="none"/>
          <w:lang w:val="cs-CZ"/>
        </w:rPr>
        <w:t>Tato smlouva je uzavřena na základě přímého zadání Objednatelem jako zadavatelem mimo režim zákona č. 134/2016 Sb., o zadávání veřejných zakázek, v platném a účinném znění (dále jen „ZZVZ“)</w:t>
      </w:r>
    </w:p>
    <w:p w14:paraId="6007464D" w14:textId="77777777" w:rsidR="00C918FA" w:rsidRPr="005514BB" w:rsidRDefault="00C918FA" w:rsidP="00C918FA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</w:p>
    <w:p w14:paraId="1220F45B" w14:textId="77777777" w:rsidR="00C918FA" w:rsidRPr="006D1683" w:rsidRDefault="00C918FA" w:rsidP="00C918FA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154B0E9E" w14:textId="77777777" w:rsidR="00C918FA" w:rsidRDefault="00C918FA" w:rsidP="00C918FA">
      <w:pPr>
        <w:pStyle w:val="Nzev"/>
        <w:numPr>
          <w:ilvl w:val="0"/>
          <w:numId w:val="3"/>
        </w:numPr>
        <w:rPr>
          <w:b/>
          <w:bCs/>
          <w:sz w:val="22"/>
          <w:szCs w:val="22"/>
          <w:u w:val="none"/>
          <w:lang w:val="cs-CZ"/>
        </w:rPr>
      </w:pPr>
      <w:bookmarkStart w:id="1" w:name="_Ref29200563"/>
      <w:r w:rsidRPr="006D1683">
        <w:rPr>
          <w:b/>
          <w:bCs/>
          <w:sz w:val="22"/>
          <w:szCs w:val="22"/>
          <w:u w:val="none"/>
          <w:lang w:val="cs-CZ"/>
        </w:rPr>
        <w:t>Předmět smlouvy</w:t>
      </w:r>
      <w:bookmarkEnd w:id="1"/>
    </w:p>
    <w:p w14:paraId="7B7C88C7" w14:textId="0C1384A4" w:rsidR="00C918FA" w:rsidRDefault="00C918FA" w:rsidP="00C918FA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  <w:highlight w:val="lightGray"/>
        </w:rPr>
      </w:pPr>
      <w:bookmarkStart w:id="2" w:name="_Ref29209901"/>
      <w:r w:rsidRPr="0001150D">
        <w:rPr>
          <w:rFonts w:ascii="Calibri" w:hAnsi="Calibri"/>
          <w:sz w:val="22"/>
          <w:szCs w:val="22"/>
        </w:rPr>
        <w:t>Zhotovitel je povinen pro Objednatel</w:t>
      </w:r>
      <w:r w:rsidRPr="00E76DF6">
        <w:rPr>
          <w:rFonts w:ascii="Calibri" w:hAnsi="Calibri"/>
          <w:sz w:val="22"/>
          <w:szCs w:val="22"/>
        </w:rPr>
        <w:t xml:space="preserve">e provést na svůj náklad a nebezpečí dílo: </w:t>
      </w:r>
      <w:r w:rsidR="00656F8B" w:rsidRPr="00A91DAA">
        <w:rPr>
          <w:rFonts w:asciiTheme="minorHAnsi" w:hAnsiTheme="minorHAnsi" w:cstheme="minorHAnsi"/>
          <w:b/>
          <w:sz w:val="22"/>
          <w:szCs w:val="22"/>
        </w:rPr>
        <w:t>SZ Hořovice</w:t>
      </w:r>
      <w:r w:rsidR="00656F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6F8B" w:rsidRPr="00A91DAA">
        <w:rPr>
          <w:rFonts w:asciiTheme="minorHAnsi" w:hAnsiTheme="minorHAnsi" w:cstheme="minorHAnsi"/>
          <w:b/>
          <w:sz w:val="22"/>
          <w:szCs w:val="22"/>
        </w:rPr>
        <w:t>–</w:t>
      </w:r>
      <w:r w:rsidR="00656F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6F8B" w:rsidRPr="005F2580">
        <w:rPr>
          <w:rFonts w:asciiTheme="minorHAnsi" w:hAnsiTheme="minorHAnsi" w:cstheme="minorHAnsi"/>
          <w:b/>
          <w:sz w:val="22"/>
          <w:szCs w:val="22"/>
        </w:rPr>
        <w:t xml:space="preserve">Výměna </w:t>
      </w:r>
      <w:r w:rsidR="001D6EDC">
        <w:rPr>
          <w:rFonts w:asciiTheme="minorHAnsi" w:hAnsiTheme="minorHAnsi" w:cstheme="minorHAnsi"/>
          <w:b/>
          <w:sz w:val="22"/>
          <w:szCs w:val="22"/>
        </w:rPr>
        <w:t xml:space="preserve">textilií </w:t>
      </w:r>
      <w:r w:rsidR="00656F8B">
        <w:rPr>
          <w:rFonts w:asciiTheme="minorHAnsi" w:hAnsiTheme="minorHAnsi" w:cstheme="minorHAnsi"/>
          <w:b/>
          <w:sz w:val="22"/>
          <w:szCs w:val="22"/>
        </w:rPr>
        <w:t>zastiňovacích rolet</w:t>
      </w:r>
      <w:r w:rsidRPr="0001150D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</w:t>
      </w:r>
      <w:r w:rsidRPr="0001150D">
        <w:rPr>
          <w:rFonts w:ascii="Calibri" w:hAnsi="Calibri"/>
          <w:sz w:val="22"/>
          <w:szCs w:val="22"/>
        </w:rPr>
        <w:t xml:space="preserve">dílo je specifikované podrobněji v dalších částech této Smlouvy, zejména v </w:t>
      </w:r>
      <w:r w:rsidRPr="006502A9">
        <w:rPr>
          <w:rFonts w:ascii="Calibri" w:hAnsi="Calibri"/>
          <w:sz w:val="22"/>
          <w:szCs w:val="22"/>
        </w:rPr>
        <w:t xml:space="preserve">Příloze 1 – </w:t>
      </w:r>
      <w:r w:rsidR="001D6EDC">
        <w:rPr>
          <w:rFonts w:ascii="Calibri" w:hAnsi="Calibri"/>
          <w:sz w:val="22"/>
          <w:szCs w:val="22"/>
        </w:rPr>
        <w:t>Nabídka – roletky</w:t>
      </w:r>
      <w:r w:rsidRPr="000115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(dále jen „Dílo“)</w:t>
      </w:r>
      <w:r w:rsidRPr="00D74A81">
        <w:rPr>
          <w:rFonts w:ascii="Calibri" w:hAnsi="Calibri"/>
          <w:sz w:val="22"/>
          <w:szCs w:val="22"/>
        </w:rPr>
        <w:t xml:space="preserve">. </w:t>
      </w:r>
    </w:p>
    <w:p w14:paraId="73984223" w14:textId="77777777" w:rsidR="00C918FA" w:rsidRDefault="00C918FA" w:rsidP="00C918FA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>Objednatel se zavazuje řádně zhotovené Dílo převzít a zaplatit za něj Smluvní cenu uvedenou v této Smlouvě.</w:t>
      </w:r>
    </w:p>
    <w:p w14:paraId="332E1EB2" w14:textId="77777777" w:rsidR="00C918FA" w:rsidRPr="002B3F89" w:rsidRDefault="00C918FA" w:rsidP="00C918FA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 xml:space="preserve">Místem plnění je sídlo Objednatele. </w:t>
      </w:r>
    </w:p>
    <w:p w14:paraId="0B5C4E63" w14:textId="77777777" w:rsidR="00C918FA" w:rsidRPr="002A2068" w:rsidRDefault="00C918FA" w:rsidP="00C918FA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3" w:name="_Ref29202019"/>
      <w:bookmarkEnd w:id="2"/>
    </w:p>
    <w:p w14:paraId="6F37D686" w14:textId="77777777" w:rsidR="00C918FA" w:rsidRDefault="00C918FA" w:rsidP="00C918FA">
      <w:pPr>
        <w:pStyle w:val="Nzev"/>
        <w:numPr>
          <w:ilvl w:val="0"/>
          <w:numId w:val="3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14:paraId="4C2DB31D" w14:textId="77777777" w:rsidR="00C918FA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lastRenderedPageBreak/>
        <w:t xml:space="preserve">Strany musí při realizaci předmětu plnění jednat poctivě a s řádnou odbornou péčí, s potřebnou znalostí a pečlivostí. </w:t>
      </w:r>
    </w:p>
    <w:p w14:paraId="103D30B0" w14:textId="77777777" w:rsidR="00C918FA" w:rsidRPr="00426251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1681788D" w14:textId="77777777" w:rsidR="00C918FA" w:rsidRPr="002A2068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14:paraId="7FFA7DEE" w14:textId="77777777" w:rsidR="00C918FA" w:rsidRPr="002A2068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14:paraId="47BE02F4" w14:textId="77777777" w:rsidR="00C918FA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 nebo použité podklady nejsou 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5F842F45" w14:textId="77777777" w:rsidR="00C918FA" w:rsidRPr="002A2068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14:paraId="6D1641BB" w14:textId="77777777" w:rsidR="00C918FA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09E490B5" w14:textId="77777777" w:rsidR="00C918FA" w:rsidRPr="006D1683" w:rsidRDefault="00C918FA" w:rsidP="00C918FA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20902747" w14:textId="77777777" w:rsidR="00C918FA" w:rsidRDefault="00C918FA" w:rsidP="00C918FA">
      <w:pPr>
        <w:pStyle w:val="Nzev"/>
        <w:numPr>
          <w:ilvl w:val="0"/>
          <w:numId w:val="3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>
        <w:rPr>
          <w:b/>
          <w:sz w:val="22"/>
          <w:szCs w:val="22"/>
          <w:u w:val="none"/>
          <w:lang w:val="cs-CZ"/>
        </w:rPr>
        <w:t xml:space="preserve"> díla a předání a převzetí díla</w:t>
      </w:r>
    </w:p>
    <w:p w14:paraId="553F991F" w14:textId="77777777" w:rsidR="00C918FA" w:rsidRPr="006D1683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14:paraId="03E21B4C" w14:textId="77777777" w:rsidR="00C918FA" w:rsidRPr="007767E0" w:rsidRDefault="00C918FA" w:rsidP="00C918FA">
      <w:pPr>
        <w:pStyle w:val="Nzev"/>
        <w:numPr>
          <w:ilvl w:val="2"/>
          <w:numId w:val="3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>
        <w:rPr>
          <w:sz w:val="22"/>
          <w:szCs w:val="22"/>
          <w:u w:val="none"/>
          <w:lang w:val="cs-CZ"/>
        </w:rPr>
        <w:t>bez zbytečného odkladu po nabytí účinnosti Smlouvy</w:t>
      </w:r>
      <w:r w:rsidRPr="007767E0">
        <w:rPr>
          <w:sz w:val="22"/>
          <w:szCs w:val="22"/>
          <w:u w:val="none"/>
          <w:lang w:val="cs-CZ"/>
        </w:rPr>
        <w:t>;</w:t>
      </w:r>
    </w:p>
    <w:p w14:paraId="143DEEB4" w14:textId="77777777" w:rsidR="00C918FA" w:rsidRPr="007767E0" w:rsidRDefault="00C918FA" w:rsidP="00C918FA">
      <w:pPr>
        <w:pStyle w:val="Nzev"/>
        <w:numPr>
          <w:ilvl w:val="2"/>
          <w:numId w:val="3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7767E0">
        <w:rPr>
          <w:b/>
          <w:sz w:val="22"/>
          <w:szCs w:val="22"/>
          <w:u w:val="none"/>
          <w:lang w:val="cs-CZ"/>
        </w:rPr>
        <w:t xml:space="preserve">Doba pro dokončení Díla: </w:t>
      </w:r>
      <w:r w:rsidRPr="000D1295">
        <w:rPr>
          <w:b/>
          <w:sz w:val="22"/>
          <w:szCs w:val="22"/>
          <w:u w:val="none"/>
          <w:lang w:val="cs-CZ"/>
        </w:rPr>
        <w:t xml:space="preserve">do </w:t>
      </w:r>
      <w:r>
        <w:rPr>
          <w:b/>
          <w:sz w:val="22"/>
          <w:szCs w:val="22"/>
          <w:u w:val="none"/>
          <w:lang w:val="cs-CZ"/>
        </w:rPr>
        <w:t>30. prosince 2024</w:t>
      </w:r>
    </w:p>
    <w:p w14:paraId="26FB3CCB" w14:textId="77777777" w:rsidR="00C918FA" w:rsidRPr="008E077E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14:paraId="0F580394" w14:textId="77777777" w:rsidR="00C918FA" w:rsidRDefault="00C918FA" w:rsidP="00C918FA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>
        <w:rPr>
          <w:sz w:val="22"/>
          <w:szCs w:val="22"/>
          <w:u w:val="none"/>
        </w:rPr>
        <w:t>v souladu se Smlouvou,</w:t>
      </w:r>
    </w:p>
    <w:p w14:paraId="3E8DF159" w14:textId="77777777" w:rsidR="00C918FA" w:rsidRDefault="00C918FA" w:rsidP="00C918FA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6670C017" w14:textId="77777777" w:rsidR="00C918FA" w:rsidRPr="00160149" w:rsidRDefault="00C918FA" w:rsidP="00C918FA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B0E21">
        <w:rPr>
          <w:sz w:val="22"/>
          <w:szCs w:val="22"/>
          <w:u w:val="none"/>
        </w:rPr>
        <w:t xml:space="preserve">Zhotovitel vypracoval a předal </w:t>
      </w:r>
      <w:r w:rsidRPr="00E7276F">
        <w:rPr>
          <w:sz w:val="22"/>
          <w:szCs w:val="22"/>
          <w:u w:val="none"/>
        </w:rPr>
        <w:t>O</w:t>
      </w:r>
      <w:r w:rsidRPr="003B0E21">
        <w:rPr>
          <w:sz w:val="22"/>
          <w:szCs w:val="22"/>
          <w:u w:val="none"/>
        </w:rPr>
        <w:t>bjednatel</w:t>
      </w:r>
      <w:r w:rsidRPr="00E7276F">
        <w:rPr>
          <w:sz w:val="22"/>
          <w:szCs w:val="22"/>
          <w:u w:val="none"/>
        </w:rPr>
        <w:t>i</w:t>
      </w:r>
      <w:r w:rsidRPr="003B0E21">
        <w:rPr>
          <w:sz w:val="22"/>
          <w:szCs w:val="22"/>
          <w:u w:val="none"/>
        </w:rPr>
        <w:t xml:space="preserve"> dokumentaci</w:t>
      </w:r>
      <w:r>
        <w:rPr>
          <w:sz w:val="22"/>
          <w:szCs w:val="22"/>
          <w:u w:val="none"/>
          <w:lang w:val="cs-CZ"/>
        </w:rPr>
        <w:t xml:space="preserve"> nezbytnou k užívání Díla</w:t>
      </w:r>
    </w:p>
    <w:p w14:paraId="0E862D9E" w14:textId="77777777" w:rsidR="00C918FA" w:rsidRPr="005653DC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14:paraId="4C90B228" w14:textId="77777777" w:rsidR="00C918FA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14:paraId="660F855E" w14:textId="77777777" w:rsidR="00C918FA" w:rsidRDefault="00C918FA" w:rsidP="00C918FA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14:paraId="7C7C4302" w14:textId="77777777" w:rsidR="00C918FA" w:rsidRPr="00C45AAE" w:rsidRDefault="00C918FA" w:rsidP="00C918FA">
      <w:pPr>
        <w:pStyle w:val="Nzev"/>
        <w:keepNext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14:paraId="46239817" w14:textId="12949446" w:rsidR="00C918FA" w:rsidRPr="0020035D" w:rsidRDefault="00C918FA" w:rsidP="00C918FA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cena je stanovena na základě ocenění jednotlivých prací a služeb Díla </w:t>
      </w:r>
      <w:r w:rsidRPr="0001150D">
        <w:rPr>
          <w:sz w:val="22"/>
          <w:szCs w:val="22"/>
          <w:u w:val="none"/>
        </w:rPr>
        <w:t xml:space="preserve">uvedených Zhotovitelem v Příloze: </w:t>
      </w:r>
      <w:r w:rsidR="001D6EDC" w:rsidRPr="001D6EDC">
        <w:rPr>
          <w:sz w:val="22"/>
          <w:szCs w:val="22"/>
          <w:u w:val="none"/>
        </w:rPr>
        <w:t>Nabídka – roletky</w:t>
      </w:r>
      <w:r w:rsidRPr="0001150D">
        <w:rPr>
          <w:sz w:val="22"/>
          <w:szCs w:val="22"/>
          <w:u w:val="none"/>
        </w:rPr>
        <w:t>:</w:t>
      </w:r>
    </w:p>
    <w:p w14:paraId="5E8E87A4" w14:textId="69E9A86B" w:rsidR="00C918FA" w:rsidRPr="00E76DF6" w:rsidRDefault="00C918FA" w:rsidP="00C918FA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v celkové </w:t>
      </w:r>
      <w:r w:rsidRPr="00E76DF6">
        <w:rPr>
          <w:sz w:val="22"/>
          <w:szCs w:val="22"/>
          <w:u w:val="none"/>
        </w:rPr>
        <w:t xml:space="preserve">výši </w:t>
      </w:r>
      <w:r w:rsidR="00CC3F17" w:rsidRPr="00CC3F17">
        <w:rPr>
          <w:sz w:val="22"/>
          <w:szCs w:val="22"/>
          <w:u w:val="none"/>
          <w:lang w:val="cs-CZ"/>
        </w:rPr>
        <w:t>81 290.08</w:t>
      </w:r>
      <w:r w:rsidR="00CC3F17">
        <w:rPr>
          <w:sz w:val="22"/>
          <w:szCs w:val="22"/>
          <w:u w:val="none"/>
          <w:lang w:val="cs-CZ"/>
        </w:rPr>
        <w:t xml:space="preserve"> </w:t>
      </w:r>
      <w:r w:rsidRPr="00E76DF6">
        <w:rPr>
          <w:sz w:val="22"/>
          <w:szCs w:val="22"/>
          <w:u w:val="none"/>
        </w:rPr>
        <w:t xml:space="preserve">Kč („Smluvní cena“); </w:t>
      </w:r>
      <w:r w:rsidRPr="00E76DF6">
        <w:rPr>
          <w:sz w:val="22"/>
          <w:szCs w:val="22"/>
          <w:u w:val="none"/>
          <w:lang w:val="cs-CZ"/>
        </w:rPr>
        <w:t>S</w:t>
      </w:r>
      <w:r w:rsidRPr="00E76DF6">
        <w:rPr>
          <w:sz w:val="22"/>
          <w:szCs w:val="22"/>
          <w:u w:val="none"/>
        </w:rPr>
        <w:t>mluvní cena nezahrnuje daň z přidané hodnoty (dále jen „DPH“)</w:t>
      </w:r>
    </w:p>
    <w:p w14:paraId="1CF67DE4" w14:textId="1EC975DD" w:rsidR="00C918FA" w:rsidRPr="00E76DF6" w:rsidRDefault="00C918FA" w:rsidP="00C918FA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E76DF6">
        <w:rPr>
          <w:sz w:val="22"/>
          <w:szCs w:val="22"/>
          <w:u w:val="none"/>
        </w:rPr>
        <w:t xml:space="preserve">sazba DPH ve výši 21 % ve výši </w:t>
      </w:r>
      <w:r w:rsidR="00CC3F17" w:rsidRPr="00CC3F17">
        <w:rPr>
          <w:sz w:val="22"/>
          <w:szCs w:val="22"/>
          <w:u w:val="none"/>
          <w:lang w:val="cs-CZ"/>
        </w:rPr>
        <w:t>17 070.92</w:t>
      </w:r>
      <w:r w:rsidRPr="00E76DF6">
        <w:rPr>
          <w:sz w:val="22"/>
          <w:szCs w:val="22"/>
          <w:u w:val="none"/>
        </w:rPr>
        <w:t xml:space="preserve"> Kč</w:t>
      </w:r>
    </w:p>
    <w:p w14:paraId="3748491A" w14:textId="5D4B6F21" w:rsidR="00C918FA" w:rsidRPr="00E76DF6" w:rsidRDefault="00C918FA" w:rsidP="00C918FA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E76DF6">
        <w:rPr>
          <w:sz w:val="22"/>
          <w:szCs w:val="22"/>
          <w:u w:val="none"/>
        </w:rPr>
        <w:t xml:space="preserve">v celkové výši </w:t>
      </w:r>
      <w:r w:rsidR="00CC3F17" w:rsidRPr="00CC3F17">
        <w:rPr>
          <w:b/>
          <w:sz w:val="24"/>
          <w:szCs w:val="22"/>
          <w:u w:val="none"/>
          <w:lang w:val="cs-CZ"/>
        </w:rPr>
        <w:t>98</w:t>
      </w:r>
      <w:r w:rsidR="00CC3F17">
        <w:rPr>
          <w:b/>
          <w:sz w:val="24"/>
          <w:szCs w:val="22"/>
          <w:u w:val="none"/>
          <w:lang w:val="cs-CZ"/>
        </w:rPr>
        <w:t xml:space="preserve"> </w:t>
      </w:r>
      <w:r w:rsidR="00CC3F17" w:rsidRPr="00CC3F17">
        <w:rPr>
          <w:b/>
          <w:sz w:val="24"/>
          <w:szCs w:val="22"/>
          <w:u w:val="none"/>
          <w:lang w:val="cs-CZ"/>
        </w:rPr>
        <w:t>361</w:t>
      </w:r>
      <w:r w:rsidRPr="00E76DF6">
        <w:rPr>
          <w:sz w:val="24"/>
          <w:szCs w:val="22"/>
          <w:u w:val="none"/>
        </w:rPr>
        <w:t>Kč</w:t>
      </w:r>
      <w:r w:rsidRPr="00E76DF6">
        <w:rPr>
          <w:sz w:val="24"/>
          <w:szCs w:val="22"/>
          <w:u w:val="none"/>
          <w:lang w:val="cs-CZ"/>
        </w:rPr>
        <w:t xml:space="preserve"> vč. DPH</w:t>
      </w:r>
    </w:p>
    <w:p w14:paraId="6B2949E7" w14:textId="77777777" w:rsidR="00C918FA" w:rsidRPr="0020035D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2A050C7E" w14:textId="77777777" w:rsidR="00C918FA" w:rsidRPr="00160149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lastRenderedPageBreak/>
        <w:t>Smluvní c</w:t>
      </w:r>
      <w:proofErr w:type="spellStart"/>
      <w:r w:rsidRPr="0020035D">
        <w:rPr>
          <w:sz w:val="22"/>
          <w:szCs w:val="22"/>
          <w:u w:val="none"/>
        </w:rPr>
        <w:t>en</w:t>
      </w:r>
      <w:r>
        <w:rPr>
          <w:sz w:val="22"/>
          <w:szCs w:val="22"/>
          <w:u w:val="none"/>
          <w:lang w:val="cs-CZ"/>
        </w:rPr>
        <w:t>a</w:t>
      </w:r>
      <w:proofErr w:type="spellEnd"/>
      <w:r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>
        <w:rPr>
          <w:sz w:val="22"/>
          <w:szCs w:val="22"/>
          <w:u w:val="none"/>
          <w:lang w:val="cs-CZ"/>
        </w:rPr>
        <w:t xml:space="preserve">nákladů na dopravu, </w:t>
      </w:r>
      <w:r w:rsidRPr="0020035D">
        <w:rPr>
          <w:sz w:val="22"/>
          <w:szCs w:val="22"/>
          <w:u w:val="none"/>
        </w:rPr>
        <w:t>zisku,</w:t>
      </w:r>
      <w:r w:rsidRPr="00160149">
        <w:rPr>
          <w:sz w:val="22"/>
          <w:szCs w:val="22"/>
          <w:u w:val="none"/>
        </w:rPr>
        <w:t xml:space="preserve"> a ostatní náklady související s plněním podmínek dle této Smlouvy.</w:t>
      </w:r>
    </w:p>
    <w:p w14:paraId="1EBD1511" w14:textId="77777777" w:rsidR="00C918FA" w:rsidRPr="0020035D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56DDF81A" w14:textId="77777777" w:rsidR="00C918FA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po předání a převzetí </w:t>
      </w:r>
      <w:r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14:paraId="1C83EFDD" w14:textId="77777777" w:rsidR="00C918FA" w:rsidRPr="0020035D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0C95B2C7" w14:textId="77777777" w:rsidR="00C918FA" w:rsidRPr="0020035D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t xml:space="preserve">Fakturu (daňový doklad) k platbě lze vystavit až po vydání </w:t>
      </w:r>
      <w:r>
        <w:rPr>
          <w:sz w:val="22"/>
          <w:szCs w:val="22"/>
          <w:u w:val="none"/>
          <w:lang w:val="cs-CZ"/>
        </w:rPr>
        <w:t xml:space="preserve">předávacího protokolu </w:t>
      </w:r>
      <w:r>
        <w:rPr>
          <w:sz w:val="22"/>
          <w:szCs w:val="22"/>
          <w:u w:val="none"/>
        </w:rPr>
        <w:t xml:space="preserve">se splatností </w:t>
      </w:r>
      <w:r>
        <w:rPr>
          <w:sz w:val="22"/>
          <w:szCs w:val="22"/>
          <w:u w:val="none"/>
          <w:lang w:val="cs-CZ"/>
        </w:rPr>
        <w:t>21 dnů</w:t>
      </w:r>
      <w:r w:rsidRPr="0027376A">
        <w:rPr>
          <w:sz w:val="22"/>
          <w:szCs w:val="22"/>
          <w:u w:val="none"/>
        </w:rPr>
        <w:t xml:space="preserve"> od data vystavení</w:t>
      </w:r>
      <w:r w:rsidRPr="0020035D">
        <w:rPr>
          <w:sz w:val="22"/>
          <w:szCs w:val="22"/>
          <w:u w:val="none"/>
        </w:rPr>
        <w:t xml:space="preserve">. </w:t>
      </w:r>
    </w:p>
    <w:p w14:paraId="65F82653" w14:textId="77777777" w:rsidR="00C918FA" w:rsidRPr="0020035D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bookmarkStart w:id="4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7BE33A88" w14:textId="77777777" w:rsidR="00C918FA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Na každé faktuře – daňovém dokladu musí být uvedeno číslo smlouvy Objednatele a název Díla.</w:t>
      </w:r>
      <w:bookmarkStart w:id="5" w:name="_Ref29210228"/>
    </w:p>
    <w:p w14:paraId="57496153" w14:textId="77777777" w:rsidR="00C918FA" w:rsidRPr="00800EAC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800EAC">
        <w:rPr>
          <w:sz w:val="22"/>
          <w:szCs w:val="22"/>
          <w:u w:val="none"/>
        </w:rPr>
        <w:t xml:space="preserve"> doručí fakturu v listinné podobě na adresu sídla </w:t>
      </w:r>
      <w:r w:rsidRPr="00160149">
        <w:rPr>
          <w:sz w:val="22"/>
          <w:szCs w:val="22"/>
          <w:u w:val="none"/>
          <w:lang w:val="cs-CZ"/>
        </w:rPr>
        <w:t xml:space="preserve">Objednatele/na doručovací adresu Objednatele anebo v elektronické podobě na e-mailovou adresu: </w:t>
      </w:r>
      <w:r w:rsidRPr="00713E13">
        <w:rPr>
          <w:color w:val="FF0000"/>
          <w:sz w:val="22"/>
          <w:szCs w:val="22"/>
          <w:u w:val="none"/>
          <w:lang w:val="cs-CZ"/>
        </w:rPr>
        <w:t>epodatelna@npu.cz.</w:t>
      </w:r>
    </w:p>
    <w:p w14:paraId="352798FA" w14:textId="77777777" w:rsidR="00C918FA" w:rsidRPr="00800EAC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14:paraId="4B2470E8" w14:textId="77777777" w:rsidR="00C918FA" w:rsidRPr="0020035D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500C5610" w14:textId="77777777" w:rsidR="00C918FA" w:rsidRPr="00305F40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 xml:space="preserve"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5"/>
    </w:p>
    <w:p w14:paraId="044E7F3B" w14:textId="77777777" w:rsidR="00C918FA" w:rsidRPr="000F1411" w:rsidRDefault="00C918FA" w:rsidP="00C918FA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14:paraId="52739EA0" w14:textId="77777777" w:rsidR="00C918FA" w:rsidRDefault="00C918FA" w:rsidP="00C918FA">
      <w:pPr>
        <w:pStyle w:val="Nzev"/>
        <w:keepNext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14:paraId="38992FB3" w14:textId="77777777" w:rsidR="00C918FA" w:rsidRPr="00262A63" w:rsidRDefault="00C918FA" w:rsidP="00C918FA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 xml:space="preserve">, a to v době uvedené v tomto potvrzení (není-li uvedeno, pak v době </w:t>
      </w:r>
      <w:r w:rsidRPr="00BA76B9">
        <w:rPr>
          <w:sz w:val="22"/>
          <w:szCs w:val="22"/>
          <w:highlight w:val="lightGray"/>
          <w:u w:val="none"/>
          <w:lang w:val="cs-CZ"/>
        </w:rPr>
        <w:t>5</w:t>
      </w:r>
      <w:r w:rsidRPr="00262A63">
        <w:rPr>
          <w:sz w:val="22"/>
          <w:szCs w:val="22"/>
          <w:u w:val="none"/>
        </w:rPr>
        <w:t xml:space="preserve"> pracovních dnů).</w:t>
      </w:r>
    </w:p>
    <w:p w14:paraId="67C7BC1E" w14:textId="77777777" w:rsidR="00C918FA" w:rsidRPr="00262A63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7488BFC9" w14:textId="77777777" w:rsidR="00C918FA" w:rsidRPr="007B5366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7B5366">
        <w:rPr>
          <w:sz w:val="22"/>
          <w:szCs w:val="22"/>
          <w:u w:val="none"/>
        </w:rPr>
        <w:t>Dílo a výstupy Zhotovitele musí být ve stavu požadovaném Smlouvou do data uplynutí příslušné záruční doby. Záruční doba činí</w:t>
      </w:r>
      <w:r>
        <w:rPr>
          <w:sz w:val="22"/>
          <w:szCs w:val="22"/>
          <w:u w:val="none"/>
          <w:lang w:val="cs-CZ"/>
        </w:rPr>
        <w:t xml:space="preserve"> 12 měsíců</w:t>
      </w:r>
      <w:r w:rsidRPr="007B5366">
        <w:rPr>
          <w:sz w:val="22"/>
          <w:szCs w:val="22"/>
          <w:u w:val="none"/>
        </w:rPr>
        <w:t>. Počátek běhu záruční doby se počítá ode dne dokončení Díla jako celku uvedeného v</w:t>
      </w:r>
      <w:r w:rsidRPr="007B5366">
        <w:rPr>
          <w:sz w:val="22"/>
          <w:szCs w:val="22"/>
          <w:u w:val="none"/>
          <w:lang w:val="cs-CZ"/>
        </w:rPr>
        <w:t xml:space="preserve"> předávacím protokolu. </w:t>
      </w:r>
      <w:r w:rsidRPr="007B5366">
        <w:rPr>
          <w:sz w:val="22"/>
          <w:szCs w:val="22"/>
          <w:u w:val="none"/>
        </w:rPr>
        <w:t xml:space="preserve"> </w:t>
      </w:r>
    </w:p>
    <w:p w14:paraId="3D3269A5" w14:textId="77777777" w:rsidR="00C918FA" w:rsidRPr="00D64775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D64775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>
        <w:rPr>
          <w:sz w:val="22"/>
          <w:szCs w:val="22"/>
          <w:u w:val="none"/>
          <w:lang w:val="cs-CZ"/>
        </w:rPr>
        <w:t> </w:t>
      </w:r>
      <w:r w:rsidRPr="00D64775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>
        <w:rPr>
          <w:sz w:val="22"/>
          <w:szCs w:val="22"/>
          <w:u w:val="none"/>
          <w:lang w:val="cs-CZ"/>
        </w:rPr>
        <w:t xml:space="preserve">10 </w:t>
      </w:r>
      <w:r w:rsidRPr="00D64775">
        <w:rPr>
          <w:sz w:val="22"/>
          <w:szCs w:val="22"/>
          <w:u w:val="none"/>
        </w:rPr>
        <w:t xml:space="preserve">kalendářních dnů, nedohodnou-li se smluvní strany jinak. </w:t>
      </w:r>
    </w:p>
    <w:p w14:paraId="520BC0DF" w14:textId="77777777" w:rsidR="00C918FA" w:rsidRPr="00262A63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lastRenderedPageBreak/>
        <w:t>V případě, že Zhotovitel neodstraní vady ve stanovené nebo sjednané době podle předchozích odstavců, může Objednatel:</w:t>
      </w:r>
    </w:p>
    <w:p w14:paraId="27F3145D" w14:textId="77777777" w:rsidR="00C918FA" w:rsidRPr="00262A63" w:rsidRDefault="00C918FA" w:rsidP="00C918FA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 xml:space="preserve">požadovat zaplacení smluvní pokuty ve výši </w:t>
      </w:r>
      <w:proofErr w:type="gramStart"/>
      <w:r>
        <w:rPr>
          <w:rFonts w:ascii="Calibri" w:hAnsi="Calibri" w:cs="Calibri"/>
          <w:b w:val="0"/>
          <w:sz w:val="22"/>
          <w:szCs w:val="22"/>
        </w:rPr>
        <w:t>500 ,</w:t>
      </w:r>
      <w:proofErr w:type="gramEnd"/>
      <w:r>
        <w:rPr>
          <w:rFonts w:ascii="Calibri" w:hAnsi="Calibri" w:cs="Calibri"/>
          <w:b w:val="0"/>
          <w:sz w:val="22"/>
          <w:szCs w:val="22"/>
        </w:rPr>
        <w:t xml:space="preserve">- Kč </w:t>
      </w:r>
      <w:r w:rsidRPr="00262A63">
        <w:rPr>
          <w:rFonts w:ascii="Calibri" w:hAnsi="Calibri" w:cs="Calibri"/>
          <w:b w:val="0"/>
          <w:sz w:val="22"/>
          <w:szCs w:val="22"/>
        </w:rPr>
        <w:t xml:space="preserve">za každou jednotlivou vadu nebo nedodělek a každý den trvání prodlení nebo </w:t>
      </w:r>
    </w:p>
    <w:p w14:paraId="3360F619" w14:textId="77777777" w:rsidR="00C918FA" w:rsidRPr="00262A63" w:rsidRDefault="00C918FA" w:rsidP="00C918FA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29CDED68" w14:textId="77777777" w:rsidR="00C918FA" w:rsidRPr="00262A63" w:rsidRDefault="00C918FA" w:rsidP="00C918FA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5C197DD4" w14:textId="77777777" w:rsidR="00C918FA" w:rsidRPr="00262A63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58FD200E" w14:textId="77777777" w:rsidR="00C918FA" w:rsidRPr="00305F40" w:rsidRDefault="00C918FA" w:rsidP="00C918FA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01C3A476" w14:textId="77777777" w:rsidR="00C918FA" w:rsidRPr="009519D4" w:rsidRDefault="00C918FA" w:rsidP="00C918FA">
      <w:pPr>
        <w:pStyle w:val="Nzev"/>
        <w:keepNext/>
        <w:numPr>
          <w:ilvl w:val="0"/>
          <w:numId w:val="3"/>
        </w:numPr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6"/>
      <w:bookmarkEnd w:id="7"/>
    </w:p>
    <w:p w14:paraId="49890182" w14:textId="77777777" w:rsidR="00C918FA" w:rsidRDefault="00C918FA" w:rsidP="00C918FA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280BAC60" w14:textId="77777777" w:rsidR="00C918FA" w:rsidRDefault="00C918FA" w:rsidP="00C918FA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 w:rsidRPr="00E7166A">
        <w:rPr>
          <w:sz w:val="22"/>
          <w:szCs w:val="22"/>
          <w:u w:val="none"/>
        </w:rPr>
        <w:t xml:space="preserve">nesplnění doby pro dokončení Díla má Objednatel právo na zaplacení smluvní pokuty ve výši </w:t>
      </w:r>
      <w:r w:rsidRPr="0001150D">
        <w:rPr>
          <w:sz w:val="22"/>
          <w:szCs w:val="22"/>
          <w:u w:val="none"/>
        </w:rPr>
        <w:t>0,3 % z ceny za Dílo (bez DPH, resp. z ceny konečné v případě neplátce DPH),</w:t>
      </w:r>
      <w:r w:rsidRPr="00E7166A">
        <w:rPr>
          <w:sz w:val="22"/>
          <w:szCs w:val="22"/>
          <w:u w:val="none"/>
        </w:rPr>
        <w:t xml:space="preserve"> s níž je v prodlení, </w:t>
      </w:r>
      <w:r w:rsidRPr="00E7166A">
        <w:rPr>
          <w:sz w:val="22"/>
          <w:szCs w:val="22"/>
          <w:u w:val="none"/>
          <w:lang w:val="cs-CZ"/>
        </w:rPr>
        <w:t xml:space="preserve">a to </w:t>
      </w:r>
      <w:r w:rsidRPr="00E7166A">
        <w:rPr>
          <w:sz w:val="22"/>
          <w:szCs w:val="22"/>
          <w:u w:val="none"/>
        </w:rPr>
        <w:t>za každý byť započatý den prodlení</w:t>
      </w:r>
      <w:r w:rsidRPr="009519D4">
        <w:rPr>
          <w:sz w:val="22"/>
          <w:szCs w:val="22"/>
          <w:u w:val="none"/>
        </w:rPr>
        <w:t>.</w:t>
      </w:r>
    </w:p>
    <w:p w14:paraId="62E0A8AD" w14:textId="77777777" w:rsidR="00C918FA" w:rsidRPr="009519D4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5FB3F1D4" w14:textId="77777777" w:rsidR="00C918FA" w:rsidRPr="009519D4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15512AF5" w14:textId="77777777" w:rsidR="00C918FA" w:rsidRPr="009519D4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65E9C3C8" w14:textId="77777777" w:rsidR="00C918FA" w:rsidRPr="00774F73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>tel je oprávněn provést zápočet svého i nesplatného nároku na zaplacení smluvní pokuty proti nároku Zhotovitele na zaplacení Smluvní ceny Díla nebo jeho části.</w:t>
      </w:r>
    </w:p>
    <w:bookmarkEnd w:id="8"/>
    <w:bookmarkEnd w:id="9"/>
    <w:p w14:paraId="5408B422" w14:textId="77777777" w:rsidR="00C918FA" w:rsidRPr="00305F40" w:rsidRDefault="00C918FA" w:rsidP="00C918FA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6CF36C71" w14:textId="77777777" w:rsidR="00C918FA" w:rsidRPr="0001214E" w:rsidRDefault="00C918FA" w:rsidP="00C918FA">
      <w:pPr>
        <w:pStyle w:val="Nzev"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14:paraId="51942110" w14:textId="77777777" w:rsidR="00C918FA" w:rsidRPr="00327F06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porušení Smlouvy, zejména: </w:t>
      </w:r>
    </w:p>
    <w:p w14:paraId="3AC53FF3" w14:textId="77777777" w:rsidR="00C918FA" w:rsidRPr="00305F40" w:rsidRDefault="00C918FA" w:rsidP="00C918FA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bude-li Zhotovitel v prodlení oproti termínu dokončení Díla po dobu delší než </w:t>
      </w:r>
      <w:r w:rsidRPr="0001150D">
        <w:rPr>
          <w:rFonts w:ascii="Calibri" w:hAnsi="Calibri" w:cs="Calibri"/>
          <w:b w:val="0"/>
          <w:sz w:val="22"/>
          <w:szCs w:val="22"/>
        </w:rPr>
        <w:t xml:space="preserve">10 kalendářních 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dnů; </w:t>
      </w:r>
    </w:p>
    <w:p w14:paraId="3C331EA6" w14:textId="77777777" w:rsidR="00C918FA" w:rsidRPr="00305F40" w:rsidRDefault="00C918FA" w:rsidP="00C918FA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pokud Zhotovitel bude p</w:t>
      </w:r>
      <w:r w:rsidRPr="00305F40">
        <w:rPr>
          <w:rFonts w:ascii="Calibri" w:hAnsi="Calibri" w:cs="Calibri"/>
          <w:b w:val="0"/>
          <w:sz w:val="22"/>
          <w:szCs w:val="22"/>
        </w:rPr>
        <w:t>rovádě</w:t>
      </w:r>
      <w:r>
        <w:rPr>
          <w:rFonts w:ascii="Calibri" w:hAnsi="Calibri" w:cs="Calibri"/>
          <w:b w:val="0"/>
          <w:sz w:val="22"/>
          <w:szCs w:val="22"/>
        </w:rPr>
        <w:t>t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</w:t>
      </w:r>
      <w:r w:rsidRPr="00305F40">
        <w:rPr>
          <w:rFonts w:ascii="Calibri" w:hAnsi="Calibri" w:cs="Calibri"/>
          <w:b w:val="0"/>
          <w:sz w:val="22"/>
          <w:szCs w:val="22"/>
        </w:rPr>
        <w:t>íl</w:t>
      </w:r>
      <w:r>
        <w:rPr>
          <w:rFonts w:ascii="Calibri" w:hAnsi="Calibri" w:cs="Calibri"/>
          <w:b w:val="0"/>
          <w:sz w:val="22"/>
          <w:szCs w:val="22"/>
        </w:rPr>
        <w:t>o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 rozporu s</w:t>
      </w:r>
      <w:r>
        <w:rPr>
          <w:rFonts w:ascii="Calibri" w:hAnsi="Calibri" w:cs="Calibri"/>
          <w:b w:val="0"/>
          <w:sz w:val="22"/>
          <w:szCs w:val="22"/>
        </w:rPr>
        <w:t>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</w:t>
      </w:r>
      <w:r w:rsidRPr="00305F40">
        <w:rPr>
          <w:rFonts w:ascii="Calibri" w:hAnsi="Calibri" w:cs="Calibri"/>
          <w:b w:val="0"/>
          <w:sz w:val="22"/>
          <w:szCs w:val="22"/>
        </w:rPr>
        <w:t>mlouvou</w:t>
      </w:r>
      <w:r>
        <w:rPr>
          <w:rFonts w:ascii="Calibri" w:hAnsi="Calibri" w:cs="Calibri"/>
          <w:b w:val="0"/>
          <w:sz w:val="22"/>
          <w:szCs w:val="22"/>
        </w:rPr>
        <w:t>, právními předpisy, technickými normami nebo v rozporu s pokyny Objednatele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a nezjedná nápravu v přiměřené lhůtě (</w:t>
      </w:r>
      <w:r>
        <w:rPr>
          <w:rFonts w:ascii="Calibri" w:hAnsi="Calibri" w:cs="Calibri"/>
          <w:b w:val="0"/>
          <w:sz w:val="22"/>
          <w:szCs w:val="22"/>
        </w:rPr>
        <w:t>za přiměřenou se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považuje </w:t>
      </w:r>
      <w:r>
        <w:rPr>
          <w:rFonts w:ascii="Calibri" w:hAnsi="Calibri" w:cs="Calibri"/>
          <w:b w:val="0"/>
          <w:sz w:val="22"/>
          <w:szCs w:val="22"/>
        </w:rPr>
        <w:t>lhůta 5 pracovních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dnů), ačkoliv byl </w:t>
      </w:r>
      <w:r>
        <w:rPr>
          <w:rFonts w:ascii="Calibri" w:hAnsi="Calibri" w:cs="Calibri"/>
          <w:b w:val="0"/>
          <w:sz w:val="22"/>
          <w:szCs w:val="22"/>
        </w:rPr>
        <w:t>Z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hotovitel na toto své chování nebo porušování povinností </w:t>
      </w:r>
      <w:r>
        <w:rPr>
          <w:rFonts w:ascii="Calibri" w:hAnsi="Calibri" w:cs="Calibri"/>
          <w:b w:val="0"/>
          <w:sz w:val="22"/>
          <w:szCs w:val="22"/>
        </w:rPr>
        <w:t>Objednatelem písemně upozorněn.</w:t>
      </w:r>
    </w:p>
    <w:p w14:paraId="102BAA30" w14:textId="77777777" w:rsidR="00C918FA" w:rsidRPr="00327F06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762CABC8" w14:textId="77777777" w:rsidR="00C918FA" w:rsidRPr="005A7DE0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14:paraId="2AC70846" w14:textId="77777777" w:rsidR="00C918FA" w:rsidRPr="00305F40" w:rsidRDefault="00C918FA" w:rsidP="00C918FA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14:paraId="30953F92" w14:textId="77777777" w:rsidR="00C918FA" w:rsidRPr="00305F40" w:rsidRDefault="00C918FA" w:rsidP="00C918FA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14:paraId="68B48B38" w14:textId="77777777" w:rsidR="00C918FA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lastRenderedPageBreak/>
        <w:t xml:space="preserve">Odstoupení musí mít písemnou formu s tím, že je účinné dnem jeho doručení druhé smluvní straně. </w:t>
      </w:r>
    </w:p>
    <w:p w14:paraId="714DD29C" w14:textId="77777777" w:rsidR="00C918FA" w:rsidRPr="00305F40" w:rsidRDefault="00C918FA" w:rsidP="00C918FA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5195A0C2" w14:textId="77777777" w:rsidR="00C918FA" w:rsidRPr="00C52023" w:rsidRDefault="00C918FA" w:rsidP="00C918FA">
      <w:pPr>
        <w:pStyle w:val="Nzev"/>
        <w:numPr>
          <w:ilvl w:val="0"/>
          <w:numId w:val="3"/>
        </w:numPr>
        <w:rPr>
          <w:b/>
          <w:sz w:val="22"/>
          <w:szCs w:val="22"/>
          <w:u w:val="none"/>
        </w:rPr>
      </w:pPr>
      <w:bookmarkStart w:id="10" w:name="bookmark26"/>
      <w:bookmarkStart w:id="11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10"/>
      <w:bookmarkEnd w:id="11"/>
    </w:p>
    <w:p w14:paraId="74451681" w14:textId="77777777" w:rsidR="00C918FA" w:rsidRPr="00036F2B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mlouvou</w:t>
      </w:r>
      <w:proofErr w:type="spellEnd"/>
      <w:r w:rsidRPr="00036F2B"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14:paraId="197D3F83" w14:textId="77777777" w:rsidR="00C918FA" w:rsidRPr="00036F2B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mlouvy</w:t>
      </w:r>
      <w:proofErr w:type="spellEnd"/>
      <w:r w:rsidRPr="00036F2B">
        <w:rPr>
          <w:sz w:val="22"/>
          <w:szCs w:val="22"/>
          <w:u w:val="none"/>
        </w:rPr>
        <w:t xml:space="preserve">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 včetně </w:t>
      </w:r>
      <w:r>
        <w:rPr>
          <w:sz w:val="22"/>
          <w:szCs w:val="22"/>
          <w:u w:val="none"/>
          <w:lang w:val="cs-CZ"/>
        </w:rPr>
        <w:t>Smluvní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14:paraId="74FA46C0" w14:textId="77777777" w:rsidR="00C918FA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40791C80" w14:textId="77777777" w:rsidR="00C918FA" w:rsidRPr="00036F2B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Zhotovitel je podle </w:t>
      </w:r>
      <w:proofErr w:type="spellStart"/>
      <w:r w:rsidRPr="00327F06">
        <w:rPr>
          <w:sz w:val="22"/>
          <w:szCs w:val="22"/>
          <w:u w:val="none"/>
        </w:rPr>
        <w:t>ust</w:t>
      </w:r>
      <w:proofErr w:type="spellEnd"/>
      <w:r w:rsidRPr="00327F06"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>
        <w:rPr>
          <w:sz w:val="22"/>
          <w:szCs w:val="22"/>
          <w:u w:val="none"/>
          <w:lang w:val="cs-CZ"/>
        </w:rPr>
        <w:t>.</w:t>
      </w:r>
    </w:p>
    <w:p w14:paraId="014731F2" w14:textId="77777777" w:rsidR="00C918FA" w:rsidRPr="0001150D" w:rsidRDefault="00C918FA" w:rsidP="00C918FA">
      <w:pPr>
        <w:pStyle w:val="Nzev"/>
        <w:numPr>
          <w:ilvl w:val="1"/>
          <w:numId w:val="3"/>
        </w:numPr>
        <w:ind w:left="567" w:hanging="573"/>
        <w:jc w:val="both"/>
        <w:rPr>
          <w:sz w:val="22"/>
          <w:szCs w:val="22"/>
          <w:u w:val="none"/>
        </w:rPr>
      </w:pPr>
      <w:r w:rsidRPr="0001150D">
        <w:rPr>
          <w:sz w:val="22"/>
          <w:szCs w:val="22"/>
          <w:u w:val="none"/>
        </w:rPr>
        <w:t>Smluvní strany berou na vědomí, že tato Smlouva podléhá uveřejnění dle zákona č. 340/2015 Sb., o zvláštních podmínkách účinnosti některých smluv, uveřejňování těchto smluv a o registru smluv (zákon o registru smluv). Uveřejnění zajistí Objednatel.</w:t>
      </w:r>
    </w:p>
    <w:p w14:paraId="2353C36B" w14:textId="77777777" w:rsidR="00C918FA" w:rsidRPr="0001150D" w:rsidRDefault="00C918FA" w:rsidP="00C918FA">
      <w:pPr>
        <w:pStyle w:val="Nzev"/>
        <w:numPr>
          <w:ilvl w:val="1"/>
          <w:numId w:val="3"/>
        </w:numPr>
        <w:ind w:left="567" w:hanging="573"/>
        <w:jc w:val="both"/>
        <w:rPr>
          <w:sz w:val="22"/>
          <w:szCs w:val="22"/>
          <w:u w:val="none"/>
        </w:rPr>
      </w:pPr>
      <w:r w:rsidRPr="0001150D">
        <w:rPr>
          <w:sz w:val="22"/>
          <w:szCs w:val="22"/>
          <w:u w:val="none"/>
        </w:rPr>
        <w:t>Tato Smlouva nabývá platnosti a účinnosti dnem jejího podpisu oběma Smluvními stranami. // NEBO Tato Smlouva nabývá platnosti dnem jejího podpisu oběma Smluvními stranami a účinnosti dnem uveřejnění v registru smluv podle předchozího odstavce.</w:t>
      </w:r>
    </w:p>
    <w:p w14:paraId="5F7CA3AE" w14:textId="77777777" w:rsidR="00C918FA" w:rsidRPr="00036F2B" w:rsidRDefault="00C918FA" w:rsidP="00C918FA">
      <w:pPr>
        <w:pStyle w:val="Nzev"/>
        <w:numPr>
          <w:ilvl w:val="1"/>
          <w:numId w:val="3"/>
        </w:numPr>
        <w:ind w:left="567" w:hanging="573"/>
        <w:jc w:val="both"/>
        <w:rPr>
          <w:sz w:val="22"/>
          <w:szCs w:val="22"/>
          <w:u w:val="none"/>
        </w:rPr>
      </w:pPr>
      <w:r w:rsidRPr="0001150D">
        <w:rPr>
          <w:sz w:val="22"/>
          <w:szCs w:val="22"/>
          <w:u w:val="none"/>
        </w:rPr>
        <w:t>Tato smlouva je vyhotovena ve 2 vyhotoveních v českém jazyce, přičemž každá ze Smluvních stran obdrží po jednom vyhotovení // Tato Smlouva se uzavírá elektronickou formou [Konkrétní forma uzavření bude zvolena před podpisem smlouvy].</w:t>
      </w:r>
      <w:r w:rsidRPr="00036F2B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4BA03E50" w14:textId="77777777" w:rsidR="00C918FA" w:rsidRPr="00036F2B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5D835B07" w14:textId="77777777" w:rsidR="00C918FA" w:rsidRPr="00036F2B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1347FED3" w14:textId="77777777" w:rsidR="00C918FA" w:rsidRPr="00036F2B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4C07B1FA" w14:textId="77777777" w:rsidR="00C918FA" w:rsidRPr="00036F2B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14:paraId="5E43AF0B" w14:textId="77777777" w:rsidR="00C918FA" w:rsidRPr="00327F06" w:rsidRDefault="00C918FA" w:rsidP="00C918FA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Nedílnou součástí smlouvy jsou tyto přílohy:</w:t>
      </w:r>
    </w:p>
    <w:p w14:paraId="659F1010" w14:textId="5734543A" w:rsidR="00C918FA" w:rsidRPr="00C918FA" w:rsidRDefault="00C918FA" w:rsidP="00C918FA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Theme="minorHAnsi" w:hAnsiTheme="minorHAnsi" w:cstheme="minorHAnsi"/>
        </w:rPr>
      </w:pPr>
      <w:r w:rsidRPr="0001150D">
        <w:rPr>
          <w:rFonts w:ascii="Calibri" w:hAnsi="Calibri" w:cs="Calibri"/>
        </w:rPr>
        <w:t>Příloha</w:t>
      </w:r>
      <w:r w:rsidRPr="00C918FA">
        <w:rPr>
          <w:rFonts w:asciiTheme="minorHAnsi" w:hAnsiTheme="minorHAnsi" w:cstheme="minorHAnsi"/>
        </w:rPr>
        <w:t xml:space="preserve"> č. 1: </w:t>
      </w:r>
      <w:r w:rsidR="001D6EDC" w:rsidRPr="001D6EDC">
        <w:rPr>
          <w:rFonts w:asciiTheme="minorHAnsi" w:hAnsiTheme="minorHAnsi" w:cstheme="minorHAnsi"/>
        </w:rPr>
        <w:t>Nabídka – roletky</w:t>
      </w:r>
    </w:p>
    <w:p w14:paraId="22381234" w14:textId="77777777" w:rsidR="00C918FA" w:rsidRPr="00C918FA" w:rsidRDefault="00C918FA" w:rsidP="00C918FA">
      <w:pPr>
        <w:pStyle w:val="Zkladntext"/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C918FA" w:rsidRPr="00C918FA" w14:paraId="3F0BD6AD" w14:textId="77777777" w:rsidTr="00A91DAA">
        <w:trPr>
          <w:jc w:val="center"/>
        </w:trPr>
        <w:tc>
          <w:tcPr>
            <w:tcW w:w="4606" w:type="dxa"/>
          </w:tcPr>
          <w:p w14:paraId="5C1F06F1" w14:textId="10344FF6" w:rsidR="00C918FA" w:rsidRPr="00C918FA" w:rsidRDefault="00C918FA" w:rsidP="00A91DAA">
            <w:pPr>
              <w:ind w:right="88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                     </w:t>
            </w:r>
            <w:proofErr w:type="gramStart"/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,</w:t>
            </w:r>
            <w:proofErr w:type="gramEnd"/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dne</w:t>
            </w:r>
            <w:r w:rsidR="001D6E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9. 12 .2024</w:t>
            </w:r>
          </w:p>
          <w:p w14:paraId="2D5A3247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47A8C1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21E195" w14:textId="346F64DE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7D55A4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D7F981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1E8BA4C1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(podpis Objednatele)</w:t>
            </w:r>
          </w:p>
          <w:p w14:paraId="6E3C4040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1879C3AD" w14:textId="621281EC" w:rsidR="00C918FA" w:rsidRPr="00C918FA" w:rsidRDefault="00C918FA" w:rsidP="00A91DAA">
            <w:pPr>
              <w:ind w:right="80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                      </w:t>
            </w:r>
            <w:proofErr w:type="gramStart"/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,</w:t>
            </w:r>
            <w:proofErr w:type="gramEnd"/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dne </w:t>
            </w:r>
            <w:r w:rsidR="001D6E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9. 12. 2024</w:t>
            </w:r>
          </w:p>
          <w:p w14:paraId="12547108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C8107B0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10C53B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76B1730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2657377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490B6CB4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(podpis Zhotovitele)</w:t>
            </w:r>
          </w:p>
          <w:p w14:paraId="56561260" w14:textId="77777777" w:rsidR="00C918FA" w:rsidRPr="00C918FA" w:rsidRDefault="00C918FA" w:rsidP="00A91D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8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/razítko/</w:t>
            </w:r>
          </w:p>
        </w:tc>
      </w:tr>
    </w:tbl>
    <w:p w14:paraId="4437709B" w14:textId="77777777" w:rsidR="00C918FA" w:rsidRPr="006D1683" w:rsidRDefault="00C918FA" w:rsidP="00C918FA">
      <w:pPr>
        <w:jc w:val="both"/>
        <w:rPr>
          <w:b/>
          <w:bCs/>
          <w:sz w:val="22"/>
          <w:szCs w:val="22"/>
        </w:rPr>
      </w:pPr>
    </w:p>
    <w:p w14:paraId="02FC2A51" w14:textId="77777777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10"/>
      <w:headerReference w:type="first" r:id="rId11"/>
      <w:footerReference w:type="first" r:id="rId12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318F0" w14:textId="77777777" w:rsidR="003237E7" w:rsidRDefault="003237E7">
      <w:r>
        <w:separator/>
      </w:r>
    </w:p>
  </w:endnote>
  <w:endnote w:type="continuationSeparator" w:id="0">
    <w:p w14:paraId="159291D6" w14:textId="77777777" w:rsidR="003237E7" w:rsidRDefault="0032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8B0BF" w14:textId="77777777" w:rsidR="003237E7" w:rsidRDefault="003237E7">
      <w:r>
        <w:separator/>
      </w:r>
    </w:p>
  </w:footnote>
  <w:footnote w:type="continuationSeparator" w:id="0">
    <w:p w14:paraId="56463E0B" w14:textId="77777777" w:rsidR="003237E7" w:rsidRDefault="0032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5F74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D6EDC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55A2D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37E7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32DF9"/>
    <w:rsid w:val="00534204"/>
    <w:rsid w:val="00555C8E"/>
    <w:rsid w:val="00557343"/>
    <w:rsid w:val="005644D1"/>
    <w:rsid w:val="005723C1"/>
    <w:rsid w:val="00576692"/>
    <w:rsid w:val="00587CB1"/>
    <w:rsid w:val="005921D2"/>
    <w:rsid w:val="005A5CDC"/>
    <w:rsid w:val="005D2E92"/>
    <w:rsid w:val="005D470B"/>
    <w:rsid w:val="005D5D7E"/>
    <w:rsid w:val="005E2A9F"/>
    <w:rsid w:val="005E3E37"/>
    <w:rsid w:val="005E6301"/>
    <w:rsid w:val="005F61BB"/>
    <w:rsid w:val="005F7C27"/>
    <w:rsid w:val="006033CC"/>
    <w:rsid w:val="00613242"/>
    <w:rsid w:val="00622892"/>
    <w:rsid w:val="00644F9D"/>
    <w:rsid w:val="00645D71"/>
    <w:rsid w:val="00656F8B"/>
    <w:rsid w:val="00673040"/>
    <w:rsid w:val="00694114"/>
    <w:rsid w:val="0069606A"/>
    <w:rsid w:val="006A466C"/>
    <w:rsid w:val="006B366B"/>
    <w:rsid w:val="006C36B6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D556F"/>
    <w:rsid w:val="008E004F"/>
    <w:rsid w:val="00911320"/>
    <w:rsid w:val="00913688"/>
    <w:rsid w:val="00920738"/>
    <w:rsid w:val="009244A9"/>
    <w:rsid w:val="00930357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C7223"/>
    <w:rsid w:val="009D6691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BF24E2"/>
    <w:rsid w:val="00C01877"/>
    <w:rsid w:val="00C215B0"/>
    <w:rsid w:val="00C34D7B"/>
    <w:rsid w:val="00C46C46"/>
    <w:rsid w:val="00C83012"/>
    <w:rsid w:val="00C918FA"/>
    <w:rsid w:val="00CC3F17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A4CC6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5C4A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C918FA"/>
    <w:pPr>
      <w:numPr>
        <w:numId w:val="2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C918FA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C918FA"/>
    <w:pPr>
      <w:ind w:left="703" w:right="-142" w:hanging="567"/>
      <w:jc w:val="both"/>
    </w:pPr>
    <w:rPr>
      <w:rFonts w:ascii="Arial" w:eastAsia="Calibri" w:hAnsi="Arial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918FA"/>
    <w:rPr>
      <w:rFonts w:ascii="Arial" w:eastAsia="Calibri" w:hAnsi="Arial" w:cs="Calibri"/>
      <w:sz w:val="20"/>
      <w:szCs w:val="20"/>
    </w:rPr>
  </w:style>
  <w:style w:type="character" w:styleId="Siln">
    <w:name w:val="Strong"/>
    <w:qFormat/>
    <w:rsid w:val="00C918FA"/>
    <w:rPr>
      <w:rFonts w:cs="Times New Roman"/>
      <w:b/>
      <w:bCs/>
    </w:rPr>
  </w:style>
  <w:style w:type="paragraph" w:customStyle="1" w:styleId="Default">
    <w:name w:val="Default"/>
    <w:rsid w:val="00C918FA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">
    <w:name w:val="Nadpis #2_"/>
    <w:link w:val="Nadpis20"/>
    <w:rsid w:val="00C918FA"/>
    <w:rPr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C918FA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</w:rPr>
  </w:style>
  <w:style w:type="paragraph" w:customStyle="1" w:styleId="Zkladntext1">
    <w:name w:val="Základní text1"/>
    <w:basedOn w:val="Normln"/>
    <w:rsid w:val="00C918FA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C918FA"/>
    <w:pPr>
      <w:widowControl w:val="0"/>
      <w:jc w:val="both"/>
    </w:pPr>
    <w:rPr>
      <w:rFonts w:ascii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2078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2025-01-06T08:31:00Z</dcterms:created>
  <dcterms:modified xsi:type="dcterms:W3CDTF">2025-01-06T08:31:00Z</dcterms:modified>
</cp:coreProperties>
</file>