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56FA" w14:textId="77777777" w:rsidR="00624002" w:rsidRDefault="00624002" w:rsidP="00624002">
      <w:pPr>
        <w:pStyle w:val="Claneka"/>
        <w:numPr>
          <w:ilvl w:val="0"/>
          <w:numId w:val="0"/>
        </w:numPr>
      </w:pPr>
      <w:r w:rsidRPr="004910EC">
        <w:t xml:space="preserve">Příloha č. 1 – Podrobná specifikace Služeb </w:t>
      </w:r>
    </w:p>
    <w:p w14:paraId="438C57D0" w14:textId="77777777" w:rsidR="00624002" w:rsidRDefault="00624002" w:rsidP="00624002">
      <w:pPr>
        <w:pStyle w:val="Odstavecseseznamem"/>
        <w:widowControl w:val="0"/>
        <w:spacing w:after="40" w:line="252" w:lineRule="exact"/>
        <w:ind w:left="567" w:right="-283"/>
        <w:contextualSpacing w:val="0"/>
        <w:rPr>
          <w:rFonts w:cs="Arial"/>
          <w:color w:val="000000"/>
        </w:rPr>
      </w:pPr>
    </w:p>
    <w:p w14:paraId="10438C9A" w14:textId="77777777" w:rsidR="00624002" w:rsidRPr="00A159E8" w:rsidRDefault="00624002" w:rsidP="00624002">
      <w:pPr>
        <w:pStyle w:val="Odstavecseseznamem"/>
        <w:widowControl w:val="0"/>
        <w:numPr>
          <w:ilvl w:val="0"/>
          <w:numId w:val="2"/>
        </w:numPr>
        <w:spacing w:after="200" w:line="246" w:lineRule="exact"/>
        <w:ind w:left="426" w:right="-284" w:hanging="426"/>
        <w:jc w:val="left"/>
        <w:rPr>
          <w:rFonts w:cs="Arial"/>
          <w:b/>
          <w:bCs/>
          <w:color w:val="000000"/>
        </w:rPr>
      </w:pPr>
      <w:r w:rsidRPr="00A159E8">
        <w:rPr>
          <w:rFonts w:cs="Arial"/>
          <w:b/>
          <w:bCs/>
          <w:color w:val="000000"/>
        </w:rPr>
        <w:t>Termíny plnění</w:t>
      </w:r>
    </w:p>
    <w:p w14:paraId="0A75B88E" w14:textId="77777777" w:rsidR="00624002" w:rsidRDefault="00624002" w:rsidP="00624002">
      <w:pPr>
        <w:pStyle w:val="Odstavecseseznamem"/>
        <w:widowControl w:val="0"/>
        <w:spacing w:after="200" w:line="252" w:lineRule="exact"/>
        <w:ind w:left="567" w:right="-284"/>
        <w:contextualSpacing w:val="0"/>
        <w:rPr>
          <w:rFonts w:cs="Arial"/>
          <w:color w:val="000000"/>
        </w:rPr>
      </w:pPr>
    </w:p>
    <w:p w14:paraId="6135D36F" w14:textId="77777777" w:rsidR="00624002" w:rsidRDefault="00624002" w:rsidP="00624002">
      <w:pPr>
        <w:pStyle w:val="Odstavecseseznamem"/>
        <w:widowControl w:val="0"/>
        <w:numPr>
          <w:ilvl w:val="0"/>
          <w:numId w:val="3"/>
        </w:numPr>
        <w:spacing w:after="200" w:line="252" w:lineRule="exact"/>
        <w:ind w:left="851" w:right="-284" w:hanging="284"/>
        <w:contextualSpacing w:val="0"/>
        <w:rPr>
          <w:rFonts w:cs="Arial"/>
          <w:color w:val="000000"/>
        </w:rPr>
      </w:pPr>
      <w:r w:rsidRPr="00826571">
        <w:rPr>
          <w:rFonts w:cs="Arial"/>
          <w:b/>
          <w:bCs/>
          <w:color w:val="000000"/>
        </w:rPr>
        <w:t>Pravidelná plnění</w:t>
      </w:r>
      <w:r w:rsidRPr="00A159E8">
        <w:rPr>
          <w:rFonts w:cs="Arial"/>
          <w:color w:val="000000"/>
        </w:rPr>
        <w:t xml:space="preserve"> (jak uvádí Příloha č. 2) budou poskytována pro jednotlivé lokality Objektů (jak uvádí tabulka níže v této příloze č. 2) </w:t>
      </w:r>
      <w:proofErr w:type="gramStart"/>
      <w:r w:rsidRPr="00A159E8">
        <w:rPr>
          <w:rFonts w:cs="Arial"/>
          <w:color w:val="000000"/>
        </w:rPr>
        <w:t>v  termínech</w:t>
      </w:r>
      <w:proofErr w:type="gramEnd"/>
      <w:r w:rsidRPr="00A159E8">
        <w:rPr>
          <w:rFonts w:cs="Arial"/>
          <w:color w:val="000000"/>
        </w:rPr>
        <w:t xml:space="preserve"> a rozsahu požadovaných příslušnými právními předpisy souvisejícími s předmětem Smlouvy nebo na základě pokynu Objednatele.</w:t>
      </w:r>
    </w:p>
    <w:p w14:paraId="68FD3DD6" w14:textId="77777777" w:rsidR="00624002" w:rsidRDefault="00624002" w:rsidP="00624002">
      <w:pPr>
        <w:pStyle w:val="Odstavecseseznamem"/>
        <w:widowControl w:val="0"/>
        <w:spacing w:after="200" w:line="252" w:lineRule="exact"/>
        <w:ind w:left="851" w:right="-284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V této souvislosti jsou uvedené četnosti provádění pravidelných plnění orientační, mohou být měněny podle požadavků platné legislativy.</w:t>
      </w:r>
    </w:p>
    <w:p w14:paraId="563A25E3" w14:textId="77777777" w:rsidR="00624002" w:rsidRPr="00A159E8" w:rsidRDefault="00624002" w:rsidP="00624002">
      <w:pPr>
        <w:pStyle w:val="Odstavecseseznamem"/>
        <w:widowControl w:val="0"/>
        <w:spacing w:after="200" w:line="252" w:lineRule="exact"/>
        <w:ind w:left="851" w:right="-284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Za termíny a četnost provádění </w:t>
      </w:r>
      <w:proofErr w:type="gramStart"/>
      <w:r>
        <w:rPr>
          <w:rFonts w:cs="Arial"/>
          <w:color w:val="000000"/>
        </w:rPr>
        <w:t>ručí</w:t>
      </w:r>
      <w:proofErr w:type="gramEnd"/>
      <w:r>
        <w:rPr>
          <w:rFonts w:cs="Arial"/>
          <w:color w:val="000000"/>
        </w:rPr>
        <w:t xml:space="preserve"> dodavatel.</w:t>
      </w:r>
    </w:p>
    <w:p w14:paraId="0FCC6BEE" w14:textId="77777777" w:rsidR="00624002" w:rsidRDefault="00624002" w:rsidP="00624002">
      <w:pPr>
        <w:pStyle w:val="Odstavecseseznamem"/>
        <w:widowControl w:val="0"/>
        <w:numPr>
          <w:ilvl w:val="0"/>
          <w:numId w:val="3"/>
        </w:numPr>
        <w:spacing w:after="200" w:line="252" w:lineRule="exact"/>
        <w:ind w:left="851" w:right="-284" w:hanging="284"/>
        <w:contextualSpacing w:val="0"/>
        <w:rPr>
          <w:rFonts w:cs="Arial"/>
          <w:color w:val="000000"/>
        </w:rPr>
      </w:pPr>
      <w:r w:rsidRPr="00826571">
        <w:rPr>
          <w:rFonts w:cs="Arial"/>
          <w:b/>
          <w:bCs/>
          <w:color w:val="000000"/>
        </w:rPr>
        <w:t>Nepravidelná plnění</w:t>
      </w:r>
      <w:r>
        <w:rPr>
          <w:rFonts w:cs="Arial"/>
          <w:color w:val="000000"/>
        </w:rPr>
        <w:t xml:space="preserve"> budou poskytována na základě písemné Výzvy objednatele v termínech uvedených ve Výzvě.</w:t>
      </w:r>
    </w:p>
    <w:p w14:paraId="0EA2E5BC" w14:textId="3999D455" w:rsidR="00C03FF7" w:rsidRDefault="00624002" w:rsidP="00624002">
      <w:pPr>
        <w:pStyle w:val="Odstavecseseznamem"/>
        <w:widowControl w:val="0"/>
        <w:spacing w:after="200" w:line="252" w:lineRule="exact"/>
        <w:ind w:left="851" w:right="-284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V případě školení požární hlídky bude školení Poskytovatelem zajištěno do 48 hodin od </w:t>
      </w:r>
      <w:r w:rsidR="00691E28">
        <w:rPr>
          <w:rFonts w:cs="Arial"/>
          <w:color w:val="000000"/>
        </w:rPr>
        <w:t>zaslání Objednávky</w:t>
      </w:r>
      <w:r w:rsidR="00C03FF7">
        <w:rPr>
          <w:rFonts w:cs="Arial"/>
          <w:color w:val="000000"/>
        </w:rPr>
        <w:t xml:space="preserve"> prostřednictvím e-mailových adres Pověřené osoby Objednatele a Odpovědné osoby Poskytovatele, pokud nebude předem dohodnuto a v Objednávce určeno jinak. Konkrétní termín školení dohodnou Pověřená osoba Objednatele a Odpovědná osoba Poskytovatele.</w:t>
      </w:r>
    </w:p>
    <w:p w14:paraId="520F6959" w14:textId="429CFEDF" w:rsidR="00624002" w:rsidRPr="00483D1D" w:rsidRDefault="00624002" w:rsidP="00624002">
      <w:pPr>
        <w:pStyle w:val="Odstavecseseznamem"/>
        <w:widowControl w:val="0"/>
        <w:spacing w:after="200" w:line="252" w:lineRule="exact"/>
        <w:ind w:left="851" w:right="-284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V případě mimořádné události, ze které vyplyne potřeba vystavit </w:t>
      </w:r>
      <w:proofErr w:type="spellStart"/>
      <w:r w:rsidRPr="00236C76">
        <w:rPr>
          <w:rFonts w:cs="Arial"/>
          <w:color w:val="000000"/>
        </w:rPr>
        <w:t>technicko-organizační</w:t>
      </w:r>
      <w:proofErr w:type="spellEnd"/>
      <w:r w:rsidRPr="00236C76">
        <w:rPr>
          <w:rFonts w:cs="Arial"/>
          <w:color w:val="000000"/>
        </w:rPr>
        <w:t xml:space="preserve"> opatření (TOO) podle par 7, 246 </w:t>
      </w:r>
      <w:proofErr w:type="spellStart"/>
      <w:r w:rsidRPr="00236C76">
        <w:rPr>
          <w:rFonts w:cs="Arial"/>
          <w:color w:val="000000"/>
        </w:rPr>
        <w:t>vyhl</w:t>
      </w:r>
      <w:proofErr w:type="spellEnd"/>
      <w:r w:rsidRPr="00236C76">
        <w:rPr>
          <w:rFonts w:cs="Arial"/>
          <w:color w:val="000000"/>
        </w:rPr>
        <w:t>. 2001sb., bude Poskytovatel okamžitě k dispozici pro konzultaci</w:t>
      </w:r>
      <w:r>
        <w:rPr>
          <w:rFonts w:cs="Arial"/>
          <w:color w:val="000000"/>
        </w:rPr>
        <w:t xml:space="preserve"> s </w:t>
      </w:r>
      <w:r w:rsidR="00C03FF7">
        <w:rPr>
          <w:rFonts w:cs="Arial"/>
          <w:color w:val="000000"/>
        </w:rPr>
        <w:t>O</w:t>
      </w:r>
      <w:r>
        <w:rPr>
          <w:rFonts w:cs="Arial"/>
          <w:color w:val="000000"/>
        </w:rPr>
        <w:t>bjednatelem</w:t>
      </w:r>
      <w:r w:rsidRPr="00236C76">
        <w:rPr>
          <w:rFonts w:cs="Arial"/>
          <w:color w:val="000000"/>
        </w:rPr>
        <w:t xml:space="preserve"> a v co nejkratším termínu vydá příslušné TOO, a to do 2 hod v bezodkladných případech.</w:t>
      </w:r>
      <w:r>
        <w:rPr>
          <w:rFonts w:cs="Arial"/>
          <w:color w:val="000000"/>
        </w:rPr>
        <w:t xml:space="preserve"> V těchto případech není potřeba Výzva Objednatele.</w:t>
      </w:r>
      <w:r w:rsidR="00C03FF7">
        <w:rPr>
          <w:rFonts w:cs="Arial"/>
          <w:color w:val="000000"/>
        </w:rPr>
        <w:t xml:space="preserve"> Pověřená osoba Objednatele následně vystaví a zašle Objednávku.</w:t>
      </w:r>
    </w:p>
    <w:p w14:paraId="34496595" w14:textId="77777777" w:rsidR="00624002" w:rsidRPr="00BD75F8" w:rsidRDefault="00624002" w:rsidP="00624002">
      <w:pPr>
        <w:pStyle w:val="Odstavecseseznamem"/>
        <w:widowControl w:val="0"/>
        <w:spacing w:after="200" w:line="252" w:lineRule="exact"/>
        <w:ind w:left="851" w:right="-284"/>
        <w:contextualSpacing w:val="0"/>
        <w:rPr>
          <w:rFonts w:cs="Arial"/>
          <w:color w:val="000000"/>
        </w:rPr>
      </w:pPr>
      <w:r w:rsidRPr="00483D1D">
        <w:rPr>
          <w:rFonts w:cs="Arial"/>
          <w:color w:val="000000"/>
        </w:rPr>
        <w:t>Pokud bude výstupem činností písemná zpráva, dokument apod., bude předán v tištěné podobě podepsané Poskytovatelem a zároveň v elektronické</w:t>
      </w:r>
      <w:r w:rsidRPr="008A00F4">
        <w:rPr>
          <w:rFonts w:cs="Arial"/>
          <w:color w:val="000000"/>
        </w:rPr>
        <w:t xml:space="preserve"> podobě.</w:t>
      </w:r>
      <w:r w:rsidRPr="00BD75F8">
        <w:rPr>
          <w:rFonts w:cs="Arial"/>
          <w:color w:val="000000"/>
        </w:rPr>
        <w:t xml:space="preserve"> </w:t>
      </w:r>
      <w:r w:rsidRPr="008A00F4">
        <w:rPr>
          <w:rFonts w:cs="Arial"/>
          <w:color w:val="000000"/>
        </w:rPr>
        <w:t xml:space="preserve"> </w:t>
      </w:r>
    </w:p>
    <w:p w14:paraId="7ECACE55" w14:textId="77777777" w:rsidR="00624002" w:rsidRDefault="00624002" w:rsidP="00624002">
      <w:pPr>
        <w:widowControl w:val="0"/>
        <w:spacing w:after="200" w:line="246" w:lineRule="exact"/>
        <w:ind w:left="142" w:right="-284"/>
        <w:jc w:val="left"/>
        <w:rPr>
          <w:rFonts w:cs="Arial"/>
          <w:b/>
          <w:bCs/>
          <w:color w:val="000000"/>
        </w:rPr>
      </w:pPr>
    </w:p>
    <w:p w14:paraId="455A7E7A" w14:textId="77777777" w:rsidR="00624002" w:rsidRDefault="00624002" w:rsidP="00624002">
      <w:pPr>
        <w:pStyle w:val="Odstavecseseznamem"/>
        <w:widowControl w:val="0"/>
        <w:numPr>
          <w:ilvl w:val="0"/>
          <w:numId w:val="2"/>
        </w:numPr>
        <w:spacing w:after="200" w:line="246" w:lineRule="exact"/>
        <w:ind w:left="426" w:right="-284" w:hanging="426"/>
        <w:jc w:val="left"/>
        <w:rPr>
          <w:rFonts w:cs="Arial"/>
          <w:b/>
          <w:bCs/>
          <w:color w:val="000000"/>
        </w:rPr>
      </w:pPr>
      <w:r w:rsidRPr="00A159E8">
        <w:rPr>
          <w:rFonts w:cs="Arial"/>
          <w:b/>
          <w:bCs/>
          <w:color w:val="000000"/>
        </w:rPr>
        <w:t>Odborný garant a Projektant (realizační tým Poskytovatele)</w:t>
      </w:r>
    </w:p>
    <w:p w14:paraId="3BB2E1DE" w14:textId="77777777" w:rsidR="00624002" w:rsidRPr="00A159E8" w:rsidRDefault="00624002" w:rsidP="00624002">
      <w:pPr>
        <w:pStyle w:val="Odstavecseseznamem"/>
        <w:widowControl w:val="0"/>
        <w:spacing w:after="200" w:line="246" w:lineRule="exact"/>
        <w:ind w:left="426" w:right="-284"/>
        <w:jc w:val="left"/>
        <w:rPr>
          <w:rFonts w:cs="Arial"/>
          <w:b/>
          <w:bCs/>
          <w:color w:val="000000"/>
        </w:rPr>
      </w:pPr>
    </w:p>
    <w:p w14:paraId="588FC96E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572F10">
        <w:rPr>
          <w:rStyle w:val="normaltextrun"/>
          <w:rFonts w:cs="Arial"/>
          <w:u w:val="single"/>
        </w:rPr>
        <w:t>Odborný garant</w:t>
      </w:r>
      <w:r>
        <w:rPr>
          <w:rStyle w:val="normaltextrun"/>
          <w:rFonts w:cs="Arial"/>
        </w:rPr>
        <w:t xml:space="preserve"> </w:t>
      </w:r>
      <w:r w:rsidRPr="00826571">
        <w:rPr>
          <w:color w:val="000000"/>
        </w:rPr>
        <w:t xml:space="preserve">Poskytovatele (dále také jen „Garant“) je osoba, která je osobou odborně způsobilou podle zákona č. 133/1985 Sb. O požární ochraně ve znění pozdějších předpisů a má </w:t>
      </w:r>
      <w:r w:rsidRPr="00826571">
        <w:rPr>
          <w:rFonts w:cs="Arial"/>
          <w:color w:val="000000"/>
        </w:rPr>
        <w:t>potřebné znalosti k vykonání zkoušky v předepsaném rozsahu § 22 Vyhlášky MV ČR č.246/2001, ve znění pozdějších předpisů)</w:t>
      </w:r>
      <w:r w:rsidRPr="00826571">
        <w:rPr>
          <w:color w:val="000000"/>
        </w:rPr>
        <w:t>. Garant je členem realizačního týmu Poskytovatele.</w:t>
      </w:r>
    </w:p>
    <w:p w14:paraId="1F2F5B40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 xml:space="preserve">Funkce Garanta musí být zastávána výlučně osobou, která byla jako Garant uvedena v nabídce Poskytovatele předložené v zadávacím řízení vedoucí k uzavření této Smlouvy. </w:t>
      </w:r>
    </w:p>
    <w:p w14:paraId="76CC7B5E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 xml:space="preserve">V případě záměru nahrazení osoby Garanta jinou osobou Garanta </w:t>
      </w:r>
      <w:proofErr w:type="gramStart"/>
      <w:r w:rsidRPr="00826571">
        <w:rPr>
          <w:color w:val="000000"/>
        </w:rPr>
        <w:t>doručí</w:t>
      </w:r>
      <w:proofErr w:type="gramEnd"/>
      <w:r w:rsidRPr="00826571">
        <w:rPr>
          <w:color w:val="000000"/>
        </w:rPr>
        <w:t xml:space="preserve"> Poskytovatel Objednateli jeho představení ve stejném rozsahu jako při podání nabídky v rámci Zadávacího řízení, přičemž náhradní Garant musí splňovat nejméně parametry, které splňoval Garant uvedený v této nabídce. Poskytovatel odpovídá za kompletní předání všech informací týkajících se plnění dle této Smlouvy tak, aby nový Garant plně nahradil stávajícího.</w:t>
      </w:r>
    </w:p>
    <w:p w14:paraId="1DA5AC2D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 xml:space="preserve">Při změně Garanta není nutné uzavírat písemný dodatek k této Smlouvě. Objednatel potvrdí akceptaci náhradního Garanta Poskytovateli elektronickou formou prostřednictvím e-mailových kontaktů osob oprávněných jednat ve věcech technických uvedených v čl. I. Smlouvy. Objednatel nebude tuto akceptaci bezdůvodně odpírat. </w:t>
      </w:r>
      <w:r w:rsidRPr="00826571">
        <w:rPr>
          <w:color w:val="000000"/>
        </w:rPr>
        <w:lastRenderedPageBreak/>
        <w:t>Změna Garanta je vůči Objednateli účinná okamžikem potvrzení akceptace náhradního Garanta Objednatelem.</w:t>
      </w:r>
    </w:p>
    <w:p w14:paraId="77CB0AE4" w14:textId="77777777" w:rsidR="00624002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rStyle w:val="normaltextrun"/>
          <w:rFonts w:cs="Arial"/>
        </w:rPr>
      </w:pPr>
      <w:r w:rsidRPr="00624002">
        <w:rPr>
          <w:color w:val="000000"/>
          <w:u w:val="single"/>
        </w:rPr>
        <w:t>Projektant</w:t>
      </w:r>
      <w:r w:rsidRPr="00826571">
        <w:rPr>
          <w:color w:val="000000"/>
        </w:rPr>
        <w:t xml:space="preserve"> je osoba s autorizací ČKAIT Oprávnění ke zpracování požárně bezpečnostního řešení. Projektant je členem realizačního týmu a jeho funkce musí být zastávána výlučně osobou, která byla jako Projektant uvedena v nabídce Poskytovatele předložené v zadávacím řízení vedoucí k uzavření t</w:t>
      </w:r>
      <w:r>
        <w:rPr>
          <w:rStyle w:val="normaltextrun"/>
          <w:rFonts w:cs="Arial"/>
        </w:rPr>
        <w:t>éto Smlouvy.</w:t>
      </w:r>
    </w:p>
    <w:p w14:paraId="436DD725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A00F4">
        <w:rPr>
          <w:rStyle w:val="normaltextrun"/>
          <w:rFonts w:cs="Arial"/>
        </w:rPr>
        <w:t xml:space="preserve">Při změně </w:t>
      </w:r>
      <w:r>
        <w:rPr>
          <w:rStyle w:val="normaltextrun"/>
          <w:rFonts w:cs="Arial"/>
        </w:rPr>
        <w:t xml:space="preserve">Projektanta </w:t>
      </w:r>
      <w:r w:rsidRPr="008A00F4">
        <w:rPr>
          <w:rStyle w:val="normaltextrun"/>
          <w:rFonts w:cs="Arial"/>
        </w:rPr>
        <w:t xml:space="preserve">není nutné uzavírat písemný dodatek k této </w:t>
      </w:r>
      <w:r>
        <w:rPr>
          <w:rStyle w:val="normaltextrun"/>
          <w:rFonts w:cs="Arial"/>
        </w:rPr>
        <w:t>Smlouvě</w:t>
      </w:r>
      <w:r w:rsidRPr="008A00F4">
        <w:rPr>
          <w:rStyle w:val="normaltextrun"/>
          <w:rFonts w:cs="Arial"/>
        </w:rPr>
        <w:t>. Objednatel potvrdí akceptaci náhradní</w:t>
      </w:r>
      <w:r>
        <w:rPr>
          <w:rStyle w:val="normaltextrun"/>
          <w:rFonts w:cs="Arial"/>
        </w:rPr>
        <w:t>ho Projektanta</w:t>
      </w:r>
      <w:r w:rsidRPr="008A00F4">
        <w:rPr>
          <w:rStyle w:val="normaltextrun"/>
          <w:rFonts w:cs="Arial"/>
        </w:rPr>
        <w:t xml:space="preserve"> Poskytovateli elektronickou formou</w:t>
      </w:r>
      <w:r>
        <w:rPr>
          <w:rStyle w:val="normaltextrun"/>
          <w:rFonts w:cs="Arial"/>
        </w:rPr>
        <w:t xml:space="preserve"> prostřednictvím e-mailových kontaktů </w:t>
      </w:r>
      <w:r w:rsidRPr="00826571">
        <w:rPr>
          <w:color w:val="000000"/>
        </w:rPr>
        <w:t>osob oprávněných jednat ve věcech technických uvedených v čl. I. Smlouvy. Objednatel nebude tuto akceptaci bezdůvodně odpírat. Změna Projektanta je vůči Objednateli účinná okamžikem potvrzení akceptace náhradního Projektanta Objednatelem.</w:t>
      </w:r>
    </w:p>
    <w:p w14:paraId="67E38C44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 xml:space="preserve">Funkce Projektanta musí být zastávána výlučně osobou, která byla jako Garant uvedena v nabídce Poskytovatele předložené v zadávacím řízení vedoucí k uzavření této Smlouvy. </w:t>
      </w:r>
    </w:p>
    <w:p w14:paraId="1F890723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 xml:space="preserve">V případě záměru nahrazení osoby Projektanta jinou osobou Projektanta </w:t>
      </w:r>
      <w:proofErr w:type="gramStart"/>
      <w:r w:rsidRPr="00826571">
        <w:rPr>
          <w:color w:val="000000"/>
        </w:rPr>
        <w:t>doručí</w:t>
      </w:r>
      <w:proofErr w:type="gramEnd"/>
      <w:r w:rsidRPr="00826571">
        <w:rPr>
          <w:color w:val="000000"/>
        </w:rPr>
        <w:t xml:space="preserve"> Poskytovatel Objednateli jeho představení ve stejném rozsahu jako při podání nabídky v rámci Zadávacího řízení, přičemž náhradní Projektant musí splňovat nejméně parametry, které splňoval Projektant uvedený v této nabídce. Poskytovatel odpovídá za kompletní předání všech informací týkajících se plnění dle této Smlouvy tak, aby nový </w:t>
      </w:r>
      <w:proofErr w:type="gramStart"/>
      <w:r w:rsidRPr="00826571">
        <w:rPr>
          <w:color w:val="000000"/>
        </w:rPr>
        <w:t>Projektant  plně</w:t>
      </w:r>
      <w:proofErr w:type="gramEnd"/>
      <w:r w:rsidRPr="00826571">
        <w:rPr>
          <w:color w:val="000000"/>
        </w:rPr>
        <w:t xml:space="preserve"> nahradil stávajícího.</w:t>
      </w:r>
    </w:p>
    <w:p w14:paraId="66E39BE9" w14:textId="77777777" w:rsidR="00624002" w:rsidRPr="00826571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color w:val="000000"/>
        </w:rPr>
      </w:pPr>
      <w:r w:rsidRPr="00826571">
        <w:rPr>
          <w:color w:val="000000"/>
        </w:rPr>
        <w:t>Členové realizačního týmu Poskytovatele a jejich kontaktní údaje jsou uvedeni v příloze č.3 této Smlouvy.</w:t>
      </w:r>
    </w:p>
    <w:p w14:paraId="44E11D73" w14:textId="77777777" w:rsidR="00624002" w:rsidRDefault="00624002" w:rsidP="00624002">
      <w:pPr>
        <w:pStyle w:val="Odstavecseseznamem"/>
        <w:widowControl w:val="0"/>
        <w:numPr>
          <w:ilvl w:val="0"/>
          <w:numId w:val="4"/>
        </w:numPr>
        <w:spacing w:after="200" w:line="252" w:lineRule="exact"/>
        <w:ind w:left="851" w:right="-284" w:hanging="284"/>
        <w:contextualSpacing w:val="0"/>
        <w:rPr>
          <w:rStyle w:val="normaltextrun"/>
          <w:rFonts w:cs="Arial"/>
        </w:rPr>
      </w:pPr>
      <w:r w:rsidRPr="00826571">
        <w:rPr>
          <w:color w:val="000000"/>
        </w:rPr>
        <w:t>Jakékoliv náklady vzniklé v souvislosti se zajištěním náhradního člena realizačního týmu a prokázáním jejích zkušeností ne</w:t>
      </w:r>
      <w:r w:rsidRPr="008A00F4">
        <w:rPr>
          <w:rStyle w:val="normaltextrun"/>
          <w:rFonts w:cs="Arial"/>
        </w:rPr>
        <w:t xml:space="preserve">se výlučně Poskytovatel. </w:t>
      </w:r>
    </w:p>
    <w:p w14:paraId="0B339C86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560868B1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1BA527FE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29FBFF03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4372D15C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26D683E6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0E8EE15B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1A680886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241BB374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55C03A83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4A919778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4E6CB54D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3B743B97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751EE9EB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3E00C2F3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7311929C" w14:textId="77777777" w:rsidR="00624002" w:rsidRPr="00392AC5" w:rsidRDefault="00624002" w:rsidP="00624002">
      <w:pPr>
        <w:pStyle w:val="Odstavecseseznamem"/>
        <w:widowControl w:val="0"/>
        <w:numPr>
          <w:ilvl w:val="0"/>
          <w:numId w:val="2"/>
        </w:numPr>
        <w:spacing w:after="200" w:line="246" w:lineRule="exact"/>
        <w:ind w:left="426" w:right="-284" w:hanging="426"/>
        <w:jc w:val="left"/>
        <w:rPr>
          <w:rFonts w:cs="Arial"/>
          <w:b/>
          <w:bCs/>
          <w:color w:val="303030"/>
        </w:rPr>
      </w:pPr>
      <w:r w:rsidRPr="00392AC5">
        <w:rPr>
          <w:rFonts w:cs="Arial"/>
          <w:b/>
          <w:bCs/>
          <w:color w:val="000000"/>
        </w:rPr>
        <w:t>Soupis</w:t>
      </w:r>
      <w:r w:rsidRPr="00392AC5">
        <w:rPr>
          <w:rFonts w:cs="Arial"/>
          <w:b/>
          <w:bCs/>
          <w:color w:val="303030"/>
        </w:rPr>
        <w:t xml:space="preserve"> Objektů</w:t>
      </w:r>
    </w:p>
    <w:p w14:paraId="0432506E" w14:textId="77777777" w:rsidR="00624002" w:rsidRPr="00392AC5" w:rsidRDefault="00624002" w:rsidP="00624002">
      <w:pPr>
        <w:pStyle w:val="Odstavecseseznamem"/>
        <w:spacing w:line="246" w:lineRule="exact"/>
        <w:rPr>
          <w:rFonts w:cs="Arial"/>
          <w:b/>
          <w:bCs/>
          <w:color w:val="303030"/>
        </w:rPr>
      </w:pPr>
    </w:p>
    <w:p w14:paraId="685F9315" w14:textId="77777777" w:rsidR="00624002" w:rsidRPr="00392AC5" w:rsidRDefault="00624002" w:rsidP="00624002">
      <w:pPr>
        <w:pStyle w:val="Odstavecseseznamem"/>
        <w:ind w:left="0"/>
        <w:rPr>
          <w:rFonts w:cs="Arial"/>
          <w:b/>
          <w:bCs/>
          <w:color w:val="303030"/>
        </w:rPr>
      </w:pPr>
      <w:r>
        <w:rPr>
          <w:noProof/>
        </w:rPr>
        <w:drawing>
          <wp:inline distT="0" distB="0" distL="0" distR="0" wp14:anchorId="104A8E9D" wp14:editId="74B07F72">
            <wp:extent cx="6163203" cy="732472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658" cy="73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8E2E" w14:textId="77777777" w:rsidR="00624002" w:rsidRPr="00392AC5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054D56BA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p w14:paraId="0304D326" w14:textId="77777777" w:rsidR="00624002" w:rsidRDefault="00624002" w:rsidP="00624002">
      <w:pPr>
        <w:widowControl w:val="0"/>
        <w:spacing w:after="200" w:line="252" w:lineRule="exact"/>
        <w:ind w:right="-284"/>
        <w:rPr>
          <w:rStyle w:val="normaltextrun"/>
          <w:rFonts w:cs="Arial"/>
        </w:rPr>
      </w:pPr>
    </w:p>
    <w:sectPr w:rsidR="0062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FA"/>
    <w:multiLevelType w:val="hybridMultilevel"/>
    <w:tmpl w:val="B226E902"/>
    <w:lvl w:ilvl="0" w:tplc="D826A486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6A2A"/>
    <w:multiLevelType w:val="hybridMultilevel"/>
    <w:tmpl w:val="25C8E6F2"/>
    <w:lvl w:ilvl="0" w:tplc="FEA6B5AA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5A80D0C"/>
    <w:multiLevelType w:val="hybridMultilevel"/>
    <w:tmpl w:val="EF4827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5806">
    <w:abstractNumId w:val="2"/>
  </w:num>
  <w:num w:numId="2" w16cid:durableId="1443652090">
    <w:abstractNumId w:val="3"/>
  </w:num>
  <w:num w:numId="3" w16cid:durableId="1903176902">
    <w:abstractNumId w:val="1"/>
  </w:num>
  <w:num w:numId="4" w16cid:durableId="3721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500B93"/>
    <w:rsid w:val="00624002"/>
    <w:rsid w:val="00691E28"/>
    <w:rsid w:val="00C03FF7"/>
    <w:rsid w:val="00D333BB"/>
    <w:rsid w:val="00F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0159"/>
  <w15:chartTrackingRefBased/>
  <w15:docId w15:val="{4639D586-A09B-49B3-B415-1337F213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002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624002"/>
    <w:pPr>
      <w:keepNext/>
      <w:keepLines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0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624002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99"/>
    <w:qFormat/>
    <w:rsid w:val="0062400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624002"/>
  </w:style>
  <w:style w:type="character" w:customStyle="1" w:styleId="TextkomenteChar">
    <w:name w:val="Text komentáře Char"/>
    <w:basedOn w:val="Standardnpsmoodstavce"/>
    <w:link w:val="Textkomente"/>
    <w:uiPriority w:val="99"/>
    <w:rsid w:val="00624002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624002"/>
    <w:rPr>
      <w:sz w:val="16"/>
      <w:szCs w:val="16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99"/>
    <w:locked/>
    <w:rsid w:val="00624002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link w:val="Clanek11Char"/>
    <w:qFormat/>
    <w:rsid w:val="00624002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Arial" w:eastAsia="Times New Roman" w:hAnsi="Arial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624002"/>
    <w:pPr>
      <w:keepLines/>
      <w:widowControl w:val="0"/>
      <w:numPr>
        <w:ilvl w:val="2"/>
        <w:numId w:val="1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624002"/>
    <w:pPr>
      <w:keepNext/>
      <w:numPr>
        <w:ilvl w:val="3"/>
        <w:numId w:val="1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24002"/>
  </w:style>
  <w:style w:type="character" w:customStyle="1" w:styleId="Clanek11Char">
    <w:name w:val="Clanek 1.1 Char"/>
    <w:link w:val="Clanek11"/>
    <w:rsid w:val="00624002"/>
    <w:rPr>
      <w:rFonts w:ascii="Arial" w:eastAsia="Times New Roman" w:hAnsi="Arial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0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Jurášková Dana</dc:creator>
  <cp:keywords/>
  <dc:description/>
  <cp:lastModifiedBy>Jurášková Dana</cp:lastModifiedBy>
  <cp:revision>3</cp:revision>
  <dcterms:created xsi:type="dcterms:W3CDTF">2024-09-04T14:04:00Z</dcterms:created>
  <dcterms:modified xsi:type="dcterms:W3CDTF">2024-09-13T13:08:00Z</dcterms:modified>
</cp:coreProperties>
</file>