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618" w:h="173" w:wrap="none" w:hAnchor="page" w:x="1173"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smlouvy o poskytování služeb (Služby provozu světelně signalizačních zařízení)</w:t>
      </w:r>
    </w:p>
    <w:p>
      <w:pPr>
        <w:pStyle w:val="Style5"/>
        <w:keepNext w:val="0"/>
        <w:keepLines w:val="0"/>
        <w:framePr w:w="494" w:h="144" w:wrap="none" w:hAnchor="page" w:x="6861" w:y="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č.1</w:t>
      </w:r>
    </w:p>
    <w:tbl>
      <w:tblPr>
        <w:tblOverlap w:val="never"/>
        <w:jc w:val="left"/>
        <w:tblLayout w:type="fixed"/>
      </w:tblPr>
      <w:tblGrid>
        <w:gridCol w:w="4738"/>
        <w:gridCol w:w="504"/>
        <w:gridCol w:w="960"/>
      </w:tblGrid>
      <w:tr>
        <w:trPr>
          <w:trHeight w:val="158" w:hRule="exact"/>
        </w:trPr>
        <w:tc>
          <w:tcPr>
            <w:gridSpan w:val="2"/>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SOUPIS ČINNOSTÍ A SJEDNANÁ CENA PRO KALENDÁŘNÍ ROK</w:t>
            </w:r>
          </w:p>
        </w:tc>
        <w:tc>
          <w:tcPr>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pPr>
            <w:r>
              <w:rPr>
                <w:b/>
                <w:bCs/>
                <w:color w:val="FF0000"/>
                <w:spacing w:val="0"/>
                <w:w w:val="100"/>
                <w:position w:val="0"/>
                <w:shd w:val="clear" w:color="auto" w:fill="auto"/>
                <w:lang w:val="cs-CZ" w:eastAsia="cs-CZ" w:bidi="cs-CZ"/>
              </w:rPr>
              <w:t>2025</w:t>
            </w:r>
          </w:p>
        </w:tc>
      </w:tr>
      <w:tr>
        <w:trPr>
          <w:trHeight w:val="422" w:hRule="exact"/>
        </w:trPr>
        <w:tc>
          <w:tcPr>
            <w:tcBorders>
              <w:top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Pravidelná vizuální kontrola křižovatek 1x za dva měsíce - zajišťuje CROSS Zlín, a.s.</w:t>
            </w:r>
          </w:p>
        </w:tc>
        <w:tc>
          <w:tcPr>
            <w:tcBorders/>
            <w:shd w:val="clear" w:color="auto" w:fill="auto"/>
            <w:vAlign w:val="top"/>
          </w:tcPr>
          <w:p>
            <w:pPr>
              <w:framePr w:w="6202" w:h="3778" w:wrap="none" w:hAnchor="page" w:x="1163" w:y="457"/>
              <w:widowControl w:val="0"/>
              <w:rPr>
                <w:sz w:val="10"/>
                <w:szCs w:val="10"/>
              </w:rPr>
            </w:pPr>
          </w:p>
        </w:tc>
        <w:tc>
          <w:tcPr>
            <w:tcBorders/>
            <w:shd w:val="clear" w:color="auto" w:fill="auto"/>
            <w:vAlign w:val="top"/>
          </w:tcPr>
          <w:p>
            <w:pPr>
              <w:framePr w:w="6202" w:h="3778" w:wrap="none" w:hAnchor="page" w:x="1163" w:y="457"/>
              <w:widowControl w:val="0"/>
              <w:rPr>
                <w:sz w:val="10"/>
                <w:szCs w:val="10"/>
              </w:rPr>
            </w:pPr>
          </w:p>
        </w:tc>
      </w:tr>
      <w:tr>
        <w:trPr>
          <w:trHeight w:val="317" w:hRule="exact"/>
        </w:trPr>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Plošné čištění optik a kamer videodetekce u 24 křižovatek 1x ročně</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pPr>
            <w:r>
              <w:rPr>
                <w:b/>
                <w:bCs/>
                <w:color w:val="FF0000"/>
                <w:spacing w:val="0"/>
                <w:w w:val="100"/>
                <w:position w:val="0"/>
                <w:shd w:val="clear" w:color="auto" w:fill="auto"/>
                <w:lang w:val="cs-CZ" w:eastAsia="cs-CZ" w:bidi="cs-CZ"/>
              </w:rPr>
              <w:t>237 930,00</w:t>
            </w:r>
          </w:p>
        </w:tc>
      </w:tr>
      <w:tr>
        <w:trPr>
          <w:trHeight w:val="326" w:hRule="exact"/>
        </w:trPr>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Měsíční paušální náhrada za zajištění stálé pohotovosti, včetně výjezdů</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pPr>
            <w:r>
              <w:rPr>
                <w:b/>
                <w:bCs/>
                <w:color w:val="FF0000"/>
                <w:spacing w:val="0"/>
                <w:w w:val="100"/>
                <w:position w:val="0"/>
                <w:shd w:val="clear" w:color="auto" w:fill="auto"/>
                <w:lang w:val="cs-CZ" w:eastAsia="cs-CZ" w:bidi="cs-CZ"/>
              </w:rPr>
              <w:t>243 595,00</w:t>
            </w:r>
          </w:p>
        </w:tc>
      </w:tr>
      <w:tr>
        <w:trPr>
          <w:trHeight w:val="317" w:hRule="exact"/>
        </w:trPr>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Pravidelná roční prohlídka a revize SSZ - zajišťuje CROSS Zlín, a.s.</w:t>
            </w:r>
          </w:p>
        </w:tc>
        <w:tc>
          <w:tcPr>
            <w:tcBorders/>
            <w:shd w:val="clear" w:color="auto" w:fill="auto"/>
            <w:vAlign w:val="top"/>
          </w:tcPr>
          <w:p>
            <w:pPr>
              <w:framePr w:w="6202" w:h="3778" w:wrap="none" w:hAnchor="page" w:x="1163" w:y="457"/>
              <w:widowControl w:val="0"/>
              <w:rPr>
                <w:sz w:val="10"/>
                <w:szCs w:val="10"/>
              </w:rPr>
            </w:pPr>
          </w:p>
        </w:tc>
        <w:tc>
          <w:tcPr>
            <w:tcBorders/>
            <w:shd w:val="clear" w:color="auto" w:fill="auto"/>
            <w:vAlign w:val="top"/>
          </w:tcPr>
          <w:p>
            <w:pPr>
              <w:framePr w:w="6202" w:h="3778" w:wrap="none" w:hAnchor="page" w:x="1163" w:y="457"/>
              <w:widowControl w:val="0"/>
              <w:rPr>
                <w:sz w:val="10"/>
                <w:szCs w:val="10"/>
              </w:rPr>
            </w:pPr>
          </w:p>
        </w:tc>
      </w:tr>
      <w:tr>
        <w:trPr>
          <w:trHeight w:val="302" w:hRule="exact"/>
        </w:trPr>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Revize v tříletém intervalu - zajišťuje CROSS Zlín, a.s.</w:t>
            </w:r>
          </w:p>
        </w:tc>
        <w:tc>
          <w:tcPr>
            <w:tcBorders/>
            <w:shd w:val="clear" w:color="auto" w:fill="auto"/>
            <w:vAlign w:val="top"/>
          </w:tcPr>
          <w:p>
            <w:pPr>
              <w:framePr w:w="6202" w:h="3778" w:wrap="none" w:hAnchor="page" w:x="1163" w:y="457"/>
              <w:widowControl w:val="0"/>
              <w:rPr>
                <w:sz w:val="10"/>
                <w:szCs w:val="10"/>
              </w:rPr>
            </w:pPr>
          </w:p>
        </w:tc>
        <w:tc>
          <w:tcPr>
            <w:tcBorders/>
            <w:shd w:val="clear" w:color="auto" w:fill="auto"/>
            <w:vAlign w:val="top"/>
          </w:tcPr>
          <w:p>
            <w:pPr>
              <w:framePr w:w="6202" w:h="3778" w:wrap="none" w:hAnchor="page" w:x="1163" w:y="457"/>
              <w:widowControl w:val="0"/>
              <w:rPr>
                <w:sz w:val="10"/>
                <w:szCs w:val="10"/>
              </w:rPr>
            </w:pPr>
          </w:p>
        </w:tc>
      </w:tr>
      <w:tr>
        <w:trPr>
          <w:trHeight w:val="955" w:hRule="exact"/>
        </w:trPr>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Rezerva na odstraňování poruch, které nejsou součástí záruky CROSS (opravy následků dopravních nehod, výměny vadných klepátek, výměna vadných tlačítek pro chodce, opravy po vandalismu, opravy vadných smyček, výměny vadných desek elektroniky atd.). Na každý jednotlivý případ bude zhotovitelem zpacována samostatná kalkulace, kterou následně odsouhlasí pověřený zástupce objednatele.</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440 000,00</w:t>
            </w:r>
          </w:p>
        </w:tc>
      </w:tr>
      <w:tr>
        <w:trPr>
          <w:trHeight w:val="374" w:hRule="exact"/>
        </w:trPr>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Elektrická energie</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c>
          <w:tcPr>
            <w:tcBorders/>
            <w:shd w:val="clear" w:color="auto" w:fill="auto"/>
            <w:vAlign w:val="center"/>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1 200 000,00</w:t>
            </w:r>
          </w:p>
        </w:tc>
      </w:tr>
      <w:tr>
        <w:trPr>
          <w:trHeight w:val="197" w:hRule="exact"/>
        </w:trPr>
        <w:tc>
          <w:tcPr>
            <w:tcBorders>
              <w:top w:val="single" w:sz="4"/>
              <w:left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bez DPH</w:t>
            </w:r>
          </w:p>
        </w:tc>
        <w:tc>
          <w:tcPr>
            <w:tcBorders>
              <w:top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Kč</w:t>
            </w:r>
          </w:p>
        </w:tc>
        <w:tc>
          <w:tcPr>
            <w:tcBorders>
              <w:top w:val="single" w:sz="4"/>
              <w:left w:val="single" w:sz="4"/>
              <w:right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rPr>
                <w:sz w:val="14"/>
                <w:szCs w:val="14"/>
              </w:rPr>
            </w:pPr>
            <w:r>
              <w:rPr>
                <w:b/>
                <w:bCs/>
                <w:color w:val="FF0000"/>
                <w:spacing w:val="0"/>
                <w:w w:val="100"/>
                <w:position w:val="0"/>
                <w:sz w:val="14"/>
                <w:szCs w:val="14"/>
                <w:shd w:val="clear" w:color="auto" w:fill="auto"/>
                <w:lang w:val="cs-CZ" w:eastAsia="cs-CZ" w:bidi="cs-CZ"/>
              </w:rPr>
              <w:t>2 121 525,00</w:t>
            </w:r>
          </w:p>
        </w:tc>
      </w:tr>
      <w:tr>
        <w:trPr>
          <w:trHeight w:val="197" w:hRule="exact"/>
        </w:trPr>
        <w:tc>
          <w:tcPr>
            <w:tcBorders>
              <w:top w:val="single" w:sz="4"/>
              <w:left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DPH 21%</w:t>
            </w:r>
          </w:p>
        </w:tc>
        <w:tc>
          <w:tcPr>
            <w:tcBorders>
              <w:top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Kč</w:t>
            </w:r>
          </w:p>
        </w:tc>
        <w:tc>
          <w:tcPr>
            <w:tcBorders>
              <w:top w:val="single" w:sz="4"/>
              <w:left w:val="single" w:sz="4"/>
              <w:right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rPr>
                <w:sz w:val="14"/>
                <w:szCs w:val="14"/>
              </w:rPr>
            </w:pPr>
            <w:r>
              <w:rPr>
                <w:b/>
                <w:bCs/>
                <w:color w:val="FF0000"/>
                <w:spacing w:val="0"/>
                <w:w w:val="100"/>
                <w:position w:val="0"/>
                <w:sz w:val="14"/>
                <w:szCs w:val="14"/>
                <w:shd w:val="clear" w:color="auto" w:fill="auto"/>
                <w:lang w:val="cs-CZ" w:eastAsia="cs-CZ" w:bidi="cs-CZ"/>
              </w:rPr>
              <w:t>445 520,25</w:t>
            </w:r>
          </w:p>
        </w:tc>
      </w:tr>
      <w:tr>
        <w:trPr>
          <w:trHeight w:val="211" w:hRule="exact"/>
        </w:trPr>
        <w:tc>
          <w:tcPr>
            <w:tcBorders>
              <w:top w:val="single" w:sz="4"/>
              <w:left w:val="single" w:sz="4"/>
              <w:bottom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celkem včetně DPH 21%</w:t>
            </w:r>
          </w:p>
        </w:tc>
        <w:tc>
          <w:tcPr>
            <w:tcBorders>
              <w:top w:val="single" w:sz="4"/>
              <w:bottom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Kč</w:t>
            </w:r>
          </w:p>
        </w:tc>
        <w:tc>
          <w:tcPr>
            <w:tcBorders>
              <w:top w:val="single" w:sz="4"/>
              <w:left w:val="single" w:sz="4"/>
              <w:bottom w:val="single" w:sz="4"/>
              <w:right w:val="single" w:sz="4"/>
            </w:tcBorders>
            <w:shd w:val="clear" w:color="auto" w:fill="auto"/>
            <w:vAlign w:val="bottom"/>
          </w:tcPr>
          <w:p>
            <w:pPr>
              <w:pStyle w:val="Style7"/>
              <w:keepNext w:val="0"/>
              <w:keepLines w:val="0"/>
              <w:framePr w:w="6202" w:h="3778" w:wrap="none" w:hAnchor="page" w:x="1163" w:y="457"/>
              <w:widowControl w:val="0"/>
              <w:shd w:val="clear" w:color="auto" w:fill="auto"/>
              <w:bidi w:val="0"/>
              <w:spacing w:before="0" w:after="0" w:line="240" w:lineRule="auto"/>
              <w:ind w:left="0" w:right="0" w:firstLine="0"/>
              <w:jc w:val="right"/>
              <w:rPr>
                <w:sz w:val="14"/>
                <w:szCs w:val="14"/>
              </w:rPr>
            </w:pPr>
            <w:r>
              <w:rPr>
                <w:b/>
                <w:bCs/>
                <w:color w:val="FF0000"/>
                <w:spacing w:val="0"/>
                <w:w w:val="100"/>
                <w:position w:val="0"/>
                <w:sz w:val="14"/>
                <w:szCs w:val="14"/>
                <w:shd w:val="clear" w:color="auto" w:fill="auto"/>
                <w:lang w:val="cs-CZ" w:eastAsia="cs-CZ" w:bidi="cs-CZ"/>
              </w:rPr>
              <w:t>2 567 045,25</w:t>
            </w:r>
          </w:p>
        </w:tc>
      </w:tr>
    </w:tbl>
    <w:p>
      <w:pPr>
        <w:framePr w:w="6202" w:h="3778" w:wrap="none" w:hAnchor="page" w:x="1163" w:y="457"/>
        <w:widowControl w:val="0"/>
        <w:spacing w:line="1" w:lineRule="exact"/>
      </w:pPr>
    </w:p>
    <w:p>
      <w:pPr>
        <w:pStyle w:val="Style14"/>
        <w:keepNext w:val="0"/>
        <w:keepLines w:val="0"/>
        <w:framePr w:w="902" w:h="1099" w:wrap="none" w:hAnchor="page" w:x="7873" w:y="491"/>
        <w:widowControl w:val="0"/>
        <w:shd w:val="clear" w:color="auto" w:fill="auto"/>
        <w:bidi w:val="0"/>
        <w:spacing w:before="0" w:after="50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Poznámky:</w:t>
      </w:r>
    </w:p>
    <w:p>
      <w:pPr>
        <w:pStyle w:val="Style14"/>
        <w:keepNext w:val="0"/>
        <w:keepLines w:val="0"/>
        <w:framePr w:w="902" w:h="1099" w:wrap="none" w:hAnchor="page" w:x="7873" w:y="491"/>
        <w:widowControl w:val="0"/>
        <w:shd w:val="clear" w:color="auto" w:fill="auto"/>
        <w:bidi w:val="0"/>
        <w:spacing w:before="0" w:after="20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nárust o inflaci 3%</w:t>
      </w:r>
    </w:p>
    <w:p>
      <w:pPr>
        <w:pStyle w:val="Style14"/>
        <w:keepNext w:val="0"/>
        <w:keepLines w:val="0"/>
        <w:framePr w:w="902" w:h="1099" w:wrap="none" w:hAnchor="page" w:x="7873" w:y="49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nárust o inflaci 3%</w:t>
      </w:r>
    </w:p>
    <w:p>
      <w:pPr>
        <w:pStyle w:val="Style2"/>
        <w:keepNext w:val="0"/>
        <w:keepLines w:val="0"/>
        <w:framePr w:w="610" w:h="1114" w:wrap="none" w:hAnchor="page" w:x="10259" w:y="495"/>
        <w:widowControl w:val="0"/>
        <w:shd w:val="clear" w:color="auto" w:fill="auto"/>
        <w:bidi w:val="0"/>
        <w:spacing w:before="0" w:after="480" w:line="240" w:lineRule="auto"/>
        <w:ind w:left="0" w:right="0" w:firstLine="0"/>
        <w:jc w:val="right"/>
      </w:pPr>
      <w:r>
        <w:rPr>
          <w:color w:val="000000"/>
          <w:spacing w:val="0"/>
          <w:w w:val="100"/>
          <w:position w:val="0"/>
          <w:shd w:val="clear" w:color="auto" w:fill="auto"/>
          <w:lang w:val="cs-CZ" w:eastAsia="cs-CZ" w:bidi="cs-CZ"/>
        </w:rPr>
        <w:t>2024</w:t>
      </w:r>
    </w:p>
    <w:p>
      <w:pPr>
        <w:pStyle w:val="Style2"/>
        <w:keepNext w:val="0"/>
        <w:keepLines w:val="0"/>
        <w:framePr w:w="610" w:h="1114" w:wrap="none" w:hAnchor="page" w:x="10259" w:y="495"/>
        <w:widowControl w:val="0"/>
        <w:shd w:val="clear" w:color="auto" w:fill="auto"/>
        <w:bidi w:val="0"/>
        <w:spacing w:before="0" w:after="180" w:line="240" w:lineRule="auto"/>
        <w:ind w:left="0" w:right="0" w:firstLine="0"/>
        <w:jc w:val="right"/>
      </w:pPr>
      <w:r>
        <w:rPr>
          <w:color w:val="000000"/>
          <w:spacing w:val="0"/>
          <w:w w:val="100"/>
          <w:position w:val="0"/>
          <w:shd w:val="clear" w:color="auto" w:fill="auto"/>
          <w:lang w:val="cs-CZ" w:eastAsia="cs-CZ" w:bidi="cs-CZ"/>
        </w:rPr>
        <w:t>231 000,00</w:t>
      </w:r>
    </w:p>
    <w:p>
      <w:pPr>
        <w:pStyle w:val="Style2"/>
        <w:keepNext w:val="0"/>
        <w:keepLines w:val="0"/>
        <w:framePr w:w="610" w:h="1114" w:wrap="none" w:hAnchor="page" w:x="10259" w:y="4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236 500,00</w:t>
      </w:r>
    </w:p>
    <w:p>
      <w:pPr>
        <w:pStyle w:val="Style2"/>
        <w:keepNext w:val="0"/>
        <w:keepLines w:val="0"/>
        <w:framePr w:w="610" w:h="163" w:wrap="none" w:hAnchor="page" w:x="10259" w:y="2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440 000,00</w:t>
      </w:r>
    </w:p>
    <w:p>
      <w:pPr>
        <w:pStyle w:val="Style2"/>
        <w:keepNext w:val="0"/>
        <w:keepLines w:val="0"/>
        <w:framePr w:w="696" w:h="163" w:wrap="none" w:hAnchor="page" w:x="10173" w:y="33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1 200 000,00</w:t>
      </w:r>
    </w:p>
    <w:p>
      <w:pPr>
        <w:pStyle w:val="Style17"/>
        <w:keepNext w:val="0"/>
        <w:keepLines w:val="0"/>
        <w:framePr w:w="830" w:h="576" w:wrap="none" w:hAnchor="page" w:x="10038" w:y="3649"/>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2 107 500,00</w:t>
      </w:r>
    </w:p>
    <w:p>
      <w:pPr>
        <w:pStyle w:val="Style17"/>
        <w:keepNext w:val="0"/>
        <w:keepLines w:val="0"/>
        <w:framePr w:w="830" w:h="576" w:wrap="none" w:hAnchor="page" w:x="10038" w:y="3649"/>
        <w:widowControl w:val="0"/>
        <w:pBdr>
          <w:bottom w:val="single" w:sz="4" w:space="0" w:color="auto"/>
        </w:pBdr>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442 575,00</w:t>
      </w:r>
    </w:p>
    <w:p>
      <w:pPr>
        <w:pStyle w:val="Style17"/>
        <w:keepNext w:val="0"/>
        <w:keepLines w:val="0"/>
        <w:framePr w:w="830" w:h="576" w:wrap="none" w:hAnchor="page" w:x="10038" w:y="3649"/>
        <w:widowControl w:val="0"/>
        <w:shd w:val="clear" w:color="auto" w:fill="auto"/>
        <w:bidi w:val="0"/>
        <w:spacing w:before="0" w:after="0" w:line="240" w:lineRule="auto"/>
        <w:ind w:left="0" w:right="0" w:firstLine="0"/>
        <w:jc w:val="left"/>
      </w:pPr>
      <w:r>
        <w:rPr>
          <w:color w:val="000000"/>
          <w:spacing w:val="0"/>
          <w:w w:val="100"/>
          <w:position w:val="0"/>
          <w:u w:val="none"/>
          <w:shd w:val="clear" w:color="auto" w:fill="auto"/>
          <w:lang w:val="cs-CZ" w:eastAsia="cs-CZ" w:bidi="cs-CZ"/>
        </w:rPr>
        <w:t>2 550 075,00</w:t>
      </w:r>
    </w:p>
    <w:p>
      <w:pPr>
        <w:pStyle w:val="Style2"/>
        <w:keepNext w:val="0"/>
        <w:keepLines w:val="0"/>
        <w:framePr w:w="4229" w:h="163" w:wrap="none" w:hAnchor="page" w:x="1168" w:y="4849"/>
        <w:widowControl w:val="0"/>
        <w:shd w:val="clear" w:color="auto" w:fill="auto"/>
        <w:tabs>
          <w:tab w:leader="dot" w:pos="3336" w:val="right"/>
          <w:tab w:pos="337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Pardubicích dne</w:t>
        <w:tab/>
        <w:t xml:space="preserve"> V</w:t>
        <w:tab/>
        <w:t>Pardubicích dne</w:t>
      </w:r>
    </w:p>
    <w:p>
      <w:pPr>
        <w:pStyle w:val="Style20"/>
        <w:keepNext w:val="0"/>
        <w:keepLines w:val="0"/>
        <w:framePr w:w="1013" w:h="538" w:wrap="none" w:hAnchor="page" w:x="4398" w:y="546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Ing. Ondřej</w:t>
      </w:r>
    </w:p>
    <w:p>
      <w:pPr>
        <w:pStyle w:val="Style20"/>
        <w:keepNext w:val="0"/>
        <w:keepLines w:val="0"/>
        <w:framePr w:w="1013" w:h="538" w:wrap="none" w:hAnchor="page" w:x="4398" w:y="546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Hlaváč</w:t>
      </w:r>
    </w:p>
    <w:p>
      <w:pPr>
        <w:pStyle w:val="Style14"/>
        <w:keepNext w:val="0"/>
        <w:keepLines w:val="0"/>
        <w:framePr w:w="1008" w:h="634" w:wrap="none" w:hAnchor="page" w:x="5416" w:y="543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Digitálně podepsal Ing. Ondřej Hlaváč Datum: 2024.12.17 09:47:39 +01'00'</w:t>
      </w:r>
    </w:p>
    <w:p>
      <w:pPr>
        <w:pStyle w:val="Style2"/>
        <w:keepNext w:val="0"/>
        <w:keepLines w:val="0"/>
        <w:framePr w:w="917" w:h="341" w:wrap="none" w:hAnchor="page" w:x="1168" w:y="6279"/>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Bc. Jan Nadrchal primátor města</w:t>
      </w:r>
    </w:p>
    <w:p>
      <w:pPr>
        <w:pStyle w:val="Style2"/>
        <w:keepNext w:val="0"/>
        <w:keepLines w:val="0"/>
        <w:framePr w:w="1267" w:h="341" w:wrap="none" w:hAnchor="page" w:x="4417" w:y="6279"/>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Ing. Ondřej Hlaváč předseda představenstva</w:t>
      </w:r>
    </w:p>
    <w:p>
      <w:pPr>
        <w:pStyle w:val="Style20"/>
        <w:keepNext w:val="0"/>
        <w:keepLines w:val="0"/>
        <w:framePr w:w="533" w:h="562" w:wrap="none" w:hAnchor="page" w:x="4480" w:y="68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Mgr.</w:t>
      </w:r>
    </w:p>
    <w:p>
      <w:pPr>
        <w:pStyle w:val="Style20"/>
        <w:keepNext w:val="0"/>
        <w:keepLines w:val="0"/>
        <w:framePr w:w="533" w:h="562" w:wrap="none" w:hAnchor="page" w:x="4480" w:y="68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Klára</w:t>
      </w:r>
    </w:p>
    <w:p>
      <w:pPr>
        <w:pStyle w:val="Style23"/>
        <w:keepNext w:val="0"/>
        <w:keepLines w:val="0"/>
        <w:framePr w:w="902" w:h="422" w:wrap="none" w:hAnchor="page" w:x="5416" w:y="701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Digitálně podepsal Mgr. Klára Sýkorová Datum: 2024.12.17</w:t>
      </w:r>
    </w:p>
    <w:p>
      <w:pPr>
        <w:pStyle w:val="Style23"/>
        <w:keepNext w:val="0"/>
        <w:keepLines w:val="0"/>
        <w:framePr w:w="1690" w:h="326" w:wrap="none" w:hAnchor="page" w:x="4475" w:y="7403"/>
        <w:widowControl w:val="0"/>
        <w:shd w:val="clear" w:color="auto" w:fill="auto"/>
        <w:tabs>
          <w:tab w:pos="826" w:val="left"/>
        </w:tabs>
        <w:bidi w:val="0"/>
        <w:spacing w:before="0" w:after="0" w:line="240" w:lineRule="auto"/>
        <w:ind w:left="0" w:right="0" w:firstLine="0"/>
        <w:jc w:val="left"/>
      </w:pPr>
      <w:r>
        <w:rPr>
          <w:i/>
          <w:iCs/>
          <w:smallCaps/>
          <w:color w:val="000000"/>
          <w:spacing w:val="0"/>
          <w:w w:val="100"/>
          <w:position w:val="0"/>
          <w:sz w:val="8"/>
          <w:szCs w:val="8"/>
          <w:shd w:val="clear" w:color="auto" w:fill="auto"/>
          <w:lang w:val="cs-CZ" w:eastAsia="cs-CZ" w:bidi="cs-CZ"/>
        </w:rPr>
        <w:t>-</w:t>
        <w:tab/>
        <w:t>o</w:t>
      </w:r>
      <w:r>
        <w:rPr>
          <w:color w:val="000000"/>
          <w:spacing w:val="0"/>
          <w:w w:val="100"/>
          <w:position w:val="0"/>
          <w:shd w:val="clear" w:color="auto" w:fill="auto"/>
          <w:lang w:val="cs-CZ" w:eastAsia="cs-CZ" w:bidi="cs-CZ"/>
        </w:rPr>
        <w:t xml:space="preserve"> 07:25:30 +01'00'</w:t>
      </w:r>
    </w:p>
    <w:p>
      <w:pPr>
        <w:pStyle w:val="Style20"/>
        <w:keepNext w:val="0"/>
        <w:keepLines w:val="0"/>
        <w:framePr w:w="1690" w:h="326" w:wrap="none" w:hAnchor="page" w:x="4475" w:y="7403"/>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cs-CZ" w:eastAsia="cs-CZ" w:bidi="cs-CZ"/>
        </w:rPr>
        <w:t>Sýkorová</w:t>
      </w:r>
    </w:p>
    <w:p>
      <w:pPr>
        <w:pStyle w:val="Style2"/>
        <w:keepNext w:val="0"/>
        <w:keepLines w:val="0"/>
        <w:framePr w:w="1718" w:h="341" w:wrap="none" w:hAnchor="page" w:x="4417" w:y="786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Mgr. Klára Sýkorová místopředsedkyně představenstva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pPr>
    </w:p>
    <w:sectPr>
      <w:footnotePr>
        <w:pos w:val="pageBottom"/>
        <w:numFmt w:val="decimal"/>
        <w:numRestart w:val="continuous"/>
      </w:footnotePr>
      <w:pgSz w:w="11900" w:h="16840"/>
      <w:pgMar w:top="1234" w:right="1032" w:bottom="1234" w:left="1162" w:header="806" w:footer="80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12"/>
      <w:szCs w:val="12"/>
      <w:u w:val="none"/>
    </w:rPr>
  </w:style>
  <w:style w:type="character" w:customStyle="1" w:styleId="CharStyle6">
    <w:name w:val="Základní text (6)_"/>
    <w:basedOn w:val="DefaultParagraphFont"/>
    <w:link w:val="Style5"/>
    <w:rPr>
      <w:rFonts w:ascii="Times New Roman" w:eastAsia="Times New Roman" w:hAnsi="Times New Roman" w:cs="Times New Roman"/>
      <w:b w:val="0"/>
      <w:bCs w:val="0"/>
      <w:i w:val="0"/>
      <w:iCs w:val="0"/>
      <w:smallCaps w:val="0"/>
      <w:strike w:val="0"/>
      <w:sz w:val="10"/>
      <w:szCs w:val="10"/>
      <w:u w:val="none"/>
    </w:rPr>
  </w:style>
  <w:style w:type="character" w:customStyle="1" w:styleId="CharStyle8">
    <w:name w:val="Jiné_"/>
    <w:basedOn w:val="DefaultParagraphFont"/>
    <w:link w:val="Style7"/>
    <w:rPr>
      <w:rFonts w:ascii="Times New Roman" w:eastAsia="Times New Roman" w:hAnsi="Times New Roman" w:cs="Times New Roman"/>
      <w:b w:val="0"/>
      <w:bCs w:val="0"/>
      <w:i w:val="0"/>
      <w:iCs w:val="0"/>
      <w:smallCaps w:val="0"/>
      <w:strike w:val="0"/>
      <w:sz w:val="12"/>
      <w:szCs w:val="12"/>
      <w:u w:val="none"/>
    </w:rPr>
  </w:style>
  <w:style w:type="character" w:customStyle="1" w:styleId="CharStyle15">
    <w:name w:val="Základní text (2)_"/>
    <w:basedOn w:val="DefaultParagraphFont"/>
    <w:link w:val="Style14"/>
    <w:rPr>
      <w:rFonts w:ascii="Arial" w:eastAsia="Arial" w:hAnsi="Arial" w:cs="Arial"/>
      <w:b w:val="0"/>
      <w:bCs w:val="0"/>
      <w:i w:val="0"/>
      <w:iCs w:val="0"/>
      <w:smallCaps w:val="0"/>
      <w:strike w:val="0"/>
      <w:sz w:val="11"/>
      <w:szCs w:val="11"/>
      <w:u w:val="none"/>
    </w:rPr>
  </w:style>
  <w:style w:type="character" w:customStyle="1" w:styleId="CharStyle18">
    <w:name w:val="Základní text (5)_"/>
    <w:basedOn w:val="DefaultParagraphFont"/>
    <w:link w:val="Style17"/>
    <w:rPr>
      <w:rFonts w:ascii="Times New Roman" w:eastAsia="Times New Roman" w:hAnsi="Times New Roman" w:cs="Times New Roman"/>
      <w:b w:val="0"/>
      <w:bCs w:val="0"/>
      <w:i w:val="0"/>
      <w:iCs w:val="0"/>
      <w:smallCaps w:val="0"/>
      <w:strike w:val="0"/>
      <w:sz w:val="14"/>
      <w:szCs w:val="14"/>
      <w:u w:val="single"/>
    </w:rPr>
  </w:style>
  <w:style w:type="character" w:customStyle="1" w:styleId="CharStyle21">
    <w:name w:val="Základní text (4)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4">
    <w:name w:val="Základní text (3)_"/>
    <w:basedOn w:val="DefaultParagraphFont"/>
    <w:link w:val="Style23"/>
    <w:rPr>
      <w:rFonts w:ascii="Arial" w:eastAsia="Arial" w:hAnsi="Arial" w:cs="Arial"/>
      <w:b w:val="0"/>
      <w:bCs w:val="0"/>
      <w:i w:val="0"/>
      <w:iCs w:val="0"/>
      <w:smallCaps w:val="0"/>
      <w:strike w:val="0"/>
      <w:sz w:val="9"/>
      <w:szCs w:val="9"/>
      <w:u w:val="none"/>
    </w:rPr>
  </w:style>
  <w:style w:type="paragraph" w:customStyle="1" w:styleId="Style2">
    <w:name w:val="Základní text"/>
    <w:basedOn w:val="Normal"/>
    <w:link w:val="CharStyle3"/>
    <w:pPr>
      <w:widowControl w:val="0"/>
      <w:shd w:val="clear" w:color="auto" w:fill="auto"/>
      <w:spacing w:line="257" w:lineRule="auto"/>
    </w:pPr>
    <w:rPr>
      <w:rFonts w:ascii="Times New Roman" w:eastAsia="Times New Roman" w:hAnsi="Times New Roman" w:cs="Times New Roman"/>
      <w:b w:val="0"/>
      <w:bCs w:val="0"/>
      <w:i w:val="0"/>
      <w:iCs w:val="0"/>
      <w:smallCaps w:val="0"/>
      <w:strike w:val="0"/>
      <w:sz w:val="12"/>
      <w:szCs w:val="12"/>
      <w:u w:val="none"/>
    </w:rPr>
  </w:style>
  <w:style w:type="paragraph" w:customStyle="1" w:styleId="Style5">
    <w:name w:val="Základní text (6)"/>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10"/>
      <w:szCs w:val="10"/>
      <w:u w:val="none"/>
    </w:rPr>
  </w:style>
  <w:style w:type="paragraph" w:customStyle="1" w:styleId="Style7">
    <w:name w:val="Jiné"/>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12"/>
      <w:szCs w:val="12"/>
      <w:u w:val="none"/>
    </w:rPr>
  </w:style>
  <w:style w:type="paragraph" w:customStyle="1" w:styleId="Style14">
    <w:name w:val="Základní text (2)"/>
    <w:basedOn w:val="Normal"/>
    <w:link w:val="CharStyle15"/>
    <w:pPr>
      <w:widowControl w:val="0"/>
      <w:shd w:val="clear" w:color="auto" w:fill="auto"/>
      <w:spacing w:line="286" w:lineRule="auto"/>
    </w:pPr>
    <w:rPr>
      <w:rFonts w:ascii="Arial" w:eastAsia="Arial" w:hAnsi="Arial" w:cs="Arial"/>
      <w:b w:val="0"/>
      <w:bCs w:val="0"/>
      <w:i w:val="0"/>
      <w:iCs w:val="0"/>
      <w:smallCaps w:val="0"/>
      <w:strike w:val="0"/>
      <w:sz w:val="11"/>
      <w:szCs w:val="11"/>
      <w:u w:val="none"/>
    </w:rPr>
  </w:style>
  <w:style w:type="paragraph" w:customStyle="1" w:styleId="Style17">
    <w:name w:val="Základní text (5)"/>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14"/>
      <w:szCs w:val="14"/>
      <w:u w:val="single"/>
    </w:rPr>
  </w:style>
  <w:style w:type="paragraph" w:customStyle="1" w:styleId="Style20">
    <w:name w:val="Základní text (4)"/>
    <w:basedOn w:val="Normal"/>
    <w:link w:val="CharStyle21"/>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23">
    <w:name w:val="Základní text (3)"/>
    <w:basedOn w:val="Normal"/>
    <w:link w:val="CharStyle24"/>
    <w:pPr>
      <w:widowControl w:val="0"/>
      <w:shd w:val="clear" w:color="auto" w:fill="auto"/>
      <w:spacing w:line="295" w:lineRule="auto"/>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1.1 SSZ Příloha č.1 smlouvy 2025</dc:title>
  <dc:subject/>
  <dc:creator>buresp</dc:creator>
  <cp:keywords/>
</cp:coreProperties>
</file>