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69" w:rsidRDefault="00AD118D">
      <w:pPr>
        <w:spacing w:before="92" w:line="425" w:lineRule="exact"/>
        <w:ind w:left="1306" w:right="105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5230700009</w:t>
      </w:r>
    </w:p>
    <w:p w:rsidR="00344469" w:rsidRDefault="00AD118D">
      <w:pPr>
        <w:spacing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44469" w:rsidRDefault="00AD118D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344469" w:rsidRDefault="00344469">
      <w:pPr>
        <w:pStyle w:val="Zkladntext"/>
        <w:spacing w:before="1"/>
        <w:ind w:left="0"/>
        <w:rPr>
          <w:sz w:val="40"/>
        </w:rPr>
      </w:pPr>
    </w:p>
    <w:p w:rsidR="00344469" w:rsidRDefault="00AD118D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44469" w:rsidRDefault="00344469">
      <w:pPr>
        <w:pStyle w:val="Zkladntext"/>
        <w:spacing w:before="11"/>
        <w:ind w:left="0"/>
        <w:rPr>
          <w:sz w:val="19"/>
        </w:rPr>
      </w:pPr>
    </w:p>
    <w:p w:rsidR="00344469" w:rsidRDefault="00AD118D">
      <w:pPr>
        <w:pStyle w:val="Nadpis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44469" w:rsidRDefault="00AD118D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344469" w:rsidRDefault="00AD118D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44469" w:rsidRDefault="00AD118D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344469" w:rsidRDefault="00AD118D">
      <w:pPr>
        <w:pStyle w:val="Zkladntext"/>
        <w:tabs>
          <w:tab w:val="left" w:pos="3262"/>
        </w:tabs>
        <w:spacing w:before="1"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344469" w:rsidRDefault="00AD118D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44469" w:rsidRDefault="00AD118D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344469" w:rsidRDefault="00AD118D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44469" w:rsidRDefault="00AD118D">
      <w:pPr>
        <w:pStyle w:val="Nadpis2"/>
        <w:spacing w:line="265" w:lineRule="exact"/>
        <w:jc w:val="left"/>
      </w:pPr>
      <w:r>
        <w:t>město</w:t>
      </w:r>
      <w:r>
        <w:rPr>
          <w:spacing w:val="-5"/>
        </w:rPr>
        <w:t xml:space="preserve"> </w:t>
      </w:r>
      <w:r>
        <w:t>Židlochovice</w:t>
      </w:r>
    </w:p>
    <w:p w:rsidR="00344469" w:rsidRDefault="00AD118D">
      <w:pPr>
        <w:pStyle w:val="Zkladntext"/>
        <w:tabs>
          <w:tab w:val="left" w:pos="3262"/>
        </w:tabs>
        <w:spacing w:before="1"/>
        <w:ind w:left="382" w:right="93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Židlochovice, Masarykova 100, 667 01 Židlochovice</w:t>
      </w:r>
      <w:r>
        <w:rPr>
          <w:spacing w:val="-53"/>
        </w:rPr>
        <w:t xml:space="preserve"> </w:t>
      </w:r>
      <w:r>
        <w:t>IČO:</w:t>
      </w:r>
      <w:r>
        <w:tab/>
        <w:t>00282979</w:t>
      </w:r>
    </w:p>
    <w:p w:rsidR="00344469" w:rsidRDefault="00AD118D">
      <w:pPr>
        <w:pStyle w:val="Zkladntext"/>
        <w:tabs>
          <w:tab w:val="left" w:pos="3262"/>
        </w:tabs>
        <w:ind w:left="38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Janem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starostou</w:t>
      </w:r>
    </w:p>
    <w:p w:rsidR="00344469" w:rsidRDefault="00AD118D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44469" w:rsidRDefault="00AD118D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94-5514641/0710</w:t>
      </w:r>
    </w:p>
    <w:p w:rsidR="00344469" w:rsidRDefault="00AD118D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44469" w:rsidRDefault="00344469">
      <w:pPr>
        <w:pStyle w:val="Zkladntext"/>
        <w:spacing w:before="12"/>
        <w:ind w:left="0"/>
        <w:rPr>
          <w:sz w:val="19"/>
        </w:rPr>
      </w:pPr>
    </w:p>
    <w:p w:rsidR="00344469" w:rsidRDefault="00AD118D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44469" w:rsidRDefault="00344469">
      <w:pPr>
        <w:pStyle w:val="Zkladntext"/>
        <w:spacing w:before="1"/>
        <w:ind w:left="0"/>
        <w:rPr>
          <w:sz w:val="36"/>
        </w:rPr>
      </w:pPr>
    </w:p>
    <w:p w:rsidR="00344469" w:rsidRDefault="00AD118D">
      <w:pPr>
        <w:pStyle w:val="Nadpis1"/>
        <w:ind w:left="1306" w:right="1058"/>
      </w:pPr>
      <w:r>
        <w:t>I.</w:t>
      </w:r>
    </w:p>
    <w:p w:rsidR="00344469" w:rsidRDefault="00AD118D">
      <w:pPr>
        <w:pStyle w:val="Nadpis2"/>
        <w:spacing w:before="1"/>
        <w:ind w:left="1304" w:right="1059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44469" w:rsidRDefault="00344469">
      <w:pPr>
        <w:pStyle w:val="Zkladntext"/>
        <w:ind w:left="0"/>
        <w:rPr>
          <w:b/>
          <w:sz w:val="18"/>
        </w:rPr>
      </w:pPr>
    </w:p>
    <w:p w:rsidR="00344469" w:rsidRDefault="00AD118D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44469" w:rsidRDefault="00AD118D">
      <w:pPr>
        <w:pStyle w:val="Zkladntext"/>
        <w:ind w:right="130"/>
        <w:jc w:val="both"/>
      </w:pPr>
      <w:r>
        <w:t>„Smlouva“) se uzavírá na základě Rozhodnutí ministra životního prostředí č. 5230700009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19. 11. 2024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 prostředí České republiky (dále jen „Směrnice MŽP“) a Směrnicí 9/2023 o realizaci Národního</w:t>
      </w:r>
      <w:r>
        <w:rPr>
          <w:spacing w:val="1"/>
        </w:rPr>
        <w:t xml:space="preserve"> </w:t>
      </w:r>
      <w:r>
        <w:t>plánu</w:t>
      </w:r>
      <w:r>
        <w:rPr>
          <w:spacing w:val="-2"/>
        </w:rPr>
        <w:t xml:space="preserve"> </w:t>
      </w:r>
      <w:r>
        <w:t>obnovy</w:t>
      </w:r>
      <w:r>
        <w:t xml:space="preserve">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</w:t>
      </w:r>
      <w:r>
        <w:rPr>
          <w:spacing w:val="1"/>
        </w:rPr>
        <w:t xml:space="preserve"> </w:t>
      </w:r>
      <w:r>
        <w:t>NPO“,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 podání</w:t>
      </w:r>
      <w:r>
        <w:rPr>
          <w:spacing w:val="-2"/>
        </w:rPr>
        <w:t xml:space="preserve"> </w:t>
      </w:r>
      <w:r>
        <w:t>žádosti.</w:t>
      </w:r>
    </w:p>
    <w:p w:rsidR="00344469" w:rsidRDefault="00AD118D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344469" w:rsidRDefault="00AD118D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Příjemce podpory potvrzuje, že se seznámil se Směrni</w:t>
      </w:r>
      <w:r>
        <w:rPr>
          <w:sz w:val="20"/>
        </w:rPr>
        <w:t>cí MŽP, Směrnicí MŽP NPO (včetně příloh těchto</w:t>
      </w:r>
      <w:r>
        <w:rPr>
          <w:spacing w:val="1"/>
          <w:sz w:val="20"/>
        </w:rPr>
        <w:t xml:space="preserve"> </w:t>
      </w:r>
      <w:r>
        <w:rPr>
          <w:sz w:val="20"/>
        </w:rPr>
        <w:t>směrnic) a Výzvou č. 7/2023 k předkládání žádostí o poskytnutí podpory v rámci Národního programu</w:t>
      </w:r>
      <w:r>
        <w:rPr>
          <w:spacing w:val="1"/>
          <w:sz w:val="20"/>
        </w:rPr>
        <w:t xml:space="preserve"> </w:t>
      </w:r>
      <w:r>
        <w:rPr>
          <w:sz w:val="20"/>
        </w:rPr>
        <w:t>Životní</w:t>
      </w:r>
      <w:r>
        <w:rPr>
          <w:spacing w:val="7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10"/>
          <w:sz w:val="20"/>
        </w:rPr>
        <w:t xml:space="preserve"> </w:t>
      </w:r>
      <w:r>
        <w:rPr>
          <w:sz w:val="20"/>
        </w:rPr>
        <w:t>(dále</w:t>
      </w:r>
      <w:r>
        <w:rPr>
          <w:spacing w:val="10"/>
          <w:sz w:val="20"/>
        </w:rPr>
        <w:t xml:space="preserve"> </w:t>
      </w:r>
      <w:r>
        <w:rPr>
          <w:sz w:val="20"/>
        </w:rPr>
        <w:t>jen</w:t>
      </w:r>
      <w:r>
        <w:rPr>
          <w:spacing w:val="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8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</w:p>
    <w:p w:rsidR="00344469" w:rsidRDefault="00344469">
      <w:pPr>
        <w:jc w:val="both"/>
        <w:rPr>
          <w:sz w:val="20"/>
        </w:rPr>
        <w:sectPr w:rsidR="00344469">
          <w:headerReference w:type="default" r:id="rId7"/>
          <w:footerReference w:type="default" r:id="rId8"/>
          <w:type w:val="continuous"/>
          <w:pgSz w:w="12240" w:h="15840"/>
          <w:pgMar w:top="1400" w:right="1000" w:bottom="1660" w:left="1320" w:header="708" w:footer="1460" w:gutter="0"/>
          <w:pgNumType w:start="1"/>
          <w:cols w:space="708"/>
        </w:sectPr>
      </w:pPr>
    </w:p>
    <w:p w:rsidR="00344469" w:rsidRDefault="00AD118D">
      <w:pPr>
        <w:pStyle w:val="Zkladntext"/>
        <w:spacing w:before="91"/>
        <w:jc w:val="both"/>
      </w:pPr>
      <w:r>
        <w:lastRenderedPageBreak/>
        <w:t>MŽP,</w:t>
      </w:r>
      <w:r>
        <w:rPr>
          <w:spacing w:val="-3"/>
        </w:rPr>
        <w:t xml:space="preserve"> </w:t>
      </w:r>
      <w:r>
        <w:t>Směrnicí</w:t>
      </w:r>
      <w:r>
        <w:rPr>
          <w:spacing w:val="-2"/>
        </w:rPr>
        <w:t xml:space="preserve"> </w:t>
      </w:r>
      <w:r>
        <w:t>MŽP</w:t>
      </w:r>
      <w:r>
        <w:rPr>
          <w:spacing w:val="-1"/>
        </w:rPr>
        <w:t xml:space="preserve"> </w:t>
      </w:r>
      <w:r>
        <w:t>NPO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Výzvou.</w:t>
      </w:r>
    </w:p>
    <w:p w:rsidR="00344469" w:rsidRDefault="00AD118D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44469" w:rsidRDefault="00AD118D">
      <w:pPr>
        <w:pStyle w:val="Nadpis2"/>
        <w:spacing w:before="120"/>
        <w:ind w:left="2638"/>
        <w:jc w:val="both"/>
      </w:pPr>
      <w:r>
        <w:t>„Založení</w:t>
      </w:r>
      <w:r>
        <w:rPr>
          <w:spacing w:val="-4"/>
        </w:rPr>
        <w:t xml:space="preserve"> </w:t>
      </w:r>
      <w:r>
        <w:t>energetického</w:t>
      </w:r>
      <w:r>
        <w:rPr>
          <w:spacing w:val="-4"/>
        </w:rPr>
        <w:t xml:space="preserve"> </w:t>
      </w:r>
      <w:r>
        <w:t>společenství,</w:t>
      </w:r>
      <w:r>
        <w:rPr>
          <w:spacing w:val="-4"/>
        </w:rPr>
        <w:t xml:space="preserve"> </w:t>
      </w:r>
      <w:r>
        <w:t>Židlochovice“</w:t>
      </w:r>
    </w:p>
    <w:p w:rsidR="00344469" w:rsidRDefault="00AD118D">
      <w:pPr>
        <w:pStyle w:val="Zkladntext"/>
        <w:spacing w:before="120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344469" w:rsidRDefault="00AD118D">
      <w:pPr>
        <w:pStyle w:val="Zkladntext"/>
        <w:spacing w:before="121"/>
        <w:ind w:left="809" w:right="129"/>
        <w:jc w:val="both"/>
      </w:pPr>
      <w:r>
        <w:t>Podpora je poskytována v souladu s "Nařízením Komise (EU) č. 2023/2831 ze dne 13. prosince 2023 o</w:t>
      </w:r>
      <w:r>
        <w:rPr>
          <w:spacing w:val="1"/>
        </w:rPr>
        <w:t xml:space="preserve"> </w:t>
      </w:r>
      <w:r>
        <w:t>použití článků 107 a 108 Smlouvy o fungování Evropské unie na podporu de minimis", zveřejněným v</w:t>
      </w:r>
      <w:r>
        <w:rPr>
          <w:spacing w:val="1"/>
        </w:rPr>
        <w:t xml:space="preserve"> </w:t>
      </w:r>
      <w:r>
        <w:t>Úředním věstníku EU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12</w:t>
      </w:r>
      <w:r>
        <w:t>.</w:t>
      </w:r>
      <w:r>
        <w:rPr>
          <w:spacing w:val="-1"/>
        </w:rPr>
        <w:t xml:space="preserve"> </w:t>
      </w:r>
      <w:r>
        <w:t>2023.</w:t>
      </w:r>
    </w:p>
    <w:p w:rsidR="00344469" w:rsidRDefault="00344469">
      <w:pPr>
        <w:pStyle w:val="Zkladntext"/>
        <w:ind w:left="0"/>
        <w:rPr>
          <w:sz w:val="26"/>
        </w:rPr>
      </w:pPr>
    </w:p>
    <w:p w:rsidR="00344469" w:rsidRDefault="00344469">
      <w:pPr>
        <w:pStyle w:val="Zkladntext"/>
        <w:ind w:left="0"/>
        <w:rPr>
          <w:sz w:val="26"/>
        </w:rPr>
      </w:pPr>
    </w:p>
    <w:p w:rsidR="00344469" w:rsidRDefault="00AD118D">
      <w:pPr>
        <w:pStyle w:val="Nadpis1"/>
        <w:spacing w:before="173"/>
        <w:ind w:left="1306" w:right="1058"/>
      </w:pPr>
      <w:r>
        <w:t>II.</w:t>
      </w:r>
    </w:p>
    <w:p w:rsidR="00344469" w:rsidRDefault="00AD118D">
      <w:pPr>
        <w:pStyle w:val="Nadpis2"/>
        <w:spacing w:before="1"/>
        <w:ind w:left="1304" w:right="105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44469" w:rsidRDefault="00344469">
      <w:pPr>
        <w:pStyle w:val="Zkladntext"/>
        <w:spacing w:before="1"/>
        <w:ind w:left="0"/>
        <w:rPr>
          <w:b/>
          <w:sz w:val="18"/>
        </w:rPr>
      </w:pPr>
    </w:p>
    <w:p w:rsidR="00344469" w:rsidRDefault="00AD118D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344469" w:rsidRDefault="00AD118D">
      <w:pPr>
        <w:pStyle w:val="Zkladntext"/>
        <w:spacing w:before="1"/>
      </w:pPr>
      <w:r>
        <w:t>tři</w:t>
      </w:r>
      <w:r>
        <w:rPr>
          <w:spacing w:val="-4"/>
        </w:rPr>
        <w:t xml:space="preserve"> </w:t>
      </w:r>
      <w:r>
        <w:t>miliony</w:t>
      </w:r>
      <w:r>
        <w:rPr>
          <w:spacing w:val="-2"/>
        </w:rPr>
        <w:t xml:space="preserve"> </w:t>
      </w:r>
      <w:r>
        <w:t>korun</w:t>
      </w:r>
      <w:r>
        <w:rPr>
          <w:spacing w:val="1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), která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vyplacena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dvou</w:t>
      </w:r>
      <w:r>
        <w:rPr>
          <w:spacing w:val="-2"/>
        </w:rPr>
        <w:t xml:space="preserve"> </w:t>
      </w:r>
      <w:r>
        <w:t>částech:</w:t>
      </w:r>
    </w:p>
    <w:p w:rsidR="00344469" w:rsidRDefault="00AD118D">
      <w:pPr>
        <w:pStyle w:val="Odstavecseseznamem"/>
        <w:numPr>
          <w:ilvl w:val="1"/>
          <w:numId w:val="9"/>
        </w:numPr>
        <w:tabs>
          <w:tab w:val="left" w:pos="1102"/>
        </w:tabs>
        <w:spacing w:before="122" w:line="237" w:lineRule="auto"/>
        <w:ind w:left="1101" w:right="138"/>
        <w:rPr>
          <w:sz w:val="20"/>
        </w:rPr>
      </w:pPr>
      <w:r>
        <w:rPr>
          <w:sz w:val="20"/>
        </w:rPr>
        <w:t>jednorázová</w:t>
      </w:r>
      <w:r>
        <w:rPr>
          <w:spacing w:val="19"/>
          <w:sz w:val="20"/>
        </w:rPr>
        <w:t xml:space="preserve"> </w:t>
      </w:r>
      <w:r>
        <w:rPr>
          <w:sz w:val="20"/>
        </w:rPr>
        <w:t>záloha</w:t>
      </w:r>
      <w:r>
        <w:rPr>
          <w:spacing w:val="18"/>
          <w:sz w:val="20"/>
        </w:rPr>
        <w:t xml:space="preserve"> </w:t>
      </w:r>
      <w:r>
        <w:rPr>
          <w:sz w:val="20"/>
        </w:rPr>
        <w:t>(ex</w:t>
      </w:r>
      <w:r>
        <w:rPr>
          <w:spacing w:val="19"/>
          <w:sz w:val="20"/>
        </w:rPr>
        <w:t xml:space="preserve"> </w:t>
      </w:r>
      <w:r>
        <w:rPr>
          <w:sz w:val="20"/>
        </w:rPr>
        <w:t>ante</w:t>
      </w:r>
      <w:r>
        <w:rPr>
          <w:spacing w:val="19"/>
          <w:sz w:val="20"/>
        </w:rPr>
        <w:t xml:space="preserve"> </w:t>
      </w:r>
      <w:r>
        <w:rPr>
          <w:sz w:val="20"/>
        </w:rPr>
        <w:t>platba</w:t>
      </w:r>
      <w:r>
        <w:rPr>
          <w:spacing w:val="19"/>
          <w:sz w:val="20"/>
        </w:rPr>
        <w:t xml:space="preserve"> </w:t>
      </w:r>
      <w:r>
        <w:rPr>
          <w:sz w:val="20"/>
        </w:rPr>
        <w:t>bez</w:t>
      </w:r>
      <w:r>
        <w:rPr>
          <w:spacing w:val="19"/>
          <w:sz w:val="20"/>
        </w:rPr>
        <w:t xml:space="preserve"> </w:t>
      </w:r>
      <w:r>
        <w:rPr>
          <w:sz w:val="20"/>
        </w:rPr>
        <w:t>nutnosti</w:t>
      </w:r>
      <w:r>
        <w:rPr>
          <w:spacing w:val="19"/>
          <w:sz w:val="20"/>
        </w:rPr>
        <w:t xml:space="preserve"> </w:t>
      </w:r>
      <w:r>
        <w:rPr>
          <w:sz w:val="20"/>
        </w:rPr>
        <w:t>podávat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platbu)</w:t>
      </w:r>
      <w:r>
        <w:rPr>
          <w:spacing w:val="19"/>
          <w:sz w:val="20"/>
        </w:rPr>
        <w:t xml:space="preserve"> </w:t>
      </w:r>
      <w:r>
        <w:rPr>
          <w:sz w:val="20"/>
        </w:rPr>
        <w:t>proplácená</w:t>
      </w:r>
      <w:r>
        <w:rPr>
          <w:spacing w:val="19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nabytí</w:t>
      </w:r>
      <w:r>
        <w:rPr>
          <w:spacing w:val="-5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60 %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:rsidR="00344469" w:rsidRDefault="00AD118D">
      <w:pPr>
        <w:pStyle w:val="Odstavecseseznamem"/>
        <w:numPr>
          <w:ilvl w:val="1"/>
          <w:numId w:val="9"/>
        </w:numPr>
        <w:tabs>
          <w:tab w:val="left" w:pos="1102"/>
        </w:tabs>
        <w:spacing w:before="122"/>
        <w:ind w:left="1101" w:right="128"/>
        <w:jc w:val="right"/>
        <w:rPr>
          <w:sz w:val="20"/>
        </w:rPr>
      </w:pPr>
      <w:r>
        <w:rPr>
          <w:sz w:val="20"/>
        </w:rPr>
        <w:t>následné</w:t>
      </w:r>
      <w:r>
        <w:rPr>
          <w:spacing w:val="37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37"/>
          <w:sz w:val="20"/>
        </w:rPr>
        <w:t xml:space="preserve"> </w:t>
      </w:r>
      <w:r>
        <w:rPr>
          <w:sz w:val="20"/>
        </w:rPr>
        <w:t>(ex</w:t>
      </w:r>
      <w:r>
        <w:rPr>
          <w:spacing w:val="39"/>
          <w:sz w:val="20"/>
        </w:rPr>
        <w:t xml:space="preserve"> </w:t>
      </w:r>
      <w:r>
        <w:rPr>
          <w:sz w:val="20"/>
        </w:rPr>
        <w:t>post</w:t>
      </w:r>
      <w:r>
        <w:rPr>
          <w:spacing w:val="37"/>
          <w:sz w:val="20"/>
        </w:rPr>
        <w:t xml:space="preserve"> </w:t>
      </w:r>
      <w:r>
        <w:rPr>
          <w:sz w:val="20"/>
        </w:rPr>
        <w:t>platba,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37"/>
          <w:sz w:val="20"/>
        </w:rPr>
        <w:t xml:space="preserve"> </w:t>
      </w:r>
      <w:r>
        <w:rPr>
          <w:sz w:val="20"/>
        </w:rPr>
        <w:t>doplatek)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proplaceno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základě</w:t>
      </w:r>
      <w:r>
        <w:rPr>
          <w:spacing w:val="37"/>
          <w:sz w:val="20"/>
        </w:rPr>
        <w:t xml:space="preserve"> </w:t>
      </w:r>
      <w:r>
        <w:rPr>
          <w:sz w:val="20"/>
        </w:rPr>
        <w:t>doložení</w:t>
      </w:r>
      <w:r>
        <w:rPr>
          <w:spacing w:val="38"/>
          <w:sz w:val="20"/>
        </w:rPr>
        <w:t xml:space="preserve"> </w:t>
      </w:r>
      <w:r>
        <w:rPr>
          <w:sz w:val="20"/>
        </w:rPr>
        <w:t>všech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>relevantních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podkladů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části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2.1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Výzvy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2"/>
          <w:sz w:val="20"/>
        </w:rPr>
        <w:t xml:space="preserve"> </w:t>
      </w:r>
      <w:r>
        <w:rPr>
          <w:sz w:val="20"/>
        </w:rPr>
        <w:t>aktivit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části</w:t>
      </w:r>
      <w:r>
        <w:rPr>
          <w:spacing w:val="-12"/>
          <w:sz w:val="20"/>
        </w:rPr>
        <w:t xml:space="preserve"> </w:t>
      </w:r>
      <w:r>
        <w:rPr>
          <w:sz w:val="20"/>
        </w:rPr>
        <w:t>2.2</w:t>
      </w:r>
      <w:r>
        <w:rPr>
          <w:spacing w:val="-12"/>
          <w:sz w:val="20"/>
        </w:rPr>
        <w:t xml:space="preserve"> </w:t>
      </w:r>
      <w:r>
        <w:rPr>
          <w:sz w:val="20"/>
        </w:rPr>
        <w:t>Výzvy.</w:t>
      </w:r>
    </w:p>
    <w:p w:rsidR="00344469" w:rsidRDefault="00AD118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6" w:hanging="666"/>
        <w:jc w:val="right"/>
        <w:rPr>
          <w:sz w:val="20"/>
        </w:rPr>
      </w:pPr>
      <w:r>
        <w:rPr>
          <w:sz w:val="20"/>
        </w:rPr>
        <w:t>Podpora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9"/>
          <w:sz w:val="20"/>
        </w:rPr>
        <w:t xml:space="preserve"> </w:t>
      </w:r>
      <w:r>
        <w:rPr>
          <w:sz w:val="20"/>
        </w:rPr>
        <w:t>formou</w:t>
      </w:r>
      <w:r>
        <w:rPr>
          <w:spacing w:val="17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typu</w:t>
      </w:r>
      <w:r>
        <w:rPr>
          <w:spacing w:val="18"/>
          <w:sz w:val="20"/>
        </w:rPr>
        <w:t xml:space="preserve"> </w:t>
      </w:r>
      <w:r>
        <w:rPr>
          <w:sz w:val="20"/>
        </w:rPr>
        <w:t>energetického</w:t>
      </w:r>
      <w:r>
        <w:rPr>
          <w:spacing w:val="19"/>
          <w:sz w:val="20"/>
        </w:rPr>
        <w:t xml:space="preserve"> </w:t>
      </w:r>
      <w:r>
        <w:rPr>
          <w:sz w:val="20"/>
        </w:rPr>
        <w:t>společenství</w:t>
      </w:r>
      <w:r>
        <w:rPr>
          <w:spacing w:val="18"/>
          <w:sz w:val="20"/>
        </w:rPr>
        <w:t xml:space="preserve"> </w:t>
      </w:r>
      <w:r>
        <w:rPr>
          <w:sz w:val="20"/>
        </w:rPr>
        <w:t>tak,</w:t>
      </w:r>
      <w:r>
        <w:rPr>
          <w:spacing w:val="17"/>
          <w:sz w:val="20"/>
        </w:rPr>
        <w:t xml:space="preserve"> </w:t>
      </w:r>
      <w:r>
        <w:rPr>
          <w:sz w:val="20"/>
        </w:rPr>
        <w:t>jak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definováno</w:t>
      </w:r>
    </w:p>
    <w:p w:rsidR="00344469" w:rsidRDefault="00AD118D">
      <w:pPr>
        <w:pStyle w:val="Zkladntext"/>
        <w:spacing w:before="1"/>
      </w:pPr>
      <w:r>
        <w:t>v</w:t>
      </w:r>
      <w:r>
        <w:rPr>
          <w:spacing w:val="-1"/>
        </w:rPr>
        <w:t xml:space="preserve"> </w:t>
      </w:r>
      <w:r>
        <w:t>bodě</w:t>
      </w:r>
      <w:r>
        <w:rPr>
          <w:spacing w:val="-2"/>
        </w:rPr>
        <w:t xml:space="preserve"> </w:t>
      </w:r>
      <w:r>
        <w:t>4 Výzvy.</w:t>
      </w:r>
    </w:p>
    <w:p w:rsidR="00344469" w:rsidRDefault="00AD118D">
      <w:pPr>
        <w:pStyle w:val="Odstavecseseznamem"/>
        <w:numPr>
          <w:ilvl w:val="0"/>
          <w:numId w:val="9"/>
        </w:numPr>
        <w:tabs>
          <w:tab w:val="left" w:pos="666"/>
        </w:tabs>
        <w:spacing w:before="122" w:line="237" w:lineRule="auto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v 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ledna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344469" w:rsidRDefault="00AD118D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w w:val="95"/>
          <w:sz w:val="20"/>
        </w:rPr>
        <w:t>Při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14</w:t>
      </w:r>
    </w:p>
    <w:p w:rsidR="00344469" w:rsidRDefault="00AD118D">
      <w:pPr>
        <w:pStyle w:val="Zkladntext"/>
        <w:spacing w:before="1"/>
      </w:pPr>
      <w:r>
        <w:t>Výzvy.</w:t>
      </w:r>
    </w:p>
    <w:p w:rsidR="00344469" w:rsidRDefault="00344469">
      <w:pPr>
        <w:pStyle w:val="Zkladntext"/>
        <w:spacing w:before="1"/>
        <w:ind w:left="0"/>
        <w:rPr>
          <w:sz w:val="36"/>
        </w:rPr>
      </w:pPr>
    </w:p>
    <w:p w:rsidR="00344469" w:rsidRDefault="00AD118D">
      <w:pPr>
        <w:pStyle w:val="Nadpis1"/>
        <w:ind w:left="1303"/>
      </w:pPr>
      <w:r>
        <w:t>III.</w:t>
      </w:r>
    </w:p>
    <w:p w:rsidR="00344469" w:rsidRDefault="00AD118D">
      <w:pPr>
        <w:pStyle w:val="Nadpis2"/>
        <w:spacing w:before="1"/>
        <w:ind w:left="1303" w:right="1059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44469" w:rsidRDefault="00344469">
      <w:pPr>
        <w:pStyle w:val="Zkladntext"/>
        <w:ind w:left="0"/>
        <w:rPr>
          <w:b/>
          <w:sz w:val="18"/>
        </w:rPr>
      </w:pP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1"/>
          <w:tab w:val="left" w:pos="1102"/>
        </w:tabs>
        <w:spacing w:before="1"/>
        <w:ind w:left="1101" w:right="138"/>
        <w:rPr>
          <w:sz w:val="20"/>
        </w:rPr>
      </w:pPr>
      <w:r>
        <w:rPr>
          <w:sz w:val="20"/>
        </w:rPr>
        <w:t>Podpora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1"/>
          <w:sz w:val="20"/>
        </w:rPr>
        <w:t xml:space="preserve"> </w:t>
      </w:r>
      <w:r>
        <w:rPr>
          <w:sz w:val="20"/>
        </w:rPr>
        <w:t>účtu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1"/>
          <w:tab w:val="left" w:pos="1102"/>
        </w:tabs>
        <w:spacing w:before="118"/>
        <w:ind w:hanging="361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postupem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částí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3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1).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1"/>
          <w:tab w:val="left" w:pos="1102"/>
        </w:tabs>
        <w:spacing w:before="120"/>
        <w:ind w:hanging="361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344469" w:rsidRDefault="00AD118D">
      <w:pPr>
        <w:pStyle w:val="Zkladntext"/>
        <w:spacing w:before="121"/>
        <w:ind w:left="1101" w:right="129"/>
        <w:jc w:val="both"/>
      </w:pPr>
      <w:r>
        <w:t>Zálohovou</w:t>
      </w:r>
      <w:r>
        <w:rPr>
          <w:spacing w:val="-8"/>
        </w:rPr>
        <w:t xml:space="preserve"> </w:t>
      </w:r>
      <w:r>
        <w:t>(ex-ante)</w:t>
      </w:r>
      <w:r>
        <w:rPr>
          <w:spacing w:val="-7"/>
        </w:rPr>
        <w:t xml:space="preserve"> </w:t>
      </w:r>
      <w:r>
        <w:t>platbu</w:t>
      </w:r>
      <w:r>
        <w:rPr>
          <w:spacing w:val="-5"/>
        </w:rPr>
        <w:t xml:space="preserve"> </w:t>
      </w:r>
      <w:r>
        <w:t>Fond</w:t>
      </w:r>
      <w:r>
        <w:rPr>
          <w:spacing w:val="-7"/>
        </w:rPr>
        <w:t xml:space="preserve"> </w:t>
      </w:r>
      <w:r>
        <w:t>příjemci</w:t>
      </w:r>
      <w:r>
        <w:rPr>
          <w:spacing w:val="-7"/>
        </w:rPr>
        <w:t xml:space="preserve"> </w:t>
      </w:r>
      <w:r>
        <w:t>poskytne</w:t>
      </w:r>
      <w:r>
        <w:rPr>
          <w:spacing w:val="-9"/>
        </w:rPr>
        <w:t xml:space="preserve"> </w:t>
      </w:r>
      <w:r>
        <w:t>formou</w:t>
      </w:r>
      <w:r>
        <w:rPr>
          <w:spacing w:val="-8"/>
        </w:rPr>
        <w:t xml:space="preserve"> </w:t>
      </w:r>
      <w:r>
        <w:t>převodu</w:t>
      </w:r>
      <w:r>
        <w:rPr>
          <w:spacing w:val="-6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žádosti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platbu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poměru</w:t>
      </w:r>
      <w:r>
        <w:rPr>
          <w:spacing w:val="-52"/>
        </w:rPr>
        <w:t xml:space="preserve"> </w:t>
      </w:r>
      <w:r>
        <w:t>60 % z celkové dotace, a to ve výši 1 800 000,00Kč (tj. 60 % z celkové dotace). Následný doplatek</w:t>
      </w:r>
      <w:r>
        <w:rPr>
          <w:spacing w:val="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proplacen po ukončení</w:t>
      </w:r>
      <w:r>
        <w:rPr>
          <w:spacing w:val="-1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souvisejících aktivit</w:t>
      </w:r>
      <w:r>
        <w:rPr>
          <w:spacing w:val="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2.2 Výzvy.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2"/>
        </w:tabs>
        <w:spacing w:before="122"/>
        <w:ind w:left="1101" w:right="129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ohroženo. To platí i pro případ, že příjemce podpory v průběhu </w:t>
      </w:r>
      <w:r>
        <w:rPr>
          <w:sz w:val="20"/>
        </w:rPr>
        <w:t>realizace akce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plně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44469" w:rsidRDefault="00344469">
      <w:pPr>
        <w:jc w:val="both"/>
        <w:rPr>
          <w:sz w:val="20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2"/>
        </w:tabs>
        <w:spacing w:before="89"/>
        <w:ind w:left="1101" w:right="136"/>
        <w:jc w:val="both"/>
        <w:rPr>
          <w:sz w:val="20"/>
        </w:rPr>
      </w:pPr>
      <w:r>
        <w:rPr>
          <w:sz w:val="20"/>
        </w:rPr>
        <w:lastRenderedPageBreak/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 případě Fond příjemci po</w:t>
      </w:r>
      <w:r>
        <w:rPr>
          <w:sz w:val="20"/>
        </w:rPr>
        <w:t>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2"/>
        </w:tabs>
        <w:ind w:left="1101"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uhradit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2"/>
        </w:tabs>
        <w:ind w:left="1101" w:right="136"/>
        <w:jc w:val="both"/>
        <w:rPr>
          <w:sz w:val="20"/>
        </w:rPr>
      </w:pPr>
      <w:r>
        <w:rPr>
          <w:spacing w:val="-1"/>
          <w:sz w:val="20"/>
        </w:rPr>
        <w:t>Odlišnou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zdrojů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znamenalo</w:t>
      </w:r>
      <w:r>
        <w:rPr>
          <w:spacing w:val="-7"/>
          <w:sz w:val="20"/>
        </w:rPr>
        <w:t xml:space="preserve"> </w:t>
      </w:r>
      <w:r>
        <w:rPr>
          <w:sz w:val="20"/>
        </w:rPr>
        <w:t>nižší</w:t>
      </w:r>
      <w:r>
        <w:rPr>
          <w:spacing w:val="-13"/>
          <w:sz w:val="20"/>
        </w:rPr>
        <w:t xml:space="preserve"> </w:t>
      </w:r>
      <w:r>
        <w:rPr>
          <w:sz w:val="20"/>
        </w:rPr>
        <w:t>podíl</w:t>
      </w:r>
      <w:r>
        <w:rPr>
          <w:spacing w:val="-9"/>
          <w:sz w:val="20"/>
        </w:rPr>
        <w:t xml:space="preserve"> </w:t>
      </w:r>
      <w:r>
        <w:rPr>
          <w:sz w:val="20"/>
        </w:rPr>
        <w:t>těchto</w:t>
      </w:r>
      <w:r>
        <w:rPr>
          <w:spacing w:val="-53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vážných</w:t>
      </w:r>
      <w:r>
        <w:rPr>
          <w:spacing w:val="-1"/>
          <w:sz w:val="20"/>
        </w:rPr>
        <w:t xml:space="preserve"> </w:t>
      </w:r>
      <w:r>
        <w:rPr>
          <w:sz w:val="20"/>
        </w:rPr>
        <w:t>důvodů 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doplatku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11.3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2"/>
        </w:tabs>
        <w:spacing w:before="120"/>
        <w:ind w:left="1101" w:right="131"/>
        <w:jc w:val="both"/>
        <w:rPr>
          <w:sz w:val="20"/>
        </w:rPr>
      </w:pPr>
      <w:r>
        <w:rPr>
          <w:sz w:val="20"/>
        </w:rPr>
        <w:t>Žádostí 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dokladů, zejména</w:t>
      </w:r>
      <w:r>
        <w:rPr>
          <w:spacing w:val="1"/>
          <w:sz w:val="20"/>
        </w:rPr>
        <w:t xml:space="preserve"> </w:t>
      </w:r>
      <w:r>
        <w:rPr>
          <w:sz w:val="20"/>
        </w:rPr>
        <w:t>kopií 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mj.</w:t>
      </w:r>
      <w:r>
        <w:rPr>
          <w:spacing w:val="1"/>
          <w:sz w:val="20"/>
        </w:rPr>
        <w:t xml:space="preserve"> </w:t>
      </w:r>
      <w:r>
        <w:rPr>
          <w:sz w:val="20"/>
        </w:rPr>
        <w:t>potvrzuje,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1"/>
          <w:sz w:val="20"/>
        </w:rPr>
        <w:t xml:space="preserve"> </w:t>
      </w:r>
      <w:r>
        <w:rPr>
          <w:sz w:val="20"/>
        </w:rPr>
        <w:t>účelně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2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mohou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7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7"/>
          <w:sz w:val="20"/>
        </w:rPr>
        <w:t xml:space="preserve"> </w:t>
      </w:r>
      <w:r>
        <w:rPr>
          <w:sz w:val="20"/>
        </w:rPr>
        <w:t>faktury</w:t>
      </w:r>
      <w:r>
        <w:rPr>
          <w:spacing w:val="7"/>
          <w:sz w:val="20"/>
        </w:rPr>
        <w:t xml:space="preserve"> </w:t>
      </w:r>
      <w:r>
        <w:rPr>
          <w:sz w:val="20"/>
        </w:rPr>
        <w:t>již</w:t>
      </w:r>
      <w:r>
        <w:rPr>
          <w:spacing w:val="8"/>
          <w:sz w:val="20"/>
        </w:rPr>
        <w:t xml:space="preserve"> </w:t>
      </w:r>
      <w:r>
        <w:rPr>
          <w:sz w:val="20"/>
        </w:rPr>
        <w:t>uhrazené.</w:t>
      </w:r>
      <w:r>
        <w:rPr>
          <w:spacing w:val="7"/>
          <w:sz w:val="20"/>
        </w:rPr>
        <w:t xml:space="preserve"> </w:t>
      </w:r>
      <w:r>
        <w:rPr>
          <w:sz w:val="20"/>
        </w:rPr>
        <w:t>Fond</w:t>
      </w:r>
      <w:r>
        <w:rPr>
          <w:spacing w:val="8"/>
          <w:sz w:val="20"/>
        </w:rPr>
        <w:t xml:space="preserve"> </w:t>
      </w:r>
      <w:r>
        <w:rPr>
          <w:sz w:val="20"/>
        </w:rPr>
        <w:t>akceptuje</w:t>
      </w:r>
      <w:r>
        <w:rPr>
          <w:spacing w:val="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7"/>
          <w:sz w:val="20"/>
        </w:rPr>
        <w:t xml:space="preserve"> </w:t>
      </w:r>
      <w:r>
        <w:rPr>
          <w:sz w:val="20"/>
        </w:rPr>
        <w:t>uhrazených</w:t>
      </w:r>
      <w:r>
        <w:rPr>
          <w:spacing w:val="7"/>
          <w:sz w:val="20"/>
        </w:rPr>
        <w:t xml:space="preserve"> </w:t>
      </w:r>
      <w:r>
        <w:rPr>
          <w:sz w:val="20"/>
        </w:rPr>
        <w:t>faktur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</w:p>
    <w:p w:rsidR="00344469" w:rsidRDefault="00AD118D">
      <w:pPr>
        <w:pStyle w:val="Zkladntext"/>
        <w:ind w:left="1101"/>
        <w:jc w:val="both"/>
      </w:pPr>
      <w:r>
        <w:t>z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2"/>
        </w:tabs>
        <w:spacing w:before="118"/>
        <w:ind w:left="1101" w:right="14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</w:t>
      </w:r>
      <w:r>
        <w:rPr>
          <w:spacing w:val="1"/>
          <w:sz w:val="20"/>
        </w:rPr>
        <w:t xml:space="preserve"> </w:t>
      </w:r>
      <w:r>
        <w:rPr>
          <w:sz w:val="20"/>
        </w:rPr>
        <w:t>uvedeny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 kalendáře.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2"/>
        </w:tabs>
        <w:spacing w:before="122"/>
        <w:ind w:left="1101" w:right="13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obdrží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10"/>
          <w:sz w:val="20"/>
        </w:rPr>
        <w:t xml:space="preserve"> </w:t>
      </w:r>
      <w:r>
        <w:rPr>
          <w:sz w:val="20"/>
        </w:rPr>
        <w:t>storno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dobropis</w:t>
      </w:r>
      <w:r>
        <w:rPr>
          <w:spacing w:val="-9"/>
          <w:sz w:val="20"/>
        </w:rPr>
        <w:t xml:space="preserve"> </w:t>
      </w:r>
      <w:r>
        <w:rPr>
          <w:sz w:val="20"/>
        </w:rPr>
        <w:t>faktury,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tyto</w:t>
      </w:r>
      <w:r>
        <w:rPr>
          <w:spacing w:val="-52"/>
          <w:sz w:val="20"/>
        </w:rPr>
        <w:t xml:space="preserve"> </w:t>
      </w:r>
      <w:r>
        <w:rPr>
          <w:sz w:val="20"/>
        </w:rPr>
        <w:t>doklady včetně zdůvodnění a kopie bankovního výpisu neprodleně po</w:t>
      </w:r>
      <w:r>
        <w:rPr>
          <w:spacing w:val="1"/>
          <w:sz w:val="20"/>
        </w:rPr>
        <w:t xml:space="preserve"> </w:t>
      </w:r>
      <w:r>
        <w:rPr>
          <w:sz w:val="20"/>
        </w:rPr>
        <w:t>obdržení a provedení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344469" w:rsidRDefault="00AD118D">
      <w:pPr>
        <w:pStyle w:val="Odstavecseseznamem"/>
        <w:numPr>
          <w:ilvl w:val="0"/>
          <w:numId w:val="8"/>
        </w:numPr>
        <w:tabs>
          <w:tab w:val="left" w:pos="1102"/>
        </w:tabs>
        <w:spacing w:before="118"/>
        <w:ind w:left="1101" w:right="138"/>
        <w:jc w:val="both"/>
        <w:rPr>
          <w:sz w:val="20"/>
        </w:rPr>
      </w:pP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není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podporu,</w:t>
      </w:r>
      <w:r>
        <w:rPr>
          <w:spacing w:val="-4"/>
          <w:sz w:val="20"/>
        </w:rPr>
        <w:t xml:space="preserve"> </w:t>
      </w:r>
      <w:r>
        <w:rPr>
          <w:sz w:val="20"/>
        </w:rPr>
        <w:t>dokud</w:t>
      </w:r>
      <w:r>
        <w:rPr>
          <w:spacing w:val="-2"/>
          <w:sz w:val="20"/>
        </w:rPr>
        <w:t xml:space="preserve"> </w:t>
      </w:r>
      <w:r>
        <w:rPr>
          <w:sz w:val="20"/>
        </w:rPr>
        <w:t>neobdrží</w:t>
      </w:r>
      <w:r>
        <w:rPr>
          <w:spacing w:val="-5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344469" w:rsidRDefault="00344469">
      <w:pPr>
        <w:pStyle w:val="Zkladntext"/>
        <w:spacing w:before="10"/>
        <w:ind w:left="0"/>
        <w:rPr>
          <w:sz w:val="28"/>
        </w:rPr>
      </w:pPr>
    </w:p>
    <w:p w:rsidR="00344469" w:rsidRDefault="00344469">
      <w:pPr>
        <w:rPr>
          <w:sz w:val="28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344469">
      <w:pPr>
        <w:pStyle w:val="Zkladntext"/>
        <w:ind w:left="0"/>
        <w:rPr>
          <w:sz w:val="26"/>
        </w:rPr>
      </w:pPr>
    </w:p>
    <w:p w:rsidR="00344469" w:rsidRDefault="00344469">
      <w:pPr>
        <w:pStyle w:val="Zkladntext"/>
        <w:ind w:left="0"/>
        <w:rPr>
          <w:sz w:val="26"/>
        </w:rPr>
      </w:pPr>
    </w:p>
    <w:p w:rsidR="00344469" w:rsidRDefault="00AD118D">
      <w:pPr>
        <w:pStyle w:val="Odstavecseseznamem"/>
        <w:numPr>
          <w:ilvl w:val="0"/>
          <w:numId w:val="7"/>
        </w:numPr>
        <w:tabs>
          <w:tab w:val="left" w:pos="666"/>
        </w:tabs>
        <w:spacing w:before="18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344469" w:rsidRDefault="00AD118D">
      <w:pPr>
        <w:spacing w:before="99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44469" w:rsidRDefault="00AD118D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44469" w:rsidRDefault="00344469">
      <w:pPr>
        <w:sectPr w:rsidR="00344469">
          <w:type w:val="continuous"/>
          <w:pgSz w:w="12240" w:h="15840"/>
          <w:pgMar w:top="1400" w:right="1000" w:bottom="1660" w:left="1320" w:header="708" w:footer="1460" w:gutter="0"/>
          <w:cols w:num="2" w:space="708" w:equalWidth="0">
            <w:col w:w="2266" w:space="40"/>
            <w:col w:w="7614"/>
          </w:cols>
        </w:sectPr>
      </w:pP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se zavazuje splnit účel akce tím, že akce Založení energetického společenství, Židlochovice 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44469" w:rsidRDefault="00AD118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</w:t>
      </w:r>
      <w:r>
        <w:rPr>
          <w:sz w:val="20"/>
        </w:rPr>
        <w:t>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44469" w:rsidRDefault="00AD118D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2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3"/>
          <w:sz w:val="20"/>
        </w:rPr>
        <w:t xml:space="preserve"> </w:t>
      </w:r>
      <w:r>
        <w:rPr>
          <w:sz w:val="20"/>
        </w:rPr>
        <w:t>5 let</w:t>
      </w:r>
      <w:r>
        <w:rPr>
          <w:spacing w:val="-2"/>
          <w:sz w:val="20"/>
        </w:rPr>
        <w:t xml:space="preserve"> </w:t>
      </w:r>
      <w:r>
        <w:rPr>
          <w:sz w:val="20"/>
        </w:rPr>
        <w:t>ode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vydání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rozhodnutí,</w:t>
      </w:r>
    </w:p>
    <w:p w:rsidR="00344469" w:rsidRDefault="00AD118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586/1992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daních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11"/>
          <w:sz w:val="20"/>
        </w:rPr>
        <w:t xml:space="preserve"> </w:t>
      </w:r>
      <w:r>
        <w:rPr>
          <w:sz w:val="20"/>
        </w:rPr>
        <w:t>znění)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pokynů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</w:p>
    <w:p w:rsidR="00344469" w:rsidRDefault="00AD118D">
      <w:pPr>
        <w:pStyle w:val="Zkladntext"/>
        <w:spacing w:before="2"/>
        <w:ind w:left="741"/>
        <w:jc w:val="both"/>
      </w:pPr>
      <w:r>
        <w:t>e)</w:t>
      </w:r>
      <w:r>
        <w:rPr>
          <w:spacing w:val="-3"/>
        </w:rPr>
        <w:t xml:space="preserve"> </w:t>
      </w:r>
      <w:r>
        <w:t>Výzvy,</w:t>
      </w:r>
    </w:p>
    <w:p w:rsidR="00344469" w:rsidRDefault="00AD118D">
      <w:pPr>
        <w:pStyle w:val="Odstavecseseznamem"/>
        <w:numPr>
          <w:ilvl w:val="0"/>
          <w:numId w:val="6"/>
        </w:numPr>
        <w:tabs>
          <w:tab w:val="left" w:pos="742"/>
        </w:tabs>
        <w:spacing w:before="117"/>
        <w:ind w:left="741" w:right="131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2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 společné podniky a jiné subjekty EU a která není přímo ani nepřímo pod kontrolou 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344469" w:rsidRDefault="00344469">
      <w:pPr>
        <w:jc w:val="both"/>
        <w:rPr>
          <w:sz w:val="20"/>
        </w:rPr>
        <w:sectPr w:rsidR="00344469">
          <w:type w:val="continuous"/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AD118D">
      <w:pPr>
        <w:pStyle w:val="Odstavecseseznamem"/>
        <w:numPr>
          <w:ilvl w:val="0"/>
          <w:numId w:val="6"/>
        </w:numPr>
        <w:tabs>
          <w:tab w:val="left" w:pos="742"/>
        </w:tabs>
        <w:spacing w:before="89"/>
        <w:ind w:left="741" w:right="134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</w:t>
      </w:r>
      <w:r>
        <w:rPr>
          <w:sz w:val="20"/>
        </w:rPr>
        <w:t>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344469" w:rsidRDefault="00AD118D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8"/>
        <w:rPr>
          <w:sz w:val="20"/>
        </w:rPr>
      </w:pPr>
      <w:r>
        <w:rPr>
          <w:sz w:val="20"/>
        </w:rPr>
        <w:t>realizací projektu nedojde k významnému poškození environmentálních cílů v souladu s článkem 17,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 Evropského parlamentu a Rady (EU) 2020/852 ze dne 18. června 2020 o zřízení rámce pro</w:t>
      </w:r>
      <w:r>
        <w:rPr>
          <w:spacing w:val="1"/>
          <w:sz w:val="20"/>
        </w:rPr>
        <w:t xml:space="preserve"> </w:t>
      </w:r>
      <w:r>
        <w:rPr>
          <w:sz w:val="20"/>
        </w:rPr>
        <w:t>usnadnění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udržitelných investic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</w:t>
      </w:r>
      <w:r>
        <w:rPr>
          <w:sz w:val="20"/>
        </w:rPr>
        <w:t>8,</w:t>
      </w:r>
    </w:p>
    <w:p w:rsidR="00344469" w:rsidRDefault="00AD118D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4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44469" w:rsidRDefault="00AD118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16 Výzvy.</w:t>
      </w:r>
    </w:p>
    <w:p w:rsidR="00344469" w:rsidRDefault="00AD118D">
      <w:pPr>
        <w:pStyle w:val="Zkladntext"/>
        <w:spacing w:before="118"/>
        <w:jc w:val="both"/>
      </w:pPr>
      <w:r>
        <w:t>c)</w:t>
      </w:r>
      <w:r>
        <w:rPr>
          <w:spacing w:val="1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dodržet</w:t>
      </w:r>
      <w:r>
        <w:rPr>
          <w:spacing w:val="-3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takto:</w:t>
      </w:r>
    </w:p>
    <w:p w:rsidR="00344469" w:rsidRDefault="00AD118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8"/>
        <w:rPr>
          <w:sz w:val="20"/>
        </w:rPr>
      </w:pPr>
      <w:r>
        <w:rPr>
          <w:sz w:val="20"/>
        </w:rPr>
        <w:t>termín dokončení akce do konce 10/2025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 v</w:t>
      </w:r>
      <w:r>
        <w:rPr>
          <w:spacing w:val="6"/>
          <w:sz w:val="20"/>
        </w:rPr>
        <w:t xml:space="preserve"> </w:t>
      </w:r>
      <w:r>
        <w:rPr>
          <w:sz w:val="20"/>
        </w:rPr>
        <w:t>04/2024.</w:t>
      </w:r>
    </w:p>
    <w:p w:rsidR="00344469" w:rsidRDefault="00AD118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i po jejím dokončení po dobu 3 let, a to v takovém </w:t>
      </w:r>
      <w:r>
        <w:rPr>
          <w:sz w:val="20"/>
        </w:rPr>
        <w:t>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</w:t>
      </w:r>
      <w:r>
        <w:rPr>
          <w:sz w:val="20"/>
        </w:rPr>
        <w:t>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</w:t>
      </w:r>
      <w:r>
        <w:rPr>
          <w:sz w:val="20"/>
        </w:rPr>
        <w:t xml:space="preserve">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ind w:right="138" w:hanging="293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3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0"/>
          <w:sz w:val="20"/>
        </w:rPr>
        <w:t xml:space="preserve"> </w:t>
      </w:r>
      <w:r>
        <w:rPr>
          <w:sz w:val="20"/>
        </w:rPr>
        <w:t>Čestné</w:t>
      </w:r>
      <w:r>
        <w:rPr>
          <w:spacing w:val="-5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zájmů,</w:t>
      </w:r>
    </w:p>
    <w:p w:rsidR="00344469" w:rsidRDefault="00344469">
      <w:pPr>
        <w:jc w:val="both"/>
        <w:rPr>
          <w:sz w:val="20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AD118D">
      <w:pPr>
        <w:pStyle w:val="Odstavecseseznamem"/>
        <w:numPr>
          <w:ilvl w:val="1"/>
          <w:numId w:val="7"/>
        </w:numPr>
        <w:tabs>
          <w:tab w:val="left" w:pos="949"/>
        </w:tabs>
        <w:spacing w:before="91"/>
        <w:ind w:hanging="294"/>
        <w:jc w:val="both"/>
        <w:rPr>
          <w:sz w:val="20"/>
        </w:rPr>
      </w:pPr>
      <w:r>
        <w:rPr>
          <w:sz w:val="20"/>
        </w:rPr>
        <w:lastRenderedPageBreak/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 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bb)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</w:p>
    <w:p w:rsidR="00344469" w:rsidRDefault="00AD118D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</w:t>
      </w:r>
      <w:r>
        <w:rPr>
          <w:sz w:val="20"/>
        </w:rPr>
        <w:t>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 znění.</w:t>
      </w:r>
    </w:p>
    <w:p w:rsidR="00344469" w:rsidRDefault="00AD118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povinen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zdržet</w:t>
      </w:r>
      <w:r>
        <w:rPr>
          <w:spacing w:val="5"/>
          <w:sz w:val="20"/>
        </w:rPr>
        <w:t xml:space="preserve"> </w:t>
      </w:r>
      <w:r>
        <w:rPr>
          <w:sz w:val="20"/>
        </w:rPr>
        <w:t>podvodné</w:t>
      </w:r>
      <w:r>
        <w:rPr>
          <w:sz w:val="20"/>
        </w:rPr>
        <w:t>ho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5"/>
          <w:sz w:val="20"/>
        </w:rPr>
        <w:t xml:space="preserve"> </w:t>
      </w:r>
      <w:r>
        <w:rPr>
          <w:sz w:val="20"/>
        </w:rPr>
        <w:t>jednání</w:t>
      </w:r>
      <w:r>
        <w:rPr>
          <w:spacing w:val="5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písm.</w:t>
      </w:r>
      <w:r>
        <w:rPr>
          <w:spacing w:val="5"/>
          <w:sz w:val="20"/>
        </w:rPr>
        <w:t xml:space="preserve"> </w:t>
      </w:r>
      <w:r>
        <w:rPr>
          <w:sz w:val="20"/>
        </w:rPr>
        <w:t>s)</w:t>
      </w:r>
    </w:p>
    <w:p w:rsidR="00344469" w:rsidRDefault="00AD118D">
      <w:pPr>
        <w:pStyle w:val="Zkladntext"/>
      </w:pPr>
      <w:r>
        <w:t>Výzvy.</w:t>
      </w:r>
    </w:p>
    <w:p w:rsidR="00344469" w:rsidRDefault="00344469">
      <w:pPr>
        <w:pStyle w:val="Zkladntext"/>
        <w:spacing w:before="1"/>
        <w:ind w:left="0"/>
        <w:rPr>
          <w:sz w:val="36"/>
        </w:rPr>
      </w:pPr>
    </w:p>
    <w:p w:rsidR="00344469" w:rsidRDefault="00AD118D">
      <w:pPr>
        <w:pStyle w:val="Nadpis1"/>
      </w:pPr>
      <w:r>
        <w:t>V.</w:t>
      </w:r>
    </w:p>
    <w:p w:rsidR="00344469" w:rsidRDefault="00AD118D">
      <w:pPr>
        <w:pStyle w:val="Nadpis2"/>
        <w:spacing w:before="1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44469" w:rsidRDefault="00344469">
      <w:pPr>
        <w:pStyle w:val="Zkladntext"/>
        <w:spacing w:before="1"/>
        <w:ind w:left="0"/>
        <w:rPr>
          <w:b/>
          <w:sz w:val="18"/>
        </w:rPr>
      </w:pPr>
    </w:p>
    <w:p w:rsidR="00344469" w:rsidRDefault="00AD118D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344469" w:rsidRDefault="00AD118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3, podle článku IV bodu 1 písm. b) za první nebo druhou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odrážkou nebo podle článku IV bodu 2 písm. a) </w:t>
      </w:r>
      <w:r>
        <w:rPr>
          <w:sz w:val="20"/>
        </w:rPr>
        <w:t>nebo c) 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344469" w:rsidRDefault="00AD118D">
      <w:pPr>
        <w:pStyle w:val="Odstavecseseznamem"/>
        <w:numPr>
          <w:ilvl w:val="0"/>
          <w:numId w:val="5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Dojde-li k porušení povinností uvedených v článku IV bodu 1 písm. a),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44469" w:rsidRDefault="00AD118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</w:t>
      </w:r>
      <w:r>
        <w:rPr>
          <w:sz w:val="20"/>
        </w:rPr>
        <w:t>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344469" w:rsidRDefault="00AD118D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344469" w:rsidRDefault="00AD118D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344469" w:rsidRDefault="00AD118D">
      <w:pPr>
        <w:pStyle w:val="Zkladntext"/>
        <w:ind w:left="741"/>
      </w:pPr>
      <w:r>
        <w:t>podpory.</w:t>
      </w:r>
    </w:p>
    <w:p w:rsidR="00344469" w:rsidRDefault="00AD118D">
      <w:pPr>
        <w:pStyle w:val="Odstavecseseznamem"/>
        <w:numPr>
          <w:ilvl w:val="0"/>
          <w:numId w:val="5"/>
        </w:numPr>
        <w:tabs>
          <w:tab w:val="left" w:pos="666"/>
        </w:tabs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344469" w:rsidRDefault="00AD118D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344469" w:rsidRDefault="00AD118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344469" w:rsidRDefault="00AD118D">
      <w:pPr>
        <w:pStyle w:val="Zkladntext"/>
        <w:spacing w:before="1"/>
      </w:pPr>
      <w:r>
        <w:t>podpory.</w:t>
      </w:r>
    </w:p>
    <w:p w:rsidR="00344469" w:rsidRDefault="00344469">
      <w:p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AD118D">
      <w:pPr>
        <w:pStyle w:val="Nadpis1"/>
        <w:spacing w:before="89"/>
      </w:pPr>
      <w:r>
        <w:lastRenderedPageBreak/>
        <w:t>VI.</w:t>
      </w:r>
    </w:p>
    <w:p w:rsidR="00344469" w:rsidRDefault="00AD118D">
      <w:pPr>
        <w:pStyle w:val="Nadpis2"/>
        <w:spacing w:before="1"/>
        <w:ind w:left="1305" w:right="105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44469" w:rsidRDefault="00344469">
      <w:pPr>
        <w:pStyle w:val="Zkladntext"/>
        <w:ind w:left="0"/>
        <w:rPr>
          <w:b/>
          <w:sz w:val="18"/>
        </w:rPr>
      </w:pPr>
    </w:p>
    <w:p w:rsidR="00344469" w:rsidRDefault="00AD118D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</w:t>
      </w:r>
      <w:r>
        <w:rPr>
          <w:sz w:val="20"/>
        </w:rPr>
        <w:t>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344469" w:rsidRDefault="00AD118D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44469" w:rsidRDefault="00AD118D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</w:t>
      </w:r>
      <w:r>
        <w:rPr>
          <w:sz w:val="20"/>
        </w:rPr>
        <w:t>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44469" w:rsidRDefault="00AD118D">
      <w:pPr>
        <w:pStyle w:val="Odstavecseseznamem"/>
        <w:numPr>
          <w:ilvl w:val="0"/>
          <w:numId w:val="4"/>
        </w:numPr>
        <w:tabs>
          <w:tab w:val="left" w:pos="666"/>
        </w:tabs>
        <w:spacing w:before="123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344469" w:rsidRDefault="00AD118D">
      <w:pPr>
        <w:pStyle w:val="Zkladntext"/>
      </w:pPr>
      <w:r>
        <w:t>Smlouvou.</w:t>
      </w:r>
    </w:p>
    <w:p w:rsidR="00344469" w:rsidRDefault="00AD118D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344469" w:rsidRDefault="00AD118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344469" w:rsidRDefault="00AD118D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44469" w:rsidRDefault="00AD118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44469" w:rsidRDefault="00AD118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44469" w:rsidRDefault="00AD118D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</w:t>
      </w:r>
      <w:r>
        <w:rPr>
          <w:sz w:val="20"/>
        </w:rPr>
        <w:t>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44469" w:rsidRDefault="00344469">
      <w:pPr>
        <w:pStyle w:val="Zkladntext"/>
        <w:spacing w:before="1"/>
        <w:ind w:left="0"/>
        <w:rPr>
          <w:sz w:val="36"/>
        </w:rPr>
      </w:pPr>
    </w:p>
    <w:p w:rsidR="00344469" w:rsidRDefault="00AD118D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344469" w:rsidRDefault="00344469">
      <w:pPr>
        <w:pStyle w:val="Zkladntext"/>
        <w:spacing w:before="1"/>
        <w:ind w:left="0"/>
        <w:rPr>
          <w:sz w:val="18"/>
        </w:rPr>
      </w:pPr>
    </w:p>
    <w:p w:rsidR="00344469" w:rsidRDefault="00AD118D">
      <w:pPr>
        <w:pStyle w:val="Zkladntext"/>
        <w:ind w:left="382"/>
      </w:pPr>
      <w:r>
        <w:t>dne:</w:t>
      </w:r>
    </w:p>
    <w:p w:rsidR="00344469" w:rsidRDefault="00344469">
      <w:pPr>
        <w:pStyle w:val="Zkladntext"/>
        <w:ind w:left="0"/>
        <w:rPr>
          <w:sz w:val="26"/>
        </w:rPr>
      </w:pPr>
    </w:p>
    <w:p w:rsidR="00344469" w:rsidRDefault="00344469">
      <w:pPr>
        <w:pStyle w:val="Zkladntext"/>
        <w:spacing w:before="2"/>
        <w:ind w:left="0"/>
        <w:rPr>
          <w:sz w:val="28"/>
        </w:rPr>
      </w:pPr>
    </w:p>
    <w:p w:rsidR="00344469" w:rsidRDefault="00AD118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44469" w:rsidRDefault="00AD118D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44469" w:rsidRDefault="00344469">
      <w:pPr>
        <w:pStyle w:val="Zkladntext"/>
        <w:ind w:left="0"/>
        <w:rPr>
          <w:sz w:val="26"/>
        </w:rPr>
      </w:pPr>
    </w:p>
    <w:p w:rsidR="00344469" w:rsidRDefault="00344469">
      <w:pPr>
        <w:pStyle w:val="Zkladntext"/>
        <w:spacing w:before="2"/>
        <w:ind w:left="0"/>
        <w:rPr>
          <w:sz w:val="32"/>
        </w:rPr>
      </w:pPr>
    </w:p>
    <w:p w:rsidR="00344469" w:rsidRDefault="00AD118D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44469" w:rsidRDefault="00344469">
      <w:pPr>
        <w:spacing w:line="264" w:lineRule="auto"/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AD118D">
      <w:pPr>
        <w:pStyle w:val="Zkladntext"/>
        <w:spacing w:before="91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344469" w:rsidRDefault="00344469">
      <w:pPr>
        <w:pStyle w:val="Zkladntext"/>
        <w:ind w:left="0"/>
        <w:rPr>
          <w:sz w:val="26"/>
        </w:rPr>
      </w:pPr>
    </w:p>
    <w:p w:rsidR="00344469" w:rsidRDefault="00344469">
      <w:pPr>
        <w:pStyle w:val="Zkladntext"/>
        <w:ind w:left="0"/>
        <w:rPr>
          <w:sz w:val="32"/>
        </w:rPr>
      </w:pPr>
    </w:p>
    <w:p w:rsidR="00344469" w:rsidRDefault="00AD118D">
      <w:pPr>
        <w:pStyle w:val="Nadpis2"/>
        <w:spacing w:line="264" w:lineRule="auto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344469" w:rsidRDefault="00344469">
      <w:pPr>
        <w:pStyle w:val="Zkladntext"/>
        <w:spacing w:before="1"/>
        <w:ind w:left="0"/>
        <w:rPr>
          <w:b/>
          <w:sz w:val="27"/>
        </w:rPr>
      </w:pPr>
    </w:p>
    <w:p w:rsidR="00344469" w:rsidRDefault="00AD118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344469" w:rsidRDefault="00344469">
      <w:pPr>
        <w:pStyle w:val="Zkladntext"/>
        <w:spacing w:before="1"/>
        <w:ind w:left="0"/>
        <w:rPr>
          <w:b/>
          <w:sz w:val="29"/>
        </w:rPr>
      </w:pPr>
    </w:p>
    <w:p w:rsidR="00344469" w:rsidRDefault="00AD118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344469" w:rsidRDefault="00AD118D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44469" w:rsidRDefault="00AD118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44469" w:rsidRDefault="00AD118D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44469" w:rsidRDefault="00AD118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344469" w:rsidRDefault="00AD118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44469" w:rsidRDefault="00AD118D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344469" w:rsidRDefault="00AD118D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344469" w:rsidRDefault="00344469">
      <w:pPr>
        <w:jc w:val="both"/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AD118D">
      <w:pPr>
        <w:pStyle w:val="Nadpis1"/>
        <w:numPr>
          <w:ilvl w:val="0"/>
          <w:numId w:val="3"/>
        </w:numPr>
        <w:tabs>
          <w:tab w:val="left" w:pos="666"/>
        </w:tabs>
        <w:spacing w:before="91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44469" w:rsidRDefault="00344469">
      <w:pPr>
        <w:pStyle w:val="Zkladntext"/>
        <w:spacing w:before="12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4446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4446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44469" w:rsidRDefault="00AD11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344469" w:rsidRDefault="00AD118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344469" w:rsidRDefault="00AD11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44469" w:rsidRDefault="00AD118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4469" w:rsidRDefault="00AD118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44469">
        <w:trPr>
          <w:trHeight w:val="18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44469" w:rsidRDefault="00AD118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44469" w:rsidRDefault="00AD118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44469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44469" w:rsidRDefault="00AD11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44469" w:rsidRDefault="00AD118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44469" w:rsidRDefault="00AD118D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44469" w:rsidRDefault="00AD118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344469" w:rsidRDefault="00AD118D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4446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44469" w:rsidRDefault="00AD118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44469" w:rsidRDefault="00AD118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4446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44469" w:rsidRDefault="00AD118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44469" w:rsidRDefault="00AD118D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44469" w:rsidRDefault="00AD118D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44469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44469" w:rsidRDefault="00AD118D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44469" w:rsidRDefault="00AD11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44469" w:rsidRDefault="00AD118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44469" w:rsidRDefault="00344469">
      <w:pPr>
        <w:rPr>
          <w:sz w:val="20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344469">
      <w:pPr>
        <w:pStyle w:val="Zkladntext"/>
        <w:spacing w:before="11"/>
        <w:ind w:left="0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4446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44469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44469" w:rsidRDefault="00AD118D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44469" w:rsidRDefault="00AD118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44469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44469" w:rsidRDefault="00AD118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44469" w:rsidRDefault="00AD118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44469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44469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44469" w:rsidRDefault="00AD118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44469" w:rsidRDefault="00AD118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44469" w:rsidRDefault="00AD118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44469" w:rsidRDefault="00AD118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44469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44469" w:rsidRDefault="00AD118D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4446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344469" w:rsidRDefault="00AD118D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44469" w:rsidRDefault="00AD118D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44469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7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44469" w:rsidRDefault="00AD118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7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344469" w:rsidRDefault="00344469">
      <w:pPr>
        <w:spacing w:line="237" w:lineRule="auto"/>
        <w:rPr>
          <w:sz w:val="20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344469">
      <w:pPr>
        <w:pStyle w:val="Zkladntext"/>
        <w:spacing w:before="11"/>
        <w:ind w:left="0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4446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44469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44469" w:rsidRDefault="00AD118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44469" w:rsidRDefault="00AD118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44469" w:rsidRDefault="00AD118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44469" w:rsidRDefault="00AD118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44469" w:rsidRDefault="00AD118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44469" w:rsidRDefault="00AD118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44469" w:rsidRDefault="00AD118D">
            <w:pPr>
              <w:pStyle w:val="TableParagraph"/>
              <w:spacing w:before="1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44469" w:rsidRDefault="00AD118D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44469" w:rsidRDefault="00AD118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44469" w:rsidRDefault="00AD11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44469" w:rsidRDefault="00AD118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44469" w:rsidRDefault="00AD118D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44469" w:rsidRDefault="00AD11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344469" w:rsidRDefault="00AD118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34446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4469" w:rsidRDefault="00AD118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344469" w:rsidRDefault="00AD118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344469" w:rsidRDefault="00AD118D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44469" w:rsidRDefault="00AD118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344469" w:rsidRDefault="00AD118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344469" w:rsidRDefault="00AD118D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4469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44469" w:rsidRDefault="00AD118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344469" w:rsidRDefault="00AD118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44469" w:rsidRDefault="00AD118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44469" w:rsidRDefault="00AD118D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44469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44469" w:rsidRDefault="00AD118D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44469" w:rsidRDefault="00AD118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44469" w:rsidRDefault="00C63D36">
      <w:pPr>
        <w:pStyle w:val="Zkladntext"/>
        <w:ind w:left="0"/>
        <w:rPr>
          <w:b/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116840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49D66" id="docshape2" o:spid="_x0000_s1026" style="position:absolute;margin-left:85.1pt;margin-top:9.2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ABxA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44469" w:rsidRDefault="00344469">
      <w:pPr>
        <w:pStyle w:val="Zkladntext"/>
        <w:ind w:left="0"/>
        <w:rPr>
          <w:b/>
        </w:rPr>
      </w:pPr>
    </w:p>
    <w:p w:rsidR="00344469" w:rsidRDefault="00344469">
      <w:pPr>
        <w:pStyle w:val="Zkladntext"/>
        <w:spacing w:before="12"/>
        <w:ind w:left="0"/>
        <w:rPr>
          <w:b/>
          <w:sz w:val="13"/>
        </w:rPr>
      </w:pPr>
    </w:p>
    <w:p w:rsidR="00344469" w:rsidRDefault="00AD118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344469" w:rsidRDefault="00344469">
      <w:pPr>
        <w:rPr>
          <w:sz w:val="16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34446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4446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4446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7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44469" w:rsidRDefault="00AD118D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7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44469" w:rsidRDefault="00AD118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44469" w:rsidRDefault="00AD11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344469" w:rsidRDefault="00AD11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34446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44469" w:rsidRDefault="00AD118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44469" w:rsidRDefault="00AD11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44469" w:rsidRDefault="00AD118D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44469" w:rsidRDefault="00AD118D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44469" w:rsidRDefault="00AD118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44469" w:rsidRDefault="00AD118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44469" w:rsidRDefault="00AD118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44469" w:rsidRDefault="00AD118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44469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44469" w:rsidRDefault="00AD118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44469" w:rsidRDefault="00AD118D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44469" w:rsidRDefault="00AD118D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344469" w:rsidRDefault="00AD118D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4446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44469" w:rsidRDefault="00AD118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44469" w:rsidRDefault="00AD118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44469" w:rsidRDefault="00AD118D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44469" w:rsidRDefault="00AD118D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44469" w:rsidRDefault="00AD118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44469" w:rsidRDefault="00AD118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44469" w:rsidRDefault="00AD118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44469" w:rsidRDefault="00AD118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4469" w:rsidRDefault="00AD118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344469" w:rsidRDefault="00AD118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44469" w:rsidRDefault="00AD118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44469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44469" w:rsidRDefault="00344469">
      <w:pPr>
        <w:rPr>
          <w:sz w:val="20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34446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4446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44469">
        <w:trPr>
          <w:trHeight w:val="1345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44469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44469" w:rsidRDefault="00AD118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44469" w:rsidRDefault="00AD118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44469" w:rsidRDefault="00AD118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344469" w:rsidRDefault="00AD118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44469" w:rsidRDefault="00AD118D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44469" w:rsidRDefault="00AD118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44469" w:rsidRDefault="00AD118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44469" w:rsidRDefault="00AD118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44469" w:rsidRDefault="00AD118D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spacing w:before="2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44469" w:rsidRDefault="00AD118D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44469" w:rsidRDefault="00AD118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44469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44469" w:rsidRDefault="00AD118D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44469" w:rsidRDefault="00AD118D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44469" w:rsidRDefault="00AD118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44469" w:rsidRDefault="00AD118D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44469" w:rsidRDefault="00AD118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44469" w:rsidRDefault="00AD118D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44469" w:rsidRDefault="00AD11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344469" w:rsidRDefault="00344469">
      <w:pPr>
        <w:rPr>
          <w:sz w:val="20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34446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4446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44469">
        <w:trPr>
          <w:trHeight w:val="150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44469" w:rsidRDefault="00AD11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44469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44469" w:rsidRDefault="00AD118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44469" w:rsidRDefault="00AD118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44469" w:rsidRDefault="00AD118D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44469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44469" w:rsidRDefault="00AD118D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44469" w:rsidRDefault="00344469">
      <w:pPr>
        <w:rPr>
          <w:sz w:val="20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34446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4446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44469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44469" w:rsidRDefault="00AD118D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44469" w:rsidRDefault="00AD118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44469" w:rsidRDefault="00AD11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344469" w:rsidRDefault="00AD118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44469" w:rsidRDefault="00AD118D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44469" w:rsidRDefault="00AD118D">
            <w:pPr>
              <w:pStyle w:val="TableParagraph"/>
              <w:spacing w:before="4" w:line="237" w:lineRule="auto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344469" w:rsidRDefault="00AD118D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44469" w:rsidRDefault="00AD118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446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344469" w:rsidRDefault="00AD118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44469" w:rsidRDefault="00AD118D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44469" w:rsidRDefault="00AD118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344469" w:rsidRDefault="00AD118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44469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44469" w:rsidRDefault="00AD118D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44469" w:rsidRDefault="00AD118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44469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44469" w:rsidRDefault="00AD118D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44469" w:rsidRDefault="00AD118D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4469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44469" w:rsidRDefault="00344469">
      <w:pPr>
        <w:rPr>
          <w:sz w:val="20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34446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4446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44469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7" w:line="237" w:lineRule="auto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44469" w:rsidRDefault="00AD118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7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44469" w:rsidRDefault="00AD118D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44469" w:rsidRDefault="00AD118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44469" w:rsidRDefault="00AD118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44469" w:rsidRDefault="00AD118D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4469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44469" w:rsidRDefault="00AD118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44469" w:rsidRDefault="00AD118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44469" w:rsidRDefault="00AD118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44469" w:rsidRDefault="00AD118D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4469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44469" w:rsidRDefault="00AD118D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44469" w:rsidRDefault="00AD118D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44469" w:rsidRDefault="00AD118D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44469" w:rsidRDefault="00344469">
      <w:pPr>
        <w:rPr>
          <w:sz w:val="20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34446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4446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44469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44469" w:rsidRDefault="00AD118D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44469" w:rsidRDefault="00AD118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44469" w:rsidRDefault="00AD118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4469" w:rsidRDefault="00AD118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44469" w:rsidRDefault="00AD118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44469" w:rsidRDefault="00AD118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4469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44469" w:rsidRDefault="00AD118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344469" w:rsidRDefault="00AD11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44469" w:rsidRDefault="00AD118D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44469" w:rsidRDefault="00AD118D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4446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44469" w:rsidRDefault="00AD118D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44469" w:rsidRDefault="00AD118D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4446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44469" w:rsidRDefault="00AD118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44469" w:rsidRDefault="00AD118D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344469" w:rsidRDefault="00344469">
      <w:pPr>
        <w:pStyle w:val="Zkladntext"/>
        <w:ind w:left="0"/>
      </w:pPr>
    </w:p>
    <w:p w:rsidR="00344469" w:rsidRDefault="00C63D36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616D1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LvM2NbeAAAA&#10;CQEAAA8AAABkcnMvZG93bnJldi54bWxMj8FOwzAQRO9I/IO1SNyoTWjTEOJUFIkjEi0c6M2JlyRq&#10;vA6x2wa+nu0JjjP7NDtTrCbXiyOOofOk4XamQCDV3nbUaHh/e77JQIRoyJreE2r4xgCr8vKiMLn1&#10;J9rgcRsbwSEUcqOhjXHIpQx1i86EmR+Q+PbpR2ciy7GRdjQnDne9TJRKpTMd8YfWDPjUYr3fHpyG&#10;9X22/nqd08vPptrh7qPaL5JRaX19NT0+gIg4xT8YzvW5OpTcqfIHskH0rJcqYVTDXZq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7zNj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44469" w:rsidRDefault="00344469">
      <w:pPr>
        <w:pStyle w:val="Zkladntext"/>
        <w:ind w:left="0"/>
      </w:pPr>
    </w:p>
    <w:p w:rsidR="00344469" w:rsidRDefault="00344469">
      <w:pPr>
        <w:pStyle w:val="Zkladntext"/>
        <w:spacing w:before="12"/>
        <w:ind w:left="0"/>
        <w:rPr>
          <w:sz w:val="13"/>
        </w:rPr>
      </w:pPr>
    </w:p>
    <w:p w:rsidR="00344469" w:rsidRDefault="00AD118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44469" w:rsidRDefault="00344469">
      <w:pPr>
        <w:rPr>
          <w:sz w:val="16"/>
        </w:rPr>
        <w:sectPr w:rsidR="00344469">
          <w:pgSz w:w="12240" w:h="15840"/>
          <w:pgMar w:top="1400" w:right="1000" w:bottom="1660" w:left="1320" w:header="708" w:footer="1460" w:gutter="0"/>
          <w:cols w:space="708"/>
        </w:sectPr>
      </w:pPr>
    </w:p>
    <w:p w:rsidR="00344469" w:rsidRDefault="00344469">
      <w:pPr>
        <w:pStyle w:val="Zkladntext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44469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44469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7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44469" w:rsidRDefault="00AD118D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44469" w:rsidRDefault="00AD11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44469" w:rsidRDefault="00AD118D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44469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4469" w:rsidRDefault="00AD118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44469" w:rsidRDefault="00344469">
            <w:pPr>
              <w:pStyle w:val="TableParagraph"/>
              <w:ind w:left="0"/>
              <w:rPr>
                <w:sz w:val="20"/>
              </w:rPr>
            </w:pPr>
          </w:p>
          <w:p w:rsidR="00344469" w:rsidRDefault="00AD118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44469" w:rsidRDefault="00344469">
            <w:pPr>
              <w:pStyle w:val="TableParagraph"/>
              <w:ind w:left="0"/>
              <w:rPr>
                <w:sz w:val="20"/>
              </w:rPr>
            </w:pPr>
          </w:p>
          <w:p w:rsidR="00344469" w:rsidRDefault="00AD118D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44469" w:rsidRDefault="00AD118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4446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44469" w:rsidRDefault="0034446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44469" w:rsidRDefault="00AD118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44469" w:rsidRDefault="0034446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44469" w:rsidRDefault="00AD118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44469" w:rsidRDefault="00AD118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44469" w:rsidRDefault="00AD118D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4446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44469" w:rsidRDefault="00AD118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článku IV bodu 2 </w:t>
            </w:r>
            <w:r>
              <w:t>písm. i),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44469" w:rsidRDefault="00AD118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4469">
        <w:trPr>
          <w:trHeight w:val="24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4469" w:rsidRDefault="0034446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44469" w:rsidRDefault="00AD118D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44469" w:rsidRDefault="00AD11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D118D" w:rsidRDefault="00AD118D"/>
    <w:sectPr w:rsidR="00AD118D">
      <w:pgSz w:w="12240" w:h="15840"/>
      <w:pgMar w:top="1400" w:right="1000" w:bottom="1660" w:left="1320" w:header="708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8D" w:rsidRDefault="00AD118D">
      <w:r>
        <w:separator/>
      </w:r>
    </w:p>
  </w:endnote>
  <w:endnote w:type="continuationSeparator" w:id="0">
    <w:p w:rsidR="00AD118D" w:rsidRDefault="00A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69" w:rsidRDefault="00C63D36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469" w:rsidRDefault="00AD118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3D3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344469" w:rsidRDefault="00AD118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3D3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8D" w:rsidRDefault="00AD118D">
      <w:r>
        <w:separator/>
      </w:r>
    </w:p>
  </w:footnote>
  <w:footnote w:type="continuationSeparator" w:id="0">
    <w:p w:rsidR="00AD118D" w:rsidRDefault="00AD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69" w:rsidRDefault="00AD118D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470"/>
    <w:multiLevelType w:val="hybridMultilevel"/>
    <w:tmpl w:val="6172C37A"/>
    <w:lvl w:ilvl="0" w:tplc="9DF2DAD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1586BC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6A2885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D84341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E91EAF3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C58BDE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5EAF54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E578A7A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86C69E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D33072E"/>
    <w:multiLevelType w:val="hybridMultilevel"/>
    <w:tmpl w:val="41247A3E"/>
    <w:lvl w:ilvl="0" w:tplc="FA80A5C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B265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5E2ADD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3D85F8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83207A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5C4004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0F0473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528240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96A76F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B69368E"/>
    <w:multiLevelType w:val="hybridMultilevel"/>
    <w:tmpl w:val="2DD4ABBC"/>
    <w:lvl w:ilvl="0" w:tplc="C7A0012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70A28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C30089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14E27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17EECD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E7843D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2D85C2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21E9A9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1D6951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09E0994"/>
    <w:multiLevelType w:val="hybridMultilevel"/>
    <w:tmpl w:val="6910ED62"/>
    <w:lvl w:ilvl="0" w:tplc="605AC6A4">
      <w:start w:val="1"/>
      <w:numFmt w:val="decimal"/>
      <w:lvlText w:val="%1."/>
      <w:lvlJc w:val="left"/>
      <w:pPr>
        <w:ind w:left="11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2F83DD0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9F5ADC30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C9F8BADC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1BE816A6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6666ADBC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830E3A9A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A9849BE0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759A2F78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C503958"/>
    <w:multiLevelType w:val="hybridMultilevel"/>
    <w:tmpl w:val="63AC130E"/>
    <w:lvl w:ilvl="0" w:tplc="55C4B6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02EFBC">
      <w:start w:val="1"/>
      <w:numFmt w:val="lowerLetter"/>
      <w:lvlText w:val="%2)"/>
      <w:lvlJc w:val="left"/>
      <w:pPr>
        <w:ind w:left="11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F486012">
      <w:numFmt w:val="bullet"/>
      <w:lvlText w:val="•"/>
      <w:lvlJc w:val="left"/>
      <w:pPr>
        <w:ind w:left="2080" w:hanging="360"/>
      </w:pPr>
      <w:rPr>
        <w:rFonts w:hint="default"/>
        <w:lang w:val="cs-CZ" w:eastAsia="en-US" w:bidi="ar-SA"/>
      </w:rPr>
    </w:lvl>
    <w:lvl w:ilvl="3" w:tplc="09067498">
      <w:numFmt w:val="bullet"/>
      <w:lvlText w:val="•"/>
      <w:lvlJc w:val="left"/>
      <w:pPr>
        <w:ind w:left="3060" w:hanging="360"/>
      </w:pPr>
      <w:rPr>
        <w:rFonts w:hint="default"/>
        <w:lang w:val="cs-CZ" w:eastAsia="en-US" w:bidi="ar-SA"/>
      </w:rPr>
    </w:lvl>
    <w:lvl w:ilvl="4" w:tplc="5158EF9C">
      <w:numFmt w:val="bullet"/>
      <w:lvlText w:val="•"/>
      <w:lvlJc w:val="left"/>
      <w:pPr>
        <w:ind w:left="4040" w:hanging="360"/>
      </w:pPr>
      <w:rPr>
        <w:rFonts w:hint="default"/>
        <w:lang w:val="cs-CZ" w:eastAsia="en-US" w:bidi="ar-SA"/>
      </w:rPr>
    </w:lvl>
    <w:lvl w:ilvl="5" w:tplc="D55E173C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C44C4552">
      <w:numFmt w:val="bullet"/>
      <w:lvlText w:val="•"/>
      <w:lvlJc w:val="left"/>
      <w:pPr>
        <w:ind w:left="6000" w:hanging="360"/>
      </w:pPr>
      <w:rPr>
        <w:rFonts w:hint="default"/>
        <w:lang w:val="cs-CZ" w:eastAsia="en-US" w:bidi="ar-SA"/>
      </w:rPr>
    </w:lvl>
    <w:lvl w:ilvl="7" w:tplc="AD365F4A">
      <w:numFmt w:val="bullet"/>
      <w:lvlText w:val="•"/>
      <w:lvlJc w:val="left"/>
      <w:pPr>
        <w:ind w:left="6980" w:hanging="360"/>
      </w:pPr>
      <w:rPr>
        <w:rFonts w:hint="default"/>
        <w:lang w:val="cs-CZ" w:eastAsia="en-US" w:bidi="ar-SA"/>
      </w:rPr>
    </w:lvl>
    <w:lvl w:ilvl="8" w:tplc="1B560D9A">
      <w:numFmt w:val="bullet"/>
      <w:lvlText w:val="•"/>
      <w:lvlJc w:val="left"/>
      <w:pPr>
        <w:ind w:left="796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01D0328"/>
    <w:multiLevelType w:val="hybridMultilevel"/>
    <w:tmpl w:val="A20C3EF8"/>
    <w:lvl w:ilvl="0" w:tplc="202CA3A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A4052D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11EEFE2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35C8A05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89A047D4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36C6E1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87EC30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1E6ED1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DC9CF1E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3D215A90"/>
    <w:multiLevelType w:val="hybridMultilevel"/>
    <w:tmpl w:val="23F85048"/>
    <w:lvl w:ilvl="0" w:tplc="2C422A0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FE98A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BA68AFD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D6A88BD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12A592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73434F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42728DA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E066B5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CDC7A6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38062AE"/>
    <w:multiLevelType w:val="hybridMultilevel"/>
    <w:tmpl w:val="E774ED94"/>
    <w:lvl w:ilvl="0" w:tplc="EBC8E1D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632552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CFE085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FAE5EB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942972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5064AC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A26118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1AE37A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8601C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EDA782F"/>
    <w:multiLevelType w:val="hybridMultilevel"/>
    <w:tmpl w:val="ECD6797E"/>
    <w:lvl w:ilvl="0" w:tplc="3E96950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567E5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E36EE06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05D05A9A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449EB96C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10CA88F8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1036338E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497C790E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AA0C2EB6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4385C19"/>
    <w:multiLevelType w:val="hybridMultilevel"/>
    <w:tmpl w:val="EF16D8CA"/>
    <w:lvl w:ilvl="0" w:tplc="69484A8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AEDCD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838535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6B6041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364D3D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AA818A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174E3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4CE1A7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D4C410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69"/>
    <w:rsid w:val="00344469"/>
    <w:rsid w:val="00AD118D"/>
    <w:rsid w:val="00C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B43FB0-525B-46B0-BE9A-41226A17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4566</Words>
  <Characters>26946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2025-01-03T09:38:00Z</dcterms:created>
  <dcterms:modified xsi:type="dcterms:W3CDTF">2025-01-03T09:38:00Z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