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D83007F" w:rsidR="00D859C2" w:rsidRPr="00726B26" w:rsidRDefault="003F38EE" w:rsidP="00D859C2">
      <w:pPr>
        <w:rPr>
          <w:b/>
        </w:rPr>
      </w:pPr>
      <w:r w:rsidRPr="003F38EE">
        <w:rPr>
          <w:b/>
        </w:rPr>
        <w:t>Medisyner s.r.o.</w:t>
      </w:r>
    </w:p>
    <w:p w14:paraId="3DADA2B1" w14:textId="78CEF10E" w:rsidR="00D859C2" w:rsidRDefault="00D859C2" w:rsidP="00D859C2">
      <w:r>
        <w:t xml:space="preserve">IČ: </w:t>
      </w:r>
      <w:r w:rsidR="003F38EE">
        <w:t>24815349</w:t>
      </w:r>
    </w:p>
    <w:p w14:paraId="494735B8" w14:textId="31AD4A6E" w:rsidR="00D859C2" w:rsidRPr="00512AB9" w:rsidRDefault="00D859C2" w:rsidP="00D859C2">
      <w:r>
        <w:t xml:space="preserve">DIČ: </w:t>
      </w:r>
      <w:r w:rsidR="003F38EE">
        <w:t>CZ24815349</w:t>
      </w:r>
    </w:p>
    <w:p w14:paraId="4BE4B061" w14:textId="7DD7157D" w:rsidR="00D859C2" w:rsidRPr="00512AB9" w:rsidRDefault="00D859C2" w:rsidP="00D859C2">
      <w:r>
        <w:t>se sídlem</w:t>
      </w:r>
      <w:r w:rsidRPr="00512AB9">
        <w:t xml:space="preserve">:  </w:t>
      </w:r>
      <w:r w:rsidR="003F38EE">
        <w:t>Lisabonská 799/8, 190 00 Praha</w:t>
      </w:r>
    </w:p>
    <w:p w14:paraId="1F4F5F98" w14:textId="2CA394B6" w:rsidR="00D859C2" w:rsidRPr="00512AB9" w:rsidRDefault="00D859C2" w:rsidP="00D859C2">
      <w:r>
        <w:t>zastoupena</w:t>
      </w:r>
      <w:r w:rsidRPr="00512AB9">
        <w:t xml:space="preserve">: </w:t>
      </w:r>
      <w:r w:rsidR="003F38EE">
        <w:t>Ing. Martinem Čiháčkem, jednatelem</w:t>
      </w:r>
    </w:p>
    <w:p w14:paraId="43130257" w14:textId="5C07A555" w:rsidR="00D859C2" w:rsidRPr="00512AB9" w:rsidRDefault="00D859C2" w:rsidP="00D859C2">
      <w:r w:rsidRPr="00512AB9">
        <w:t xml:space="preserve">bankovní spojení: </w:t>
      </w:r>
      <w:r w:rsidR="003F38EE">
        <w:t>Moneta Bank a.s.</w:t>
      </w:r>
    </w:p>
    <w:p w14:paraId="4B4D9F51" w14:textId="632951B0" w:rsidR="00D859C2" w:rsidRPr="00512AB9" w:rsidRDefault="00D859C2" w:rsidP="00D859C2">
      <w:r w:rsidRPr="00512AB9">
        <w:t xml:space="preserve">číslo účtu: </w:t>
      </w:r>
      <w:r w:rsidR="003F38EE">
        <w:t>210259475/0600</w:t>
      </w:r>
    </w:p>
    <w:p w14:paraId="7BE5CCD9" w14:textId="2C377AE8" w:rsidR="00D859C2" w:rsidRPr="00512AB9" w:rsidRDefault="00D859C2" w:rsidP="00D859C2">
      <w:r>
        <w:t>z</w:t>
      </w:r>
      <w:r w:rsidRPr="00512AB9">
        <w:t>apsán</w:t>
      </w:r>
      <w:r>
        <w:t>a</w:t>
      </w:r>
      <w:r w:rsidRPr="00512AB9">
        <w:t xml:space="preserve"> v obchodním rejstříku vedeném </w:t>
      </w:r>
      <w:r w:rsidR="003F38EE">
        <w:t>Městským soudem</w:t>
      </w:r>
      <w:r w:rsidRPr="00652864">
        <w:t xml:space="preserve"> v </w:t>
      </w:r>
      <w:r w:rsidR="003F38EE">
        <w:t>Praze</w:t>
      </w:r>
      <w:r w:rsidRPr="00652864">
        <w:t xml:space="preserve">, oddíl </w:t>
      </w:r>
      <w:r w:rsidR="003F38EE">
        <w:t>C</w:t>
      </w:r>
      <w:r w:rsidRPr="00652864">
        <w:t xml:space="preserve">, vložka </w:t>
      </w:r>
      <w:r w:rsidR="003F38EE">
        <w:t>176833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4F1B80C"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w:t>
      </w:r>
      <w:r w:rsidR="00E16841">
        <w:t xml:space="preserve"> „</w:t>
      </w:r>
      <w:r w:rsidR="00E16841" w:rsidRPr="00E16841">
        <w:rPr>
          <w:b/>
        </w:rPr>
        <w:t>EKG navigace</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6A1ACC25"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222C6E">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5C9544F0"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3D3AA1E8" w14:textId="77777777" w:rsidR="000D020E" w:rsidRDefault="000D020E" w:rsidP="00287EF5">
      <w:pPr>
        <w:pStyle w:val="Odstavecsmlouvy"/>
        <w:numPr>
          <w:ilvl w:val="0"/>
          <w:numId w:val="0"/>
        </w:numPr>
      </w:pPr>
      <w:bookmarkStart w:id="0" w:name="_Ref98508647"/>
    </w:p>
    <w:p w14:paraId="262FC22F" w14:textId="0BC2F664" w:rsidR="009A7E08" w:rsidRDefault="00236BD3" w:rsidP="009A7E08">
      <w:pPr>
        <w:pStyle w:val="Odstavecsmlouvy"/>
        <w:numPr>
          <w:ilvl w:val="1"/>
          <w:numId w:val="2"/>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w:t>
      </w:r>
      <w:r>
        <w:lastRenderedPageBreak/>
        <w:t>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0"/>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1" w:name="_Ref77341478"/>
      <w:bookmarkStart w:id="2" w:name="_Ref46315892"/>
      <w:bookmarkStart w:id="3" w:name="_Ref116304982"/>
      <w:bookmarkEnd w:id="1"/>
      <w:bookmarkEnd w:id="2"/>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3"/>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135F259F"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3F38EE">
        <w:t>1</w:t>
      </w:r>
      <w:r w:rsidR="002F4F30" w:rsidRPr="00D859C2">
        <w:t xml:space="preserve"> ks </w:t>
      </w:r>
      <w:r w:rsidR="003F38EE">
        <w:t>EKG navigace</w:t>
      </w:r>
      <w:r w:rsidR="008645D8" w:rsidRPr="00D859C2">
        <w:rPr>
          <w:b/>
        </w:rPr>
        <w:t xml:space="preserve">, typ: </w:t>
      </w:r>
      <w:r w:rsidR="003F38EE">
        <w:rPr>
          <w:b/>
        </w:rPr>
        <w:t>C3 WAVE</w:t>
      </w:r>
      <w:r w:rsidR="004453FF" w:rsidRPr="00D859C2">
        <w:rPr>
          <w:b/>
        </w:rPr>
        <w:t xml:space="preserve">, výrobce </w:t>
      </w:r>
      <w:r w:rsidR="003F38EE">
        <w:rPr>
          <w:b/>
        </w:rPr>
        <w:t>Medical Components USA</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CC3CA1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E16841">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CD5694B" w:rsidR="00BE2371" w:rsidRPr="00D859C2" w:rsidRDefault="003F7B02" w:rsidP="00D859C2">
      <w:pPr>
        <w:pStyle w:val="Odstavecsmlouvy"/>
      </w:pPr>
      <w:r w:rsidRPr="00D859C2">
        <w:t xml:space="preserve">Místem dodání Zboží </w:t>
      </w:r>
      <w:r w:rsidR="00D50BBE" w:rsidRPr="00D859C2">
        <w:t xml:space="preserve">je </w:t>
      </w:r>
      <w:r w:rsidR="00E16841">
        <w:t>Klinika dětské onkologie, FN Brno,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33B769FC" w:rsidR="00D82704" w:rsidRDefault="009A3D16" w:rsidP="00617717">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091FC0">
        <w:t xml:space="preserve"> XXXXX, tel.: XXXXX</w:t>
      </w:r>
      <w:r w:rsidR="00E16841">
        <w:t xml:space="preserve"> </w:t>
      </w:r>
      <w:r w:rsidR="00DE3A3F" w:rsidRPr="00D859C2">
        <w:t>a písemně na e-mail:</w:t>
      </w:r>
      <w:r w:rsidR="00091FC0">
        <w:t xml:space="preserve"> XXXXX</w:t>
      </w:r>
      <w:r w:rsidR="00E16841">
        <w:t xml:space="preserve"> </w:t>
      </w:r>
      <w:r w:rsidRPr="00D859C2">
        <w:t>Bez tohoto oznámení není Kupující povinen Zboží převzít.</w:t>
      </w:r>
      <w:r w:rsidR="00B91037" w:rsidRPr="00D859C2">
        <w:t xml:space="preserve"> </w:t>
      </w:r>
    </w:p>
    <w:p w14:paraId="2C3C7460" w14:textId="77777777" w:rsidR="00E16841" w:rsidRPr="00E16841" w:rsidRDefault="00E16841" w:rsidP="00E16841">
      <w:pPr>
        <w:pStyle w:val="Odstavecsmlouvy"/>
        <w:numPr>
          <w:ilvl w:val="0"/>
          <w:numId w:val="0"/>
        </w:numPr>
        <w:tabs>
          <w:tab w:val="left" w:pos="709"/>
        </w:tabs>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4" w:name="_Ref31278541"/>
      <w:r>
        <w:t>Montáž</w:t>
      </w:r>
      <w:bookmarkEnd w:id="4"/>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83"/>
        <w:gridCol w:w="3780"/>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44B7FEB9" w:rsidR="00D859C2" w:rsidRPr="005B49AA" w:rsidRDefault="001D1AF0" w:rsidP="000E79CE">
            <w:pPr>
              <w:pStyle w:val="Zkladntext3"/>
              <w:rPr>
                <w:b/>
                <w:sz w:val="22"/>
                <w:szCs w:val="22"/>
              </w:rPr>
            </w:pPr>
            <w:r>
              <w:rPr>
                <w:b/>
                <w:sz w:val="22"/>
                <w:szCs w:val="22"/>
              </w:rPr>
              <w:t>174.000</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20494AD7" w:rsidR="00D859C2" w:rsidRPr="005B49AA" w:rsidRDefault="00D859C2" w:rsidP="000E79CE">
            <w:pPr>
              <w:pStyle w:val="Zkladntext3"/>
              <w:rPr>
                <w:b/>
                <w:sz w:val="22"/>
                <w:szCs w:val="22"/>
              </w:rPr>
            </w:pPr>
            <w:r w:rsidRPr="005B49AA">
              <w:rPr>
                <w:b/>
                <w:sz w:val="22"/>
                <w:szCs w:val="22"/>
              </w:rPr>
              <w:t xml:space="preserve">DPH </w:t>
            </w:r>
            <w:r w:rsidR="001D1AF0">
              <w:rPr>
                <w:b/>
                <w:sz w:val="22"/>
                <w:szCs w:val="22"/>
              </w:rPr>
              <w:t>21</w:t>
            </w:r>
            <w:r w:rsidRPr="005B49AA">
              <w:rPr>
                <w:b/>
                <w:sz w:val="22"/>
                <w:szCs w:val="22"/>
              </w:rPr>
              <w:t xml:space="preserve"> %:</w:t>
            </w:r>
          </w:p>
        </w:tc>
        <w:tc>
          <w:tcPr>
            <w:tcW w:w="4253" w:type="dxa"/>
            <w:shd w:val="clear" w:color="auto" w:fill="auto"/>
          </w:tcPr>
          <w:p w14:paraId="44D4CFEA" w14:textId="5C6329EB" w:rsidR="00D859C2" w:rsidRPr="005B49AA" w:rsidRDefault="001D1AF0" w:rsidP="000E79CE">
            <w:pPr>
              <w:pStyle w:val="Zkladntext3"/>
              <w:rPr>
                <w:b/>
                <w:sz w:val="22"/>
                <w:szCs w:val="22"/>
              </w:rPr>
            </w:pPr>
            <w:r>
              <w:rPr>
                <w:b/>
                <w:sz w:val="22"/>
                <w:szCs w:val="22"/>
              </w:rPr>
              <w:t>36.540</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95A29DA" w:rsidR="00D859C2" w:rsidRPr="005B49AA" w:rsidRDefault="001D1AF0" w:rsidP="000E79CE">
            <w:pPr>
              <w:pStyle w:val="Zkladntext3"/>
              <w:rPr>
                <w:b/>
                <w:sz w:val="22"/>
                <w:szCs w:val="22"/>
              </w:rPr>
            </w:pPr>
            <w:r>
              <w:rPr>
                <w:b/>
                <w:sz w:val="22"/>
                <w:szCs w:val="22"/>
              </w:rPr>
              <w:t>210.540</w:t>
            </w:r>
            <w:r w:rsidR="00D859C2" w:rsidRPr="005B49AA">
              <w:rPr>
                <w:b/>
                <w:sz w:val="22"/>
                <w:szCs w:val="22"/>
              </w:rPr>
              <w:t xml:space="preserve"> Kč</w:t>
            </w:r>
          </w:p>
        </w:tc>
      </w:tr>
    </w:tbl>
    <w:p w14:paraId="183039AC" w14:textId="77777777" w:rsidR="00D859C2" w:rsidRDefault="00D859C2" w:rsidP="003E4543"/>
    <w:p w14:paraId="5A41E830" w14:textId="2D7F4B23"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10A82C59"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EE5C13">
        <w:t>3</w:t>
      </w:r>
      <w:r w:rsidRPr="00D859C2">
        <w:t xml:space="preserve">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5"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6"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5"/>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6"/>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5FDB87B3" w:rsidR="00F06B76" w:rsidRPr="00D859C2" w:rsidRDefault="00563528" w:rsidP="00094B12">
      <w:pPr>
        <w:pStyle w:val="Odstavecsmlouvy"/>
      </w:pPr>
      <w:bookmarkStart w:id="7"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222C6E">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222C6E">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7"/>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8"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8"/>
    </w:p>
    <w:p w14:paraId="2B4A66EE" w14:textId="77777777" w:rsidR="0009512B" w:rsidRDefault="0009512B" w:rsidP="0009512B">
      <w:pPr>
        <w:pStyle w:val="Odstavecsmlouvy"/>
        <w:numPr>
          <w:ilvl w:val="0"/>
          <w:numId w:val="0"/>
        </w:numPr>
        <w:ind w:left="567"/>
      </w:pPr>
    </w:p>
    <w:p w14:paraId="6E88F1D6" w14:textId="68CBDD06"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222C6E">
        <w:t>VIII.2</w:t>
      </w:r>
      <w:r>
        <w:fldChar w:fldCharType="end"/>
      </w:r>
      <w:r>
        <w:t xml:space="preserve"> ani </w:t>
      </w:r>
      <w:r>
        <w:fldChar w:fldCharType="begin"/>
      </w:r>
      <w:r>
        <w:instrText xml:space="preserve"> REF _Ref171692445 \r \h </w:instrText>
      </w:r>
      <w:r>
        <w:fldChar w:fldCharType="separate"/>
      </w:r>
      <w:r w:rsidR="00222C6E">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28F93D24"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222C6E">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5662782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222C6E">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FE29471"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222C6E">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313A8C01" w14:textId="77777777" w:rsidR="00B26411" w:rsidRPr="00D859C2" w:rsidRDefault="00B26411" w:rsidP="00B26411">
      <w:pPr>
        <w:pStyle w:val="Odstavecsmlouvy"/>
        <w:numPr>
          <w:ilvl w:val="0"/>
          <w:numId w:val="0"/>
        </w:numPr>
        <w:ind w:left="567"/>
      </w:pP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9"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0" w:name="_Ref41464712"/>
      <w:bookmarkStart w:id="11"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0"/>
    </w:p>
    <w:bookmarkEnd w:id="11"/>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2" w:name="_Ref41464266"/>
      <w:r>
        <w:t>Ochrana osobních údajů a kybernetická bezpečnost</w:t>
      </w:r>
      <w:bookmarkEnd w:id="12"/>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3"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3"/>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4"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4"/>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6EE60109" w:rsidR="004A1880"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222C6E">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9"/>
    <w:p w14:paraId="1C52874B" w14:textId="77777777" w:rsidR="004A1880" w:rsidRDefault="004A1880" w:rsidP="004A1880"/>
    <w:p w14:paraId="2E19E27F" w14:textId="77777777" w:rsidR="00B26411" w:rsidRDefault="00B26411" w:rsidP="004A1880"/>
    <w:p w14:paraId="749D79A5" w14:textId="77777777" w:rsidR="00B26411" w:rsidRDefault="00B26411" w:rsidP="004A1880"/>
    <w:p w14:paraId="5850AC25" w14:textId="77777777" w:rsidR="00B26411" w:rsidRDefault="00B26411" w:rsidP="004A1880"/>
    <w:p w14:paraId="29E8F55D" w14:textId="77777777" w:rsidR="00B26411" w:rsidRDefault="00B26411" w:rsidP="004A1880">
      <w:bookmarkStart w:id="15" w:name="_GoBack"/>
      <w:bookmarkEnd w:id="15"/>
    </w:p>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1519B4" w:rsidR="00327588" w:rsidRPr="00D859C2" w:rsidRDefault="00497922" w:rsidP="00094B12">
      <w:pPr>
        <w:pStyle w:val="Odstavecsmlouvy"/>
        <w:rPr>
          <w:snapToGrid w:val="0"/>
        </w:rPr>
      </w:pPr>
      <w:r>
        <w:rPr>
          <w:snapToGrid w:val="0"/>
        </w:rPr>
        <w:t xml:space="preserve">Tato smlouva je sepsána ve </w:t>
      </w:r>
      <w:r w:rsidR="00E16841">
        <w:rPr>
          <w:snapToGrid w:val="0"/>
        </w:rPr>
        <w:t>dvou</w:t>
      </w:r>
      <w:r>
        <w:rPr>
          <w:snapToGrid w:val="0"/>
        </w:rPr>
        <w:t xml:space="preserve"> vyhotoveních stejné platnosti a závaznosti, přičemž Prodávající obdrží jedno vyhotovení a Kupující obdrží </w:t>
      </w:r>
      <w:r w:rsidR="00E16841">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3F38EE" w:rsidRPr="00D722DC" w14:paraId="3036FF83" w14:textId="77777777" w:rsidTr="00160D16">
        <w:tc>
          <w:tcPr>
            <w:tcW w:w="3802" w:type="dxa"/>
            <w:shd w:val="clear" w:color="auto" w:fill="auto"/>
          </w:tcPr>
          <w:p w14:paraId="69B3B101" w14:textId="7FAA8A80"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3F38EE">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3F38EE"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3F38EE" w:rsidRPr="00D722DC" w14:paraId="1CC101F5" w14:textId="77777777" w:rsidTr="00160D16">
        <w:tc>
          <w:tcPr>
            <w:tcW w:w="3802" w:type="dxa"/>
            <w:tcBorders>
              <w:top w:val="single" w:sz="4" w:space="0" w:color="auto"/>
            </w:tcBorders>
            <w:shd w:val="clear" w:color="auto" w:fill="auto"/>
          </w:tcPr>
          <w:p w14:paraId="5D9AD45F" w14:textId="6CC2389C" w:rsidR="00094B12" w:rsidRPr="003F38EE" w:rsidRDefault="003F38EE" w:rsidP="000E79CE">
            <w:pPr>
              <w:pStyle w:val="slovn"/>
              <w:numPr>
                <w:ilvl w:val="0"/>
                <w:numId w:val="0"/>
              </w:numPr>
              <w:tabs>
                <w:tab w:val="num" w:pos="567"/>
              </w:tabs>
              <w:spacing w:after="0" w:line="280" w:lineRule="atLeast"/>
              <w:jc w:val="center"/>
              <w:rPr>
                <w:b/>
                <w:sz w:val="22"/>
                <w:szCs w:val="22"/>
              </w:rPr>
            </w:pPr>
            <w:r w:rsidRPr="003F38EE">
              <w:rPr>
                <w:b/>
                <w:sz w:val="22"/>
                <w:szCs w:val="22"/>
              </w:rPr>
              <w:t>Medisyner s.r.o.</w:t>
            </w:r>
          </w:p>
          <w:p w14:paraId="17D23793" w14:textId="20E5C15D" w:rsidR="00094B12" w:rsidRPr="00D722DC" w:rsidRDefault="003F38EE" w:rsidP="000E79CE">
            <w:pPr>
              <w:pStyle w:val="slovn"/>
              <w:numPr>
                <w:ilvl w:val="0"/>
                <w:numId w:val="0"/>
              </w:numPr>
              <w:tabs>
                <w:tab w:val="num" w:pos="567"/>
              </w:tabs>
              <w:spacing w:after="0" w:line="280" w:lineRule="atLeast"/>
              <w:jc w:val="center"/>
              <w:rPr>
                <w:sz w:val="22"/>
                <w:szCs w:val="22"/>
              </w:rPr>
            </w:pPr>
            <w:r w:rsidRPr="003F38EE">
              <w:rPr>
                <w:sz w:val="22"/>
                <w:szCs w:val="22"/>
              </w:rPr>
              <w:t>Ing. Martin Čiháček, jednatel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tbl>
      <w:tblPr>
        <w:tblStyle w:val="Mkatabulky"/>
        <w:tblW w:w="0" w:type="auto"/>
        <w:tblInd w:w="284" w:type="dxa"/>
        <w:tblLook w:val="04A0" w:firstRow="1" w:lastRow="0" w:firstColumn="1" w:lastColumn="0" w:noHBand="0" w:noVBand="1"/>
      </w:tblPr>
      <w:tblGrid>
        <w:gridCol w:w="1785"/>
        <w:gridCol w:w="1811"/>
        <w:gridCol w:w="1731"/>
        <w:gridCol w:w="1719"/>
        <w:gridCol w:w="1732"/>
      </w:tblGrid>
      <w:tr w:rsidR="001D1AF0" w14:paraId="121549B9" w14:textId="77777777" w:rsidTr="001D1AF0">
        <w:tc>
          <w:tcPr>
            <w:tcW w:w="1812" w:type="dxa"/>
          </w:tcPr>
          <w:p w14:paraId="29E13B34" w14:textId="33F34C1E" w:rsidR="001D1AF0" w:rsidRPr="001D1AF0" w:rsidRDefault="001D1AF0" w:rsidP="00094B12">
            <w:r w:rsidRPr="001D1AF0">
              <w:t>Obj. kód</w:t>
            </w:r>
          </w:p>
        </w:tc>
        <w:tc>
          <w:tcPr>
            <w:tcW w:w="1812" w:type="dxa"/>
          </w:tcPr>
          <w:p w14:paraId="40A90EB6" w14:textId="6BD42044" w:rsidR="001D1AF0" w:rsidRPr="001D1AF0" w:rsidRDefault="001D1AF0" w:rsidP="00094B12">
            <w:r w:rsidRPr="001D1AF0">
              <w:t>Popis</w:t>
            </w:r>
          </w:p>
        </w:tc>
        <w:tc>
          <w:tcPr>
            <w:tcW w:w="1812" w:type="dxa"/>
          </w:tcPr>
          <w:p w14:paraId="30A62746" w14:textId="27B7AB3A" w:rsidR="001D1AF0" w:rsidRPr="001D1AF0" w:rsidRDefault="001D1AF0" w:rsidP="00094B12">
            <w:r w:rsidRPr="001D1AF0">
              <w:t>Cena za ks bez DPH</w:t>
            </w:r>
          </w:p>
        </w:tc>
        <w:tc>
          <w:tcPr>
            <w:tcW w:w="1813" w:type="dxa"/>
          </w:tcPr>
          <w:p w14:paraId="713D6305" w14:textId="2CFAE787" w:rsidR="001D1AF0" w:rsidRPr="001D1AF0" w:rsidRDefault="001D1AF0" w:rsidP="00094B12">
            <w:r w:rsidRPr="001D1AF0">
              <w:t>DPH 21%</w:t>
            </w:r>
          </w:p>
        </w:tc>
        <w:tc>
          <w:tcPr>
            <w:tcW w:w="1813" w:type="dxa"/>
          </w:tcPr>
          <w:p w14:paraId="5B0CB8AA" w14:textId="618658AA" w:rsidR="001D1AF0" w:rsidRPr="001D1AF0" w:rsidRDefault="001D1AF0" w:rsidP="00094B12">
            <w:r w:rsidRPr="001D1AF0">
              <w:t>Cena za ks s DPH</w:t>
            </w:r>
          </w:p>
        </w:tc>
      </w:tr>
      <w:tr w:rsidR="001D1AF0" w14:paraId="7C635846" w14:textId="77777777" w:rsidTr="001D1AF0">
        <w:tc>
          <w:tcPr>
            <w:tcW w:w="1812" w:type="dxa"/>
          </w:tcPr>
          <w:p w14:paraId="55B9EA44" w14:textId="235DFD1A" w:rsidR="001D1AF0" w:rsidRPr="001D1AF0" w:rsidRDefault="001D1AF0" w:rsidP="00094B12">
            <w:r w:rsidRPr="001D1AF0">
              <w:t>MRC3S01EU</w:t>
            </w:r>
          </w:p>
        </w:tc>
        <w:tc>
          <w:tcPr>
            <w:tcW w:w="1812" w:type="dxa"/>
          </w:tcPr>
          <w:p w14:paraId="585D050C" w14:textId="40688F71" w:rsidR="001D1AF0" w:rsidRPr="001D1AF0" w:rsidRDefault="001D1AF0" w:rsidP="00094B12">
            <w:r w:rsidRPr="001D1AF0">
              <w:t>EKG navigační systém s příslušenstvím komplet</w:t>
            </w:r>
          </w:p>
        </w:tc>
        <w:tc>
          <w:tcPr>
            <w:tcW w:w="1812" w:type="dxa"/>
          </w:tcPr>
          <w:p w14:paraId="03978F1B" w14:textId="3A257D38" w:rsidR="001D1AF0" w:rsidRPr="001D1AF0" w:rsidRDefault="001D1AF0" w:rsidP="00094B12">
            <w:r w:rsidRPr="001D1AF0">
              <w:t>174.000 Kč</w:t>
            </w:r>
          </w:p>
        </w:tc>
        <w:tc>
          <w:tcPr>
            <w:tcW w:w="1813" w:type="dxa"/>
          </w:tcPr>
          <w:p w14:paraId="6859A7F1" w14:textId="0A31F8E1" w:rsidR="001D1AF0" w:rsidRPr="001D1AF0" w:rsidRDefault="001D1AF0" w:rsidP="00094B12">
            <w:r w:rsidRPr="001D1AF0">
              <w:t>36.540 Kč</w:t>
            </w:r>
          </w:p>
        </w:tc>
        <w:tc>
          <w:tcPr>
            <w:tcW w:w="1813" w:type="dxa"/>
          </w:tcPr>
          <w:p w14:paraId="528CBE0A" w14:textId="1395C3D0" w:rsidR="001D1AF0" w:rsidRPr="001D1AF0" w:rsidRDefault="001D1AF0" w:rsidP="00094B12">
            <w:r w:rsidRPr="001D1AF0">
              <w:t>210.540 Kč</w:t>
            </w:r>
          </w:p>
        </w:tc>
      </w:tr>
    </w:tbl>
    <w:p w14:paraId="652F20A5" w14:textId="74A5B3A0" w:rsidR="00094B12" w:rsidRDefault="00094B12" w:rsidP="00094B12">
      <w:pPr>
        <w:ind w:left="284" w:hanging="5"/>
      </w:pPr>
    </w:p>
    <w:p w14:paraId="3F806710" w14:textId="77777777" w:rsidR="00A05D45" w:rsidRDefault="00A05D45" w:rsidP="00094B12">
      <w:pPr>
        <w:ind w:left="284" w:hanging="5"/>
      </w:pPr>
    </w:p>
    <w:p w14:paraId="6E12535E" w14:textId="77777777" w:rsidR="001D1AF0" w:rsidRDefault="001D1AF0">
      <w:pPr>
        <w:spacing w:line="240" w:lineRule="auto"/>
        <w:jc w:val="left"/>
      </w:pPr>
    </w:p>
    <w:p w14:paraId="1B675495" w14:textId="77777777" w:rsidR="001D1AF0" w:rsidRDefault="001D1AF0" w:rsidP="001D1AF0">
      <w:pPr>
        <w:ind w:left="284" w:hanging="5"/>
      </w:pPr>
      <w:r>
        <w:t>EKG navigační systém C3 WAVE zahrnuje:</w:t>
      </w:r>
    </w:p>
    <w:p w14:paraId="66249B1D" w14:textId="77777777" w:rsidR="001D1AF0" w:rsidRDefault="001D1AF0" w:rsidP="001D1AF0">
      <w:pPr>
        <w:pStyle w:val="Odstavecseseznamem"/>
        <w:numPr>
          <w:ilvl w:val="0"/>
          <w:numId w:val="14"/>
        </w:numPr>
      </w:pPr>
      <w:r>
        <w:t>iPad pouzdro 1x (iPad case), ochranné pouzdro s VESA systémem</w:t>
      </w:r>
    </w:p>
    <w:p w14:paraId="255F9BB7" w14:textId="77777777" w:rsidR="001D1AF0" w:rsidRDefault="001D1AF0" w:rsidP="001D1AF0">
      <w:pPr>
        <w:pStyle w:val="Odstavecseseznamem"/>
        <w:numPr>
          <w:ilvl w:val="0"/>
          <w:numId w:val="14"/>
        </w:numPr>
      </w:pPr>
      <w:r>
        <w:t>iPad přístroj 1x (iPad), úhlopříčka 9,7 palce</w:t>
      </w:r>
    </w:p>
    <w:p w14:paraId="5FE57420" w14:textId="77777777" w:rsidR="001D1AF0" w:rsidRDefault="001D1AF0" w:rsidP="001D1AF0">
      <w:pPr>
        <w:pStyle w:val="Odstavecseseznamem"/>
        <w:numPr>
          <w:ilvl w:val="0"/>
          <w:numId w:val="14"/>
        </w:numPr>
      </w:pPr>
      <w:r>
        <w:t>Kapacita paměti tabletu – standardní verze 32 GB</w:t>
      </w:r>
    </w:p>
    <w:p w14:paraId="00A4D5C2" w14:textId="77777777" w:rsidR="001D1AF0" w:rsidRDefault="001D1AF0" w:rsidP="001D1AF0">
      <w:pPr>
        <w:pStyle w:val="Odstavecseseznamem"/>
        <w:numPr>
          <w:ilvl w:val="0"/>
          <w:numId w:val="14"/>
        </w:numPr>
      </w:pPr>
      <w:r>
        <w:t>C3 manuál v českém jazyce – tištěný</w:t>
      </w:r>
    </w:p>
    <w:p w14:paraId="4EA916B1" w14:textId="77777777" w:rsidR="001D1AF0" w:rsidRDefault="001D1AF0" w:rsidP="001D1AF0">
      <w:pPr>
        <w:pStyle w:val="Odstavecseseznamem"/>
        <w:numPr>
          <w:ilvl w:val="0"/>
          <w:numId w:val="14"/>
        </w:numPr>
      </w:pPr>
      <w:r>
        <w:t>Rozbočovač 1x (Hub)</w:t>
      </w:r>
    </w:p>
    <w:p w14:paraId="47D86C61" w14:textId="77777777" w:rsidR="001D1AF0" w:rsidRDefault="001D1AF0" w:rsidP="001D1AF0">
      <w:pPr>
        <w:pStyle w:val="Odstavecseseznamem"/>
        <w:numPr>
          <w:ilvl w:val="0"/>
          <w:numId w:val="14"/>
        </w:numPr>
      </w:pPr>
      <w:r>
        <w:t>Dokovací stanice 1x (Charger base)</w:t>
      </w:r>
    </w:p>
    <w:p w14:paraId="54C28FA4" w14:textId="77777777" w:rsidR="001D1AF0" w:rsidRDefault="001D1AF0" w:rsidP="001D1AF0">
      <w:pPr>
        <w:pStyle w:val="Odstavecseseznamem"/>
        <w:numPr>
          <w:ilvl w:val="0"/>
          <w:numId w:val="14"/>
        </w:numPr>
      </w:pPr>
      <w:r>
        <w:t>Dálkový ovladač 1x (Remote)</w:t>
      </w:r>
    </w:p>
    <w:p w14:paraId="470D6E94" w14:textId="77777777" w:rsidR="001D1AF0" w:rsidRDefault="001D1AF0" w:rsidP="001D1AF0">
      <w:pPr>
        <w:pStyle w:val="Odstavecseseznamem"/>
        <w:numPr>
          <w:ilvl w:val="0"/>
          <w:numId w:val="14"/>
        </w:numPr>
      </w:pPr>
      <w:r>
        <w:t>Nabíječka 2x (Power Supplies)</w:t>
      </w:r>
    </w:p>
    <w:p w14:paraId="69580219" w14:textId="77777777" w:rsidR="001D1AF0" w:rsidRDefault="001D1AF0" w:rsidP="001D1AF0">
      <w:pPr>
        <w:pStyle w:val="Odstavecseseznamem"/>
        <w:numPr>
          <w:ilvl w:val="0"/>
          <w:numId w:val="14"/>
        </w:numPr>
      </w:pPr>
      <w:r>
        <w:t>EKG elektrody 1x (ECG Snap Leads)</w:t>
      </w:r>
    </w:p>
    <w:p w14:paraId="70556D38" w14:textId="77777777" w:rsidR="001D1AF0" w:rsidRDefault="001D1AF0" w:rsidP="001D1AF0">
      <w:pPr>
        <w:pStyle w:val="Odstavecseseznamem"/>
        <w:numPr>
          <w:ilvl w:val="0"/>
          <w:numId w:val="14"/>
        </w:numPr>
      </w:pPr>
      <w:r>
        <w:t>Tiskárna štítků do dokumentace 1x (Brother QL-820-NWB)</w:t>
      </w:r>
    </w:p>
    <w:p w14:paraId="184BEC04" w14:textId="77777777" w:rsidR="001D1AF0" w:rsidRDefault="001D1AF0" w:rsidP="001D1AF0">
      <w:pPr>
        <w:pStyle w:val="Odstavecseseznamem"/>
        <w:numPr>
          <w:ilvl w:val="0"/>
          <w:numId w:val="14"/>
        </w:numPr>
      </w:pPr>
      <w:r>
        <w:t>Štítky do tiskárny 1x</w:t>
      </w:r>
    </w:p>
    <w:p w14:paraId="351C0C60" w14:textId="3CC9E178" w:rsidR="00A05D45" w:rsidRDefault="001D1AF0" w:rsidP="00053968">
      <w:pPr>
        <w:pStyle w:val="Odstavecseseznamem"/>
        <w:numPr>
          <w:ilvl w:val="0"/>
          <w:numId w:val="14"/>
        </w:numPr>
      </w:pPr>
      <w:r>
        <w:t>EKG kabel kompatibilní s navigací C3 WAVE – 10x</w:t>
      </w:r>
      <w:r w:rsidR="00A05D45">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7C27102A" w14:textId="43693C61" w:rsidR="009730A2" w:rsidRDefault="001C6A42" w:rsidP="009730A2">
      <w:r>
        <w:t>Nebude zapojeno do sítě FN Brno</w:t>
      </w:r>
    </w:p>
    <w:p w14:paraId="5B2206BC" w14:textId="77777777" w:rsidR="001C6A42" w:rsidRDefault="001C6A4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77777777" w:rsidR="009730A2" w:rsidRDefault="009730A2" w:rsidP="009730A2">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appliance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0F6BEE85" w14:textId="77777777" w:rsidR="009730A2" w:rsidRDefault="009730A2" w:rsidP="009730A2">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3316BF30"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1A7F048" w14:textId="77777777" w:rsidR="00287EF5" w:rsidRDefault="00287EF5"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45E48EE5" w:rsidR="009730A2" w:rsidRPr="00BC3BA9" w:rsidRDefault="001C6A42" w:rsidP="009730A2">
      <w:pPr>
        <w:pStyle w:val="Odstavecseseznamem"/>
        <w:spacing w:after="0" w:line="240" w:lineRule="auto"/>
        <w:rPr>
          <w:rFonts w:ascii="Arial" w:hAnsi="Arial"/>
        </w:rPr>
      </w:pPr>
      <w:r>
        <w:rPr>
          <w:rFonts w:ascii="Arial" w:hAnsi="Arial"/>
        </w:rPr>
        <w:t>Nebude zapojeno do sítě FN Brno</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98234" w14:textId="77777777" w:rsidR="003E4279" w:rsidRDefault="003E4279" w:rsidP="00FF18EB">
      <w:pPr>
        <w:spacing w:line="240" w:lineRule="auto"/>
      </w:pPr>
      <w:r>
        <w:separator/>
      </w:r>
    </w:p>
    <w:p w14:paraId="6EE4F8E1" w14:textId="77777777" w:rsidR="003E4279" w:rsidRDefault="003E4279"/>
  </w:endnote>
  <w:endnote w:type="continuationSeparator" w:id="0">
    <w:p w14:paraId="0A7AD89E" w14:textId="77777777" w:rsidR="003E4279" w:rsidRDefault="003E4279" w:rsidP="00FF18EB">
      <w:pPr>
        <w:spacing w:line="240" w:lineRule="auto"/>
      </w:pPr>
      <w:r>
        <w:continuationSeparator/>
      </w:r>
    </w:p>
    <w:p w14:paraId="25D4E3E4" w14:textId="77777777" w:rsidR="003E4279" w:rsidRDefault="003E4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26411" w:rsidRPr="00B26411">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FFF36" w14:textId="77777777" w:rsidR="003E4279" w:rsidRDefault="003E4279" w:rsidP="00FF18EB">
      <w:pPr>
        <w:spacing w:line="240" w:lineRule="auto"/>
      </w:pPr>
      <w:r>
        <w:separator/>
      </w:r>
    </w:p>
    <w:p w14:paraId="165EA492" w14:textId="77777777" w:rsidR="003E4279" w:rsidRDefault="003E4279"/>
  </w:footnote>
  <w:footnote w:type="continuationSeparator" w:id="0">
    <w:p w14:paraId="631F6C3A" w14:textId="77777777" w:rsidR="003E4279" w:rsidRDefault="003E4279" w:rsidP="00FF18EB">
      <w:pPr>
        <w:spacing w:line="240" w:lineRule="auto"/>
      </w:pPr>
      <w:r>
        <w:continuationSeparator/>
      </w:r>
    </w:p>
    <w:p w14:paraId="4787E57B" w14:textId="77777777" w:rsidR="003E4279" w:rsidRDefault="003E42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D2ECD" w14:textId="6E2A6839" w:rsidR="0086487B" w:rsidRDefault="0086487B" w:rsidP="0086487B">
    <w:pPr>
      <w:pStyle w:val="Zhlav"/>
      <w:jc w:val="right"/>
      <w:rPr>
        <w:lang w:val="cs-CZ"/>
      </w:rPr>
    </w:pPr>
    <w:r>
      <w:rPr>
        <w:lang w:val="cs-CZ"/>
      </w:rPr>
      <w:t>KP/4493/2024/Hd</w:t>
    </w:r>
  </w:p>
  <w:p w14:paraId="5B97EB4A" w14:textId="284F3728" w:rsidR="0086487B" w:rsidRPr="0086487B" w:rsidRDefault="0086487B" w:rsidP="0086487B">
    <w:pPr>
      <w:pStyle w:val="Zhlav"/>
      <w:jc w:val="right"/>
      <w:rPr>
        <w:lang w:val="cs-CZ"/>
      </w:rPr>
    </w:pPr>
    <w:r>
      <w:rPr>
        <w:lang w:val="cs-CZ"/>
      </w:rPr>
      <w:t>P24V00000767</w:t>
    </w:r>
  </w:p>
  <w:p w14:paraId="3027DE7F" w14:textId="77777777" w:rsidR="0086487B" w:rsidRDefault="008648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BCA"/>
    <w:rsid w:val="00026FB0"/>
    <w:rsid w:val="00030B47"/>
    <w:rsid w:val="00032F0B"/>
    <w:rsid w:val="000333EF"/>
    <w:rsid w:val="000376D7"/>
    <w:rsid w:val="0004519E"/>
    <w:rsid w:val="000476DB"/>
    <w:rsid w:val="00053968"/>
    <w:rsid w:val="00063C28"/>
    <w:rsid w:val="00064EF8"/>
    <w:rsid w:val="0006514B"/>
    <w:rsid w:val="000746D0"/>
    <w:rsid w:val="00082797"/>
    <w:rsid w:val="00082B4B"/>
    <w:rsid w:val="00085714"/>
    <w:rsid w:val="00085E6F"/>
    <w:rsid w:val="00091FC0"/>
    <w:rsid w:val="00094B12"/>
    <w:rsid w:val="0009512B"/>
    <w:rsid w:val="00095C75"/>
    <w:rsid w:val="00095F81"/>
    <w:rsid w:val="000B1AE0"/>
    <w:rsid w:val="000B3DB4"/>
    <w:rsid w:val="000B5BF7"/>
    <w:rsid w:val="000B5E9D"/>
    <w:rsid w:val="000B6580"/>
    <w:rsid w:val="000B6D0A"/>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57AD"/>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C6A42"/>
    <w:rsid w:val="001D1AF0"/>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22C6E"/>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87EF5"/>
    <w:rsid w:val="00290EF9"/>
    <w:rsid w:val="002943FF"/>
    <w:rsid w:val="0029524D"/>
    <w:rsid w:val="00296488"/>
    <w:rsid w:val="00297406"/>
    <w:rsid w:val="00297EE2"/>
    <w:rsid w:val="002A29DA"/>
    <w:rsid w:val="002A4107"/>
    <w:rsid w:val="002C040D"/>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279"/>
    <w:rsid w:val="003E4543"/>
    <w:rsid w:val="003E5323"/>
    <w:rsid w:val="003F025A"/>
    <w:rsid w:val="003F1759"/>
    <w:rsid w:val="003F27C5"/>
    <w:rsid w:val="003F38EE"/>
    <w:rsid w:val="003F584A"/>
    <w:rsid w:val="003F7B02"/>
    <w:rsid w:val="0040169F"/>
    <w:rsid w:val="00403192"/>
    <w:rsid w:val="00405FBD"/>
    <w:rsid w:val="00406BEA"/>
    <w:rsid w:val="004071A7"/>
    <w:rsid w:val="00415B16"/>
    <w:rsid w:val="00417243"/>
    <w:rsid w:val="0042712C"/>
    <w:rsid w:val="00427E17"/>
    <w:rsid w:val="00431845"/>
    <w:rsid w:val="0043486B"/>
    <w:rsid w:val="004453FF"/>
    <w:rsid w:val="0044678A"/>
    <w:rsid w:val="00453951"/>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07949"/>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875"/>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16BCB"/>
    <w:rsid w:val="007310E0"/>
    <w:rsid w:val="00735D41"/>
    <w:rsid w:val="0073763C"/>
    <w:rsid w:val="00743435"/>
    <w:rsid w:val="00744E5D"/>
    <w:rsid w:val="0075205D"/>
    <w:rsid w:val="00760FBC"/>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487B"/>
    <w:rsid w:val="00865A8C"/>
    <w:rsid w:val="00870B6F"/>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6411"/>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16841"/>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E5C13"/>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2CB71361"/>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f8073be8-ba4e-4991-92ef-8ca69007da56"/>
    <ds:schemaRef ds:uri="http://schemas.microsoft.com/office/2006/documentManagement/types"/>
    <ds:schemaRef ds:uri="cc852e05-94eb-48de-a089-3a35c1dd6218"/>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A4BFB63-B798-4652-83B4-E803F81B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8264</Words>
  <Characters>48760</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Hudcová Michaela</cp:lastModifiedBy>
  <cp:revision>7</cp:revision>
  <cp:lastPrinted>2024-10-22T14:32:00Z</cp:lastPrinted>
  <dcterms:created xsi:type="dcterms:W3CDTF">2024-12-05T12:29:00Z</dcterms:created>
  <dcterms:modified xsi:type="dcterms:W3CDTF">2025-01-02T14:10:00Z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