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4C7C" w14:textId="1096B4BD" w:rsidR="00A12192" w:rsidRPr="005B33CC" w:rsidRDefault="00A12192" w:rsidP="00A12192">
      <w:pPr>
        <w:pStyle w:val="Default"/>
        <w:jc w:val="center"/>
        <w:rPr>
          <w:b/>
          <w:bCs/>
          <w:sz w:val="32"/>
          <w:szCs w:val="32"/>
        </w:rPr>
      </w:pPr>
      <w:r w:rsidRPr="005B33CC">
        <w:rPr>
          <w:b/>
          <w:bCs/>
          <w:sz w:val="32"/>
          <w:szCs w:val="32"/>
        </w:rPr>
        <w:t>DODATEK č. 1</w:t>
      </w:r>
    </w:p>
    <w:p w14:paraId="257EED9B" w14:textId="5D2944C6" w:rsidR="00A12192" w:rsidRPr="005B33CC" w:rsidRDefault="005B33CC" w:rsidP="00A12192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="00A12192" w:rsidRPr="005B33CC">
        <w:rPr>
          <w:b/>
          <w:bCs/>
        </w:rPr>
        <w:t xml:space="preserve"> Servisní smlouvě </w:t>
      </w:r>
      <w:r w:rsidR="00941EEA">
        <w:rPr>
          <w:b/>
          <w:bCs/>
        </w:rPr>
        <w:t>158726</w:t>
      </w:r>
    </w:p>
    <w:p w14:paraId="53E18935" w14:textId="77777777" w:rsidR="00A12192" w:rsidRDefault="00A12192" w:rsidP="00A12192">
      <w:pPr>
        <w:pStyle w:val="Default"/>
      </w:pPr>
    </w:p>
    <w:p w14:paraId="119FFB27" w14:textId="77777777" w:rsidR="00A12192" w:rsidRDefault="00A12192" w:rsidP="00A1219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I. SMLUVNÍ STRANY </w:t>
      </w:r>
    </w:p>
    <w:p w14:paraId="4172D34C" w14:textId="5D3417FD" w:rsidR="00A12192" w:rsidRDefault="00A12192" w:rsidP="00A12192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společnost: </w:t>
      </w:r>
      <w:r>
        <w:rPr>
          <w:b/>
          <w:bCs/>
          <w:sz w:val="20"/>
          <w:szCs w:val="20"/>
        </w:rPr>
        <w:t xml:space="preserve"> </w:t>
      </w:r>
      <w:r w:rsidR="00941EEA" w:rsidRPr="00941EEA">
        <w:rPr>
          <w:b/>
          <w:bCs/>
          <w:sz w:val="20"/>
          <w:szCs w:val="20"/>
        </w:rPr>
        <w:t>Siemens</w:t>
      </w:r>
      <w:proofErr w:type="gramEnd"/>
      <w:r w:rsidR="00941EEA" w:rsidRPr="00941EEA">
        <w:rPr>
          <w:b/>
          <w:bCs/>
          <w:sz w:val="20"/>
          <w:szCs w:val="20"/>
        </w:rPr>
        <w:t xml:space="preserve"> </w:t>
      </w:r>
      <w:proofErr w:type="spellStart"/>
      <w:r w:rsidR="00941EEA" w:rsidRPr="00941EEA">
        <w:rPr>
          <w:b/>
          <w:bCs/>
          <w:sz w:val="20"/>
          <w:szCs w:val="20"/>
        </w:rPr>
        <w:t>Healthcare</w:t>
      </w:r>
      <w:proofErr w:type="spellEnd"/>
      <w:r w:rsidR="00941EEA" w:rsidRPr="00941EEA">
        <w:rPr>
          <w:b/>
          <w:bCs/>
          <w:sz w:val="20"/>
          <w:szCs w:val="20"/>
        </w:rPr>
        <w:t>, s.r.o.</w:t>
      </w:r>
    </w:p>
    <w:p w14:paraId="6D20D310" w14:textId="32891B4E" w:rsidR="00A12192" w:rsidRDefault="00A12192" w:rsidP="00A12192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sídlo:  </w:t>
      </w:r>
      <w:r w:rsidR="00941EEA" w:rsidRPr="00941EEA">
        <w:rPr>
          <w:sz w:val="20"/>
          <w:szCs w:val="20"/>
        </w:rPr>
        <w:t>Budějovická</w:t>
      </w:r>
      <w:proofErr w:type="gramEnd"/>
      <w:r w:rsidR="00941EEA" w:rsidRPr="00941EEA">
        <w:rPr>
          <w:sz w:val="20"/>
          <w:szCs w:val="20"/>
        </w:rPr>
        <w:t xml:space="preserve"> 779/3b, 140 00 Praha 4</w:t>
      </w:r>
    </w:p>
    <w:p w14:paraId="1F4DFF75" w14:textId="296B7532" w:rsidR="00A12192" w:rsidRDefault="00A12192" w:rsidP="00A12192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zastoupená: </w:t>
      </w:r>
      <w:r w:rsidR="00941EEA">
        <w:rPr>
          <w:sz w:val="20"/>
          <w:szCs w:val="20"/>
        </w:rPr>
        <w:t xml:space="preserve"> </w:t>
      </w:r>
      <w:r w:rsidR="00941EEA" w:rsidRPr="00941EEA">
        <w:rPr>
          <w:sz w:val="20"/>
          <w:szCs w:val="20"/>
        </w:rPr>
        <w:t>Mgr.</w:t>
      </w:r>
      <w:proofErr w:type="gramEnd"/>
      <w:r w:rsidR="00941EEA" w:rsidRPr="00941EEA">
        <w:rPr>
          <w:sz w:val="20"/>
          <w:szCs w:val="20"/>
        </w:rPr>
        <w:t xml:space="preserve"> Michalem Čechem a Ing. Karlem Kopejtkem, jednateli</w:t>
      </w:r>
    </w:p>
    <w:p w14:paraId="5BF19A8B" w14:textId="6FC38DD7" w:rsidR="00A12192" w:rsidRDefault="00A12192" w:rsidP="00813FD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 xml:space="preserve">spojení:  </w:t>
      </w:r>
      <w:r w:rsidR="00813FD0">
        <w:rPr>
          <w:sz w:val="20"/>
          <w:szCs w:val="20"/>
        </w:rPr>
        <w:t>XXX</w:t>
      </w:r>
      <w:proofErr w:type="gramEnd"/>
    </w:p>
    <w:p w14:paraId="5EC2BBC2" w14:textId="0CD5684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IČ</w:t>
      </w:r>
      <w:r w:rsidR="00941E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41EEA" w:rsidRPr="00941EEA">
        <w:rPr>
          <w:sz w:val="20"/>
          <w:szCs w:val="20"/>
        </w:rPr>
        <w:t>04179960</w:t>
      </w:r>
    </w:p>
    <w:p w14:paraId="6FA9E594" w14:textId="48B1EA1A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 w:rsidR="00941EEA" w:rsidRPr="00941EEA">
        <w:rPr>
          <w:sz w:val="20"/>
          <w:szCs w:val="20"/>
        </w:rPr>
        <w:t>CZ04179960</w:t>
      </w:r>
    </w:p>
    <w:p w14:paraId="63D95261" w14:textId="0054C0E9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vedeném Městským soudem v Praze, odd. C, vložka </w:t>
      </w:r>
      <w:r w:rsidR="00941EEA" w:rsidRPr="00941EEA">
        <w:rPr>
          <w:sz w:val="20"/>
          <w:szCs w:val="20"/>
        </w:rPr>
        <w:t>243166</w:t>
      </w:r>
      <w:r w:rsidR="00941E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233A3792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 dále jen „Zhotovitel“ / </w:t>
      </w:r>
    </w:p>
    <w:p w14:paraId="5D50BD70" w14:textId="77777777" w:rsidR="00A12192" w:rsidRDefault="00A12192" w:rsidP="00A12192">
      <w:pPr>
        <w:pStyle w:val="Default"/>
        <w:rPr>
          <w:sz w:val="20"/>
          <w:szCs w:val="20"/>
        </w:rPr>
      </w:pPr>
    </w:p>
    <w:p w14:paraId="0B7297D6" w14:textId="429B5D22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3F3A1C11" w14:textId="77777777" w:rsidR="00A12192" w:rsidRDefault="00A12192" w:rsidP="00A12192">
      <w:pPr>
        <w:pStyle w:val="Default"/>
        <w:rPr>
          <w:sz w:val="20"/>
          <w:szCs w:val="20"/>
        </w:rPr>
      </w:pPr>
    </w:p>
    <w:p w14:paraId="46379E45" w14:textId="7D80549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společnost: </w:t>
      </w:r>
      <w:r>
        <w:rPr>
          <w:b/>
          <w:bCs/>
          <w:sz w:val="20"/>
          <w:szCs w:val="20"/>
        </w:rPr>
        <w:t xml:space="preserve">Fakultní Thomayerova nemocnice </w:t>
      </w:r>
    </w:p>
    <w:p w14:paraId="5EBF9960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Vídeňská 800, 140 59 Praha 4 </w:t>
      </w:r>
    </w:p>
    <w:p w14:paraId="776BEFAF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zastoupená: doc. MUDr. Zdeněk Beneš, CSc., ředitel </w:t>
      </w:r>
    </w:p>
    <w:p w14:paraId="0BDEC4FA" w14:textId="4474F8B9" w:rsidR="00A12192" w:rsidRDefault="00A12192" w:rsidP="00813FD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Bank. spojení: </w:t>
      </w:r>
      <w:r w:rsidR="00813FD0">
        <w:rPr>
          <w:sz w:val="20"/>
          <w:szCs w:val="20"/>
        </w:rPr>
        <w:t>XXX</w:t>
      </w:r>
      <w:r>
        <w:rPr>
          <w:sz w:val="20"/>
          <w:szCs w:val="20"/>
        </w:rPr>
        <w:t xml:space="preserve"> </w:t>
      </w:r>
    </w:p>
    <w:p w14:paraId="7C375D05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00064190 </w:t>
      </w:r>
    </w:p>
    <w:p w14:paraId="72F89478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CZ00064190 </w:t>
      </w:r>
    </w:p>
    <w:p w14:paraId="4564C6D7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zapsána v Obchodním rejstříku: Státní příspěvková organizace zřízená Ministerstvem zdravotnictví ČR </w:t>
      </w:r>
    </w:p>
    <w:p w14:paraId="462CFAB3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u Městského soudu v Praze, oddíl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 xml:space="preserve">. 1043 </w:t>
      </w:r>
    </w:p>
    <w:p w14:paraId="469A81A3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 dále jen „Objednatel“ / </w:t>
      </w:r>
    </w:p>
    <w:p w14:paraId="6AD150EA" w14:textId="306C3789" w:rsidR="00293259" w:rsidRDefault="00A12192" w:rsidP="00A12192">
      <w:pPr>
        <w:rPr>
          <w:sz w:val="20"/>
          <w:szCs w:val="20"/>
        </w:rPr>
      </w:pPr>
      <w:r>
        <w:rPr>
          <w:sz w:val="20"/>
          <w:szCs w:val="20"/>
        </w:rPr>
        <w:t>uzavírají podle</w:t>
      </w:r>
    </w:p>
    <w:p w14:paraId="700D86C1" w14:textId="77777777" w:rsidR="00A12192" w:rsidRDefault="00A12192" w:rsidP="00A12192">
      <w:pPr>
        <w:rPr>
          <w:sz w:val="20"/>
          <w:szCs w:val="20"/>
        </w:rPr>
      </w:pPr>
    </w:p>
    <w:p w14:paraId="568BF4D8" w14:textId="3EA82E31" w:rsidR="00A12192" w:rsidRDefault="008438FC" w:rsidP="00A121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Ú</w:t>
      </w:r>
      <w:r w:rsidR="00A12192">
        <w:rPr>
          <w:b/>
          <w:bCs/>
          <w:sz w:val="28"/>
          <w:szCs w:val="28"/>
        </w:rPr>
        <w:t xml:space="preserve">VODNÍ USTANOVENÍ </w:t>
      </w:r>
    </w:p>
    <w:p w14:paraId="473E5DFB" w14:textId="77777777" w:rsidR="00691751" w:rsidRDefault="00691751" w:rsidP="00A12192">
      <w:pPr>
        <w:pStyle w:val="Default"/>
        <w:rPr>
          <w:b/>
          <w:bCs/>
          <w:sz w:val="28"/>
          <w:szCs w:val="28"/>
        </w:rPr>
      </w:pPr>
    </w:p>
    <w:p w14:paraId="1406CFC7" w14:textId="13789DF2" w:rsidR="00A12192" w:rsidRPr="00A12192" w:rsidRDefault="00A12192" w:rsidP="008438FC">
      <w:pPr>
        <w:pStyle w:val="Defaul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A12192">
        <w:rPr>
          <w:sz w:val="20"/>
          <w:szCs w:val="20"/>
        </w:rPr>
        <w:t xml:space="preserve">Zhotovitel </w:t>
      </w:r>
      <w:r>
        <w:rPr>
          <w:sz w:val="20"/>
          <w:szCs w:val="20"/>
        </w:rPr>
        <w:t xml:space="preserve">a Objednatel uzavřeli </w:t>
      </w:r>
      <w:r w:rsidR="004A3FC9">
        <w:rPr>
          <w:sz w:val="20"/>
          <w:szCs w:val="20"/>
        </w:rPr>
        <w:t>18.12.202</w:t>
      </w:r>
      <w:r w:rsidR="005D6F0A">
        <w:rPr>
          <w:sz w:val="20"/>
          <w:szCs w:val="20"/>
        </w:rPr>
        <w:t>3</w:t>
      </w:r>
      <w:r w:rsidR="004A3F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Servisní smlouvu jejíž předmětem je poskytování FULL servisu </w:t>
      </w:r>
      <w:proofErr w:type="gramStart"/>
      <w:r>
        <w:rPr>
          <w:sz w:val="20"/>
          <w:szCs w:val="20"/>
        </w:rPr>
        <w:t xml:space="preserve">na </w:t>
      </w:r>
      <w:r w:rsidR="00A10ED1">
        <w:rPr>
          <w:sz w:val="20"/>
          <w:szCs w:val="20"/>
        </w:rPr>
        <w:t xml:space="preserve"> </w:t>
      </w:r>
      <w:r w:rsidR="00A10ED1" w:rsidRPr="00A10ED1">
        <w:rPr>
          <w:sz w:val="20"/>
          <w:szCs w:val="20"/>
        </w:rPr>
        <w:t>RTG</w:t>
      </w:r>
      <w:proofErr w:type="gramEnd"/>
      <w:r w:rsidR="00A10ED1" w:rsidRPr="00A10ED1">
        <w:rPr>
          <w:sz w:val="20"/>
          <w:szCs w:val="20"/>
        </w:rPr>
        <w:t xml:space="preserve"> </w:t>
      </w:r>
      <w:proofErr w:type="spellStart"/>
      <w:r w:rsidR="00A10ED1" w:rsidRPr="00A10ED1">
        <w:rPr>
          <w:sz w:val="20"/>
          <w:szCs w:val="20"/>
        </w:rPr>
        <w:t>Artis</w:t>
      </w:r>
      <w:proofErr w:type="spellEnd"/>
      <w:r w:rsidR="00A10ED1" w:rsidRPr="00A10ED1">
        <w:rPr>
          <w:sz w:val="20"/>
          <w:szCs w:val="20"/>
        </w:rPr>
        <w:t xml:space="preserve"> </w:t>
      </w:r>
      <w:proofErr w:type="spellStart"/>
      <w:r w:rsidR="00A10ED1" w:rsidRPr="00A10ED1">
        <w:rPr>
          <w:sz w:val="20"/>
          <w:szCs w:val="20"/>
        </w:rPr>
        <w:t>zee</w:t>
      </w:r>
      <w:proofErr w:type="spellEnd"/>
      <w:r w:rsidR="00A10ED1" w:rsidRPr="00A10ED1">
        <w:rPr>
          <w:sz w:val="20"/>
          <w:szCs w:val="20"/>
        </w:rPr>
        <w:t xml:space="preserve"> MP, výrobní číslo 158726</w:t>
      </w:r>
      <w:r w:rsidR="00A10ED1">
        <w:rPr>
          <w:sz w:val="20"/>
          <w:szCs w:val="20"/>
        </w:rPr>
        <w:t>, včetně UPS</w:t>
      </w:r>
    </w:p>
    <w:p w14:paraId="3A765F21" w14:textId="6A2C40D0" w:rsidR="00A10ED1" w:rsidRDefault="00A10ED1" w:rsidP="00A10ED1">
      <w:pPr>
        <w:ind w:left="284"/>
        <w:rPr>
          <w:rFonts w:ascii="Calibri" w:hAnsi="Calibri" w:cs="Calibri"/>
          <w:sz w:val="20"/>
          <w:szCs w:val="20"/>
        </w:rPr>
      </w:pPr>
    </w:p>
    <w:p w14:paraId="160913ED" w14:textId="15500902" w:rsidR="00A12192" w:rsidRPr="00A12192" w:rsidRDefault="00A12192" w:rsidP="00A10ED1">
      <w:pPr>
        <w:ind w:firstLine="284"/>
        <w:rPr>
          <w:rFonts w:ascii="Calibri" w:hAnsi="Calibri" w:cs="Calibri"/>
          <w:sz w:val="20"/>
          <w:szCs w:val="20"/>
        </w:rPr>
      </w:pPr>
      <w:r w:rsidRPr="00A12192">
        <w:rPr>
          <w:rFonts w:ascii="Calibri" w:hAnsi="Calibri" w:cs="Calibri"/>
          <w:sz w:val="20"/>
          <w:szCs w:val="20"/>
        </w:rPr>
        <w:t>Servisní smlouva byla uzavřena do 31.12.2024.</w:t>
      </w:r>
    </w:p>
    <w:p w14:paraId="1DF8FB49" w14:textId="184CC1F7" w:rsidR="004A3FC9" w:rsidRPr="008438FC" w:rsidRDefault="00A12192" w:rsidP="008438FC">
      <w:pPr>
        <w:pStyle w:val="Odstavecseseznamem"/>
        <w:numPr>
          <w:ilvl w:val="0"/>
          <w:numId w:val="2"/>
        </w:numPr>
        <w:ind w:left="284" w:hanging="284"/>
        <w:rPr>
          <w:rFonts w:ascii="Calibri" w:hAnsi="Calibri" w:cs="Calibri"/>
          <w:sz w:val="20"/>
          <w:szCs w:val="20"/>
        </w:rPr>
      </w:pPr>
      <w:r w:rsidRPr="008438FC">
        <w:rPr>
          <w:rFonts w:ascii="Calibri" w:hAnsi="Calibri" w:cs="Calibri"/>
          <w:sz w:val="20"/>
          <w:szCs w:val="20"/>
        </w:rPr>
        <w:t xml:space="preserve">Nyní se Zhotovitel a Objednatel dohodli na tomto dodatku k Servisní smlouvě, kterým v souladu s § 222 odst.4 ZZVZ provedli nepodstatnou změnu závazku ze smlouvy, která nepřekročí 10 % hodnoty původního závazku ze smlouvy a prodlouží </w:t>
      </w:r>
      <w:r w:rsidR="004A3FC9" w:rsidRPr="008438FC">
        <w:rPr>
          <w:rFonts w:ascii="Calibri" w:hAnsi="Calibri" w:cs="Calibri"/>
          <w:sz w:val="20"/>
          <w:szCs w:val="20"/>
        </w:rPr>
        <w:t>délku smluvního vztahu.</w:t>
      </w:r>
    </w:p>
    <w:p w14:paraId="44849577" w14:textId="293B3E93" w:rsidR="00A12192" w:rsidRPr="00A12192" w:rsidRDefault="008438FC" w:rsidP="00A12192">
      <w:pPr>
        <w:rPr>
          <w:rFonts w:ascii="Calibri" w:hAnsi="Calibri" w:cs="Calibri"/>
          <w:sz w:val="20"/>
          <w:szCs w:val="20"/>
        </w:rPr>
      </w:pPr>
      <w:r>
        <w:rPr>
          <w:b/>
          <w:bCs/>
          <w:sz w:val="28"/>
          <w:szCs w:val="28"/>
        </w:rPr>
        <w:t>III. P</w:t>
      </w:r>
      <w:r w:rsidR="004A3FC9">
        <w:rPr>
          <w:b/>
          <w:bCs/>
          <w:sz w:val="28"/>
          <w:szCs w:val="28"/>
        </w:rPr>
        <w:t>ŘEDMĚT SMLOUVY</w:t>
      </w:r>
    </w:p>
    <w:p w14:paraId="553A0B98" w14:textId="1C031BF0" w:rsidR="00A12192" w:rsidRPr="00CB7CAB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CB7CAB">
        <w:rPr>
          <w:rFonts w:ascii="Calibri" w:hAnsi="Calibri" w:cs="Calibri"/>
          <w:b/>
          <w:bCs/>
          <w:sz w:val="20"/>
          <w:szCs w:val="20"/>
        </w:rPr>
        <w:t>Čl</w:t>
      </w:r>
      <w:r w:rsidR="00691751">
        <w:rPr>
          <w:rFonts w:ascii="Calibri" w:hAnsi="Calibri" w:cs="Calibri"/>
          <w:b/>
          <w:bCs/>
          <w:sz w:val="20"/>
          <w:szCs w:val="20"/>
        </w:rPr>
        <w:t>.</w:t>
      </w:r>
      <w:r w:rsidRPr="00CB7CAB">
        <w:rPr>
          <w:rFonts w:ascii="Calibri" w:hAnsi="Calibri" w:cs="Calibri"/>
          <w:b/>
          <w:bCs/>
          <w:sz w:val="20"/>
          <w:szCs w:val="20"/>
        </w:rPr>
        <w:t xml:space="preserve"> VII, bod 1. Servisní smlouvy se ruší a nahrazuje se novým zněním takto: „Tato smlouva je uzavřena na dobu určitou do 29.2.2025.“</w:t>
      </w:r>
    </w:p>
    <w:p w14:paraId="08C89671" w14:textId="35A1AF03" w:rsidR="00CB7CAB" w:rsidRPr="00CB7CAB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CB7CAB">
        <w:rPr>
          <w:rFonts w:ascii="Calibri" w:hAnsi="Calibri" w:cs="Calibri"/>
          <w:b/>
          <w:bCs/>
          <w:sz w:val="20"/>
          <w:szCs w:val="20"/>
        </w:rPr>
        <w:t xml:space="preserve">Cena </w:t>
      </w:r>
      <w:proofErr w:type="gramStart"/>
      <w:r w:rsidRPr="00CB7CAB">
        <w:rPr>
          <w:rFonts w:ascii="Calibri" w:hAnsi="Calibri" w:cs="Calibri"/>
          <w:b/>
          <w:bCs/>
          <w:sz w:val="20"/>
          <w:szCs w:val="20"/>
        </w:rPr>
        <w:t>za  opravy</w:t>
      </w:r>
      <w:proofErr w:type="gramEnd"/>
      <w:r w:rsidRPr="00CB7CAB">
        <w:rPr>
          <w:rFonts w:ascii="Calibri" w:hAnsi="Calibri" w:cs="Calibri"/>
          <w:b/>
          <w:bCs/>
          <w:sz w:val="20"/>
          <w:szCs w:val="20"/>
        </w:rPr>
        <w:t xml:space="preserve"> a údržbu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 Zařízení podle bodu 1. (</w:t>
      </w:r>
      <w:r w:rsidRPr="00CB7CAB">
        <w:rPr>
          <w:rFonts w:ascii="Calibri" w:hAnsi="Calibri" w:cs="Calibri"/>
          <w:b/>
          <w:bCs/>
          <w:sz w:val="20"/>
          <w:szCs w:val="20"/>
        </w:rPr>
        <w:t>včetně ND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="006659C1">
        <w:rPr>
          <w:rFonts w:ascii="Calibri" w:hAnsi="Calibri" w:cs="Calibri"/>
          <w:b/>
          <w:bCs/>
          <w:sz w:val="20"/>
          <w:szCs w:val="20"/>
        </w:rPr>
        <w:t>kontol</w:t>
      </w:r>
      <w:proofErr w:type="spellEnd"/>
      <w:r w:rsidR="006659C1">
        <w:rPr>
          <w:rFonts w:ascii="Calibri" w:hAnsi="Calibri" w:cs="Calibri"/>
          <w:b/>
          <w:bCs/>
          <w:sz w:val="20"/>
          <w:szCs w:val="20"/>
        </w:rPr>
        <w:t xml:space="preserve"> a revizí</w:t>
      </w:r>
      <w:r w:rsidRPr="00CB7CAB">
        <w:rPr>
          <w:rFonts w:ascii="Calibri" w:hAnsi="Calibri" w:cs="Calibri"/>
          <w:b/>
          <w:bCs/>
          <w:sz w:val="20"/>
          <w:szCs w:val="20"/>
        </w:rPr>
        <w:t>), za období od 1.1.</w:t>
      </w:r>
      <w:r w:rsidR="009B5026" w:rsidRPr="00CB7CAB">
        <w:rPr>
          <w:rFonts w:ascii="Calibri" w:hAnsi="Calibri" w:cs="Calibri"/>
          <w:b/>
          <w:bCs/>
          <w:sz w:val="20"/>
          <w:szCs w:val="20"/>
        </w:rPr>
        <w:t xml:space="preserve">2025 do 29.2.2025 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 činí </w:t>
      </w:r>
      <w:r w:rsidR="00A10ED1">
        <w:rPr>
          <w:rFonts w:ascii="Calibri" w:hAnsi="Calibri" w:cs="Calibri"/>
          <w:b/>
          <w:bCs/>
          <w:sz w:val="20"/>
          <w:szCs w:val="20"/>
        </w:rPr>
        <w:t>110 874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,- Kč bez DPH a </w:t>
      </w:r>
      <w:r w:rsidR="009B5026" w:rsidRPr="00CB7CAB">
        <w:rPr>
          <w:rFonts w:ascii="Calibri" w:hAnsi="Calibri" w:cs="Calibri"/>
          <w:b/>
          <w:bCs/>
          <w:sz w:val="20"/>
          <w:szCs w:val="20"/>
        </w:rPr>
        <w:t xml:space="preserve">bude účtována v souladu s Čl. III, bodem 3 Servisní smlouvy. </w:t>
      </w:r>
      <w:r w:rsidR="00B13001">
        <w:rPr>
          <w:rFonts w:ascii="Calibri" w:hAnsi="Calibri" w:cs="Calibri"/>
          <w:b/>
          <w:bCs/>
          <w:sz w:val="20"/>
          <w:szCs w:val="20"/>
        </w:rPr>
        <w:t>K tomu bude připočtena DPH.</w:t>
      </w:r>
    </w:p>
    <w:p w14:paraId="4DBF6E57" w14:textId="1BCEAE63" w:rsidR="004A3FC9" w:rsidRPr="00691751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91751">
        <w:rPr>
          <w:rFonts w:ascii="Calibri" w:hAnsi="Calibri" w:cs="Calibri"/>
          <w:sz w:val="20"/>
          <w:szCs w:val="20"/>
        </w:rPr>
        <w:t xml:space="preserve">Ostatní ustanovení </w:t>
      </w:r>
      <w:r w:rsidR="00895C67">
        <w:rPr>
          <w:rFonts w:ascii="Calibri" w:hAnsi="Calibri" w:cs="Calibri"/>
          <w:sz w:val="20"/>
          <w:szCs w:val="20"/>
        </w:rPr>
        <w:t xml:space="preserve">servisní </w:t>
      </w:r>
      <w:r w:rsidRPr="00691751">
        <w:rPr>
          <w:rFonts w:ascii="Calibri" w:hAnsi="Calibri" w:cs="Calibri"/>
          <w:sz w:val="20"/>
          <w:szCs w:val="20"/>
        </w:rPr>
        <w:t xml:space="preserve">smlouvy </w:t>
      </w:r>
      <w:r w:rsidR="00CB7CAB" w:rsidRPr="00691751">
        <w:rPr>
          <w:rFonts w:ascii="Calibri" w:hAnsi="Calibri" w:cs="Calibri"/>
          <w:sz w:val="20"/>
          <w:szCs w:val="20"/>
        </w:rPr>
        <w:t>se nemění.</w:t>
      </w:r>
    </w:p>
    <w:p w14:paraId="0AD42AFC" w14:textId="77777777" w:rsidR="00CB7CAB" w:rsidRPr="00CB7CAB" w:rsidRDefault="00CB7CAB" w:rsidP="00CB7CAB">
      <w:pPr>
        <w:pStyle w:val="Odstavecseseznamem"/>
        <w:rPr>
          <w:rFonts w:ascii="Calibri" w:hAnsi="Calibri" w:cs="Calibri"/>
          <w:b/>
          <w:bCs/>
          <w:sz w:val="20"/>
          <w:szCs w:val="20"/>
        </w:rPr>
      </w:pPr>
    </w:p>
    <w:p w14:paraId="3E66DA5E" w14:textId="14CABD2E" w:rsidR="00CB7CAB" w:rsidRDefault="00CB7CAB" w:rsidP="00CB7C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ZÁVĚREČNÁ USTANOVENÍ</w:t>
      </w:r>
    </w:p>
    <w:p w14:paraId="116EE60C" w14:textId="77777777" w:rsidR="00691751" w:rsidRDefault="00691751" w:rsidP="001C78CF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  </w:t>
      </w:r>
      <w:r w:rsidR="008438FC" w:rsidRPr="008438FC">
        <w:rPr>
          <w:rFonts w:ascii="Calibri" w:hAnsi="Calibri" w:cs="Calibri"/>
          <w:sz w:val="20"/>
          <w:szCs w:val="20"/>
        </w:rPr>
        <w:t xml:space="preserve">Smluvní strany prohlašují, že si dodatek přečetly, že nebyl uzavřen v tísni nebo za nevýhodných podmínek, </w:t>
      </w:r>
      <w:proofErr w:type="gramStart"/>
      <w:r w:rsidR="008438FC" w:rsidRPr="008438FC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 xml:space="preserve"> </w:t>
      </w:r>
      <w:r w:rsidR="008438FC" w:rsidRPr="008438FC">
        <w:rPr>
          <w:rFonts w:ascii="Calibri" w:hAnsi="Calibri" w:cs="Calibri"/>
          <w:sz w:val="20"/>
          <w:szCs w:val="20"/>
        </w:rPr>
        <w:t>že</w:t>
      </w:r>
      <w:proofErr w:type="gramEnd"/>
      <w:r w:rsidR="008438FC" w:rsidRPr="008438FC">
        <w:rPr>
          <w:rFonts w:ascii="Calibri" w:hAnsi="Calibri" w:cs="Calibri"/>
          <w:sz w:val="20"/>
          <w:szCs w:val="20"/>
        </w:rPr>
        <w:t xml:space="preserve"> s jeho obsahem souhlasí.</w:t>
      </w:r>
    </w:p>
    <w:p w14:paraId="582E4BE5" w14:textId="77777777" w:rsidR="00691751" w:rsidRDefault="00691751" w:rsidP="001C78CF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2.  </w:t>
      </w:r>
      <w:r w:rsidR="008438FC" w:rsidRPr="008438FC">
        <w:rPr>
          <w:rFonts w:ascii="Calibri" w:hAnsi="Calibri" w:cs="Calibri"/>
          <w:sz w:val="20"/>
          <w:szCs w:val="20"/>
        </w:rPr>
        <w:t>Tento dodatek nabývá platnosti jeho podpisem smluvními stranami a účinnosti dnem jeho zveřejněním v Registru smluv. Smluvní strany se dohodly, že zveřejnění tohoto dodatku provede Objednatel.</w:t>
      </w:r>
    </w:p>
    <w:p w14:paraId="7934CD09" w14:textId="14807D13" w:rsidR="008438FC" w:rsidRPr="008438FC" w:rsidRDefault="00691751" w:rsidP="00691751">
      <w:pPr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</w:t>
      </w:r>
      <w:r w:rsidR="008438FC" w:rsidRPr="008438FC">
        <w:rPr>
          <w:rFonts w:ascii="Calibri" w:hAnsi="Calibri" w:cs="Calibri"/>
          <w:sz w:val="20"/>
          <w:szCs w:val="20"/>
        </w:rPr>
        <w:t xml:space="preserve"> Dodatek je uzavírán elektronicky.</w:t>
      </w:r>
    </w:p>
    <w:p w14:paraId="5D45E270" w14:textId="77777777" w:rsidR="00CB7CAB" w:rsidRDefault="00CB7CAB" w:rsidP="00CB7CAB">
      <w:pPr>
        <w:rPr>
          <w:b/>
          <w:bCs/>
          <w:sz w:val="28"/>
          <w:szCs w:val="28"/>
        </w:rPr>
      </w:pPr>
    </w:p>
    <w:p w14:paraId="4E39194B" w14:textId="4BF5DFD5" w:rsidR="00CB7CAB" w:rsidRDefault="00CB7CAB" w:rsidP="00CB7C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Praze dne </w:t>
      </w:r>
      <w:r w:rsidR="00691751">
        <w:rPr>
          <w:sz w:val="20"/>
          <w:szCs w:val="20"/>
        </w:rPr>
        <w:t>…</w:t>
      </w:r>
      <w:proofErr w:type="gramStart"/>
      <w:r w:rsidR="00691751">
        <w:rPr>
          <w:sz w:val="20"/>
          <w:szCs w:val="20"/>
        </w:rPr>
        <w:t>…….</w:t>
      </w:r>
      <w:proofErr w:type="gramEnd"/>
      <w:r w:rsidR="00691751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         </w:t>
      </w:r>
      <w:r w:rsidR="00691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V Praze dne </w:t>
      </w:r>
      <w:r w:rsidR="00813FD0">
        <w:rPr>
          <w:sz w:val="20"/>
          <w:szCs w:val="20"/>
        </w:rPr>
        <w:t>2.1.2025</w:t>
      </w:r>
    </w:p>
    <w:p w14:paraId="1DDAE27A" w14:textId="77777777" w:rsidR="00CB7CAB" w:rsidRDefault="00CB7CAB" w:rsidP="00CB7CAB">
      <w:pPr>
        <w:pStyle w:val="Default"/>
        <w:rPr>
          <w:sz w:val="20"/>
          <w:szCs w:val="20"/>
        </w:rPr>
      </w:pPr>
    </w:p>
    <w:p w14:paraId="7F8C3E70" w14:textId="7ECD1CE8" w:rsidR="00CB7CAB" w:rsidRDefault="00CB7CAB" w:rsidP="00CB7C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Zhotovitel                                                                          Objednatel </w:t>
      </w:r>
    </w:p>
    <w:p w14:paraId="4C365DE3" w14:textId="177764EC" w:rsidR="00CB7CAB" w:rsidRDefault="00A10ED1" w:rsidP="00CB7CAB">
      <w:pPr>
        <w:rPr>
          <w:b/>
          <w:bCs/>
          <w:sz w:val="20"/>
          <w:szCs w:val="20"/>
        </w:rPr>
      </w:pPr>
      <w:r w:rsidRPr="00A10ED1">
        <w:rPr>
          <w:b/>
          <w:bCs/>
          <w:sz w:val="20"/>
          <w:szCs w:val="20"/>
        </w:rPr>
        <w:t xml:space="preserve">Siemens </w:t>
      </w:r>
      <w:proofErr w:type="spellStart"/>
      <w:r w:rsidRPr="00A10ED1">
        <w:rPr>
          <w:b/>
          <w:bCs/>
          <w:sz w:val="20"/>
          <w:szCs w:val="20"/>
        </w:rPr>
        <w:t>Healthcare</w:t>
      </w:r>
      <w:proofErr w:type="spellEnd"/>
      <w:r w:rsidRPr="00A10ED1">
        <w:rPr>
          <w:b/>
          <w:bCs/>
          <w:sz w:val="20"/>
          <w:szCs w:val="20"/>
        </w:rPr>
        <w:t xml:space="preserve">, </w:t>
      </w:r>
      <w:proofErr w:type="gramStart"/>
      <w:r w:rsidRPr="00A10ED1">
        <w:rPr>
          <w:b/>
          <w:bCs/>
          <w:sz w:val="20"/>
          <w:szCs w:val="20"/>
        </w:rPr>
        <w:t xml:space="preserve">s.r.o </w:t>
      </w:r>
      <w:r w:rsidR="00CB7CAB">
        <w:rPr>
          <w:b/>
          <w:bCs/>
          <w:sz w:val="20"/>
          <w:szCs w:val="20"/>
        </w:rPr>
        <w:t>.</w:t>
      </w:r>
      <w:proofErr w:type="gramEnd"/>
      <w:r w:rsidR="00CB7CAB">
        <w:rPr>
          <w:b/>
          <w:bCs/>
          <w:sz w:val="20"/>
          <w:szCs w:val="20"/>
        </w:rPr>
        <w:t xml:space="preserve">                                            Fakultní Thomayerova nemocnice</w:t>
      </w:r>
    </w:p>
    <w:p w14:paraId="38D0E8D9" w14:textId="77777777" w:rsidR="00CB7CAB" w:rsidRDefault="00CB7CAB" w:rsidP="00CB7CAB">
      <w:pPr>
        <w:rPr>
          <w:b/>
          <w:bCs/>
          <w:sz w:val="20"/>
          <w:szCs w:val="20"/>
        </w:rPr>
      </w:pPr>
    </w:p>
    <w:p w14:paraId="24AD7420" w14:textId="77777777" w:rsidR="00CB7CAB" w:rsidRDefault="00CB7CAB" w:rsidP="00CB7CAB">
      <w:pPr>
        <w:rPr>
          <w:b/>
          <w:bCs/>
          <w:sz w:val="20"/>
          <w:szCs w:val="20"/>
        </w:rPr>
      </w:pPr>
    </w:p>
    <w:p w14:paraId="737E070F" w14:textId="6402994A" w:rsidR="00CB7CAB" w:rsidRPr="00CB7CAB" w:rsidRDefault="00CB7CAB" w:rsidP="00CB7CAB">
      <w:pPr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----------------------------------------------------</w:t>
      </w:r>
    </w:p>
    <w:sectPr w:rsidR="00CB7CAB" w:rsidRPr="00CB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70ED4"/>
    <w:multiLevelType w:val="hybridMultilevel"/>
    <w:tmpl w:val="34FE5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07A2B"/>
    <w:multiLevelType w:val="hybridMultilevel"/>
    <w:tmpl w:val="CCE64B4C"/>
    <w:lvl w:ilvl="0" w:tplc="1C0C3C6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0813029">
    <w:abstractNumId w:val="1"/>
  </w:num>
  <w:num w:numId="2" w16cid:durableId="17970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92"/>
    <w:rsid w:val="000902FB"/>
    <w:rsid w:val="001C78CF"/>
    <w:rsid w:val="00293259"/>
    <w:rsid w:val="004A3FC9"/>
    <w:rsid w:val="005B33CC"/>
    <w:rsid w:val="005D6F0A"/>
    <w:rsid w:val="006659C1"/>
    <w:rsid w:val="00691751"/>
    <w:rsid w:val="007B2898"/>
    <w:rsid w:val="00806242"/>
    <w:rsid w:val="00813FD0"/>
    <w:rsid w:val="008438FC"/>
    <w:rsid w:val="00875787"/>
    <w:rsid w:val="00895C67"/>
    <w:rsid w:val="00941EEA"/>
    <w:rsid w:val="009B5026"/>
    <w:rsid w:val="00A10ED1"/>
    <w:rsid w:val="00A12192"/>
    <w:rsid w:val="00AE7167"/>
    <w:rsid w:val="00B13001"/>
    <w:rsid w:val="00BD240D"/>
    <w:rsid w:val="00C634FB"/>
    <w:rsid w:val="00CB7CAB"/>
    <w:rsid w:val="00D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27B"/>
  <w15:chartTrackingRefBased/>
  <w15:docId w15:val="{C74F5F00-2E2F-478B-AB5A-9844020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21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21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21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21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21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21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21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2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21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21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21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21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66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dcterms:created xsi:type="dcterms:W3CDTF">2025-01-03T06:21:00Z</dcterms:created>
  <dcterms:modified xsi:type="dcterms:W3CDTF">2025-01-03T06:21:00Z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2024-12-13T06:56:18Z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178ecbf7-6362-443a-ae66-7ae8b6b777f3</vt:lpwstr>
  </property>
  <property fmtid="{D5CDD505-2E9C-101B-9397-08002B2CF9AE}" pid="8" name="MSIP_Label_c93be096-951f-40f1-830d-c27b8a8c2c27_ContentBits">
    <vt:lpwstr>0</vt:lpwstr>
  </property>
</Properties>
</file>