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360" w:after="160" w:line="240" w:lineRule="auto"/>
        <w:ind w:left="0" w:right="0" w:firstLine="0"/>
        <w:jc w:val="center"/>
      </w:pPr>
      <w:r>
        <w:rPr>
          <w:rFonts w:ascii="Arial" w:eastAsia="Arial" w:hAnsi="Arial" w:cs="Arial"/>
          <w:b/>
          <w:bCs/>
          <w:color w:val="000000"/>
          <w:spacing w:val="0"/>
          <w:w w:val="100"/>
          <w:position w:val="0"/>
          <w:sz w:val="28"/>
          <w:szCs w:val="28"/>
          <w:shd w:val="clear" w:color="auto" w:fill="auto"/>
          <w:lang w:val="cs-CZ" w:eastAsia="cs-CZ" w:bidi="cs-CZ"/>
        </w:rPr>
        <w:t>Smlouva o nájmu prostor sloužících k podnikání</w:t>
        <w:br/>
        <w:t>č. 1399/2024</w:t>
        <w:br/>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uzavřená podle § 2302 a násl. z. č. 89/2012 Sb. občanský zákoník</w:t>
      </w:r>
    </w:p>
    <w:p>
      <w:pPr>
        <w:pStyle w:val="Style2"/>
        <w:keepNext w:val="0"/>
        <w:keepLines w:val="0"/>
        <w:widowControl w:val="0"/>
        <w:numPr>
          <w:ilvl w:val="0"/>
          <w:numId w:val="1"/>
        </w:numPr>
        <w:shd w:val="clear" w:color="auto" w:fill="auto"/>
        <w:tabs>
          <w:tab w:pos="3475" w:val="left"/>
        </w:tabs>
        <w:bidi w:val="0"/>
        <w:spacing w:before="0" w:line="240" w:lineRule="auto"/>
        <w:ind w:left="2720" w:right="0" w:firstLine="0"/>
        <w:jc w:val="left"/>
      </w:pPr>
      <w:bookmarkStart w:id="0" w:name="bookmark0"/>
      <w:bookmarkStart w:id="1" w:name="bookmark1"/>
      <w:bookmarkStart w:id="2" w:name="bookmark2"/>
      <w:bookmarkStart w:id="3" w:name="bookmark3"/>
      <w:bookmarkEnd w:id="0"/>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Smluvní strany</w:t>
      </w:r>
      <w:bookmarkEnd w:id="1"/>
      <w:bookmarkEnd w:id="2"/>
      <w:bookmarkEnd w:id="3"/>
    </w:p>
    <w:p>
      <w:pPr>
        <w:pStyle w:val="Style2"/>
        <w:keepNext w:val="0"/>
        <w:keepLines w:val="0"/>
        <w:widowControl w:val="0"/>
        <w:shd w:val="clear" w:color="auto" w:fill="auto"/>
        <w:tabs>
          <w:tab w:pos="2138" w:val="left"/>
        </w:tabs>
        <w:bidi w:val="0"/>
        <w:spacing w:before="0" w:after="0" w:line="240" w:lineRule="auto"/>
        <w:ind w:left="0" w:right="0" w:firstLine="0"/>
        <w:jc w:val="left"/>
      </w:pPr>
      <w:bookmarkStart w:id="4" w:name="bookmark4"/>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Pronajímatel:</w:t>
        <w:tab/>
        <w:t>Povodí Ohře, státní podnik</w:t>
      </w:r>
      <w:bookmarkEnd w:id="4"/>
    </w:p>
    <w:p>
      <w:pPr>
        <w:pStyle w:val="Style2"/>
        <w:keepNext w:val="0"/>
        <w:keepLines w:val="0"/>
        <w:widowControl w:val="0"/>
        <w:shd w:val="clear" w:color="auto" w:fill="auto"/>
        <w:tabs>
          <w:tab w:pos="4967" w:val="left"/>
        </w:tabs>
        <w:bidi w:val="0"/>
        <w:spacing w:before="0" w:after="0" w:line="240" w:lineRule="auto"/>
        <w:ind w:left="2140" w:right="0" w:firstLine="20"/>
        <w:jc w:val="left"/>
      </w:pPr>
      <w:bookmarkStart w:id="5" w:name="bookmark5"/>
      <w:r>
        <w:rPr>
          <w:rFonts w:ascii="Times New Roman" w:eastAsia="Times New Roman" w:hAnsi="Times New Roman" w:cs="Times New Roman"/>
          <w:color w:val="000000"/>
          <w:spacing w:val="0"/>
          <w:w w:val="100"/>
          <w:position w:val="0"/>
          <w:sz w:val="24"/>
          <w:szCs w:val="24"/>
          <w:shd w:val="clear" w:color="auto" w:fill="auto"/>
          <w:lang w:val="cs-CZ" w:eastAsia="cs-CZ" w:bidi="cs-CZ"/>
        </w:rPr>
        <w:t>Bezručova 4219, 430 03 Chomutov zastoupený ve věcech smluvních: IČO: 70889988</w:t>
        <w:tab/>
        <w:t>DIČ: CZ70889988</w:t>
      </w:r>
      <w:bookmarkEnd w:id="5"/>
    </w:p>
    <w:p>
      <w:pPr>
        <w:pStyle w:val="Style2"/>
        <w:keepNext w:val="0"/>
        <w:keepLines w:val="0"/>
        <w:widowControl w:val="0"/>
        <w:shd w:val="clear" w:color="auto" w:fill="auto"/>
        <w:bidi w:val="0"/>
        <w:spacing w:before="0" w:after="0" w:line="240" w:lineRule="auto"/>
        <w:ind w:left="21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Bankovní spojení:</w:t>
      </w:r>
    </w:p>
    <w:p>
      <w:pPr>
        <w:pStyle w:val="Style9"/>
        <w:keepNext w:val="0"/>
        <w:keepLines w:val="0"/>
        <w:widowControl w:val="0"/>
        <w:shd w:val="clear" w:color="auto" w:fill="auto"/>
        <w:bidi w:val="0"/>
        <w:spacing w:before="0" w:after="0" w:line="240" w:lineRule="auto"/>
        <w:ind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Povodí Ohře, státní podnik je zapsán v obchodním rejstříku u Krajského</w:t>
      </w:r>
    </w:p>
    <w:p>
      <w:pPr>
        <w:pStyle w:val="Style9"/>
        <w:keepNext w:val="0"/>
        <w:keepLines w:val="0"/>
        <w:widowControl w:val="0"/>
        <w:shd w:val="clear" w:color="auto" w:fill="auto"/>
        <w:bidi w:val="0"/>
        <w:spacing w:before="0" w:after="0" w:line="240" w:lineRule="auto"/>
        <w:ind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soudu v Ústí nad Labem v oddílu A, vložka č. 13052</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,,pronajímatel“)</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a</w:t>
      </w:r>
    </w:p>
    <w:p>
      <w:pPr>
        <w:pStyle w:val="Style2"/>
        <w:keepNext w:val="0"/>
        <w:keepLines w:val="0"/>
        <w:widowControl w:val="0"/>
        <w:shd w:val="clear" w:color="auto" w:fill="auto"/>
        <w:tabs>
          <w:tab w:pos="2138" w:val="lef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Nájemce:</w:t>
        <w:tab/>
        <w:t>Jiří Říha</w:t>
      </w:r>
    </w:p>
    <w:p>
      <w:pPr>
        <w:pStyle w:val="Style2"/>
        <w:keepNext w:val="0"/>
        <w:keepLines w:val="0"/>
        <w:widowControl w:val="0"/>
        <w:shd w:val="clear" w:color="auto" w:fill="auto"/>
        <w:bidi w:val="0"/>
        <w:spacing w:before="0" w:after="0" w:line="240" w:lineRule="auto"/>
        <w:ind w:left="21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Luční 4336, 430 01 Chomutov</w:t>
      </w:r>
    </w:p>
    <w:p>
      <w:pPr>
        <w:pStyle w:val="Style2"/>
        <w:keepNext w:val="0"/>
        <w:keepLines w:val="0"/>
        <w:widowControl w:val="0"/>
        <w:shd w:val="clear" w:color="auto" w:fill="auto"/>
        <w:bidi w:val="0"/>
        <w:spacing w:before="0" w:after="0" w:line="240" w:lineRule="auto"/>
        <w:ind w:left="21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bank. spojení</w:t>
      </w:r>
    </w:p>
    <w:p>
      <w:pPr>
        <w:pStyle w:val="Style2"/>
        <w:keepNext w:val="0"/>
        <w:keepLines w:val="0"/>
        <w:widowControl w:val="0"/>
        <w:shd w:val="clear" w:color="auto" w:fill="auto"/>
        <w:bidi w:val="0"/>
        <w:spacing w:before="0" w:after="0" w:line="240" w:lineRule="auto"/>
        <w:ind w:left="21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 64010546 DIČ:</w:t>
      </w:r>
    </w:p>
    <w:p>
      <w:pPr>
        <w:pStyle w:val="Style11"/>
        <w:keepNext w:val="0"/>
        <w:keepLines w:val="0"/>
        <w:widowControl w:val="0"/>
        <w:shd w:val="clear" w:color="auto" w:fill="auto"/>
        <w:bidi w:val="0"/>
        <w:spacing w:before="0" w:line="240" w:lineRule="auto"/>
        <w:ind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Údaje o zápisu do obchodního rejstříku či jiné evidence: ŽÚ MěÚ Chomutov pod č. j. 2/95/8564, 2/95/8565 a u okr. úřadu pod č. j. ŽÚ 5873/00, evid.č.350301-22520-00</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„nájemce“)</w:t>
      </w:r>
    </w:p>
    <w:p>
      <w:pPr>
        <w:pStyle w:val="Style2"/>
        <w:keepNext w:val="0"/>
        <w:keepLines w:val="0"/>
        <w:widowControl w:val="0"/>
        <w:numPr>
          <w:ilvl w:val="0"/>
          <w:numId w:val="1"/>
        </w:numPr>
        <w:shd w:val="clear" w:color="auto" w:fill="auto"/>
        <w:tabs>
          <w:tab w:pos="3475" w:val="left"/>
        </w:tabs>
        <w:bidi w:val="0"/>
        <w:spacing w:before="0" w:after="0" w:line="240" w:lineRule="auto"/>
        <w:ind w:left="2720" w:right="0" w:firstLine="0"/>
        <w:jc w:val="left"/>
      </w:pPr>
      <w:bookmarkStart w:id="6" w:name="bookmark6"/>
      <w:bookmarkEnd w:id="6"/>
      <w:r>
        <w:rPr>
          <w:rFonts w:ascii="Times New Roman" w:eastAsia="Times New Roman" w:hAnsi="Times New Roman" w:cs="Times New Roman"/>
          <w:b/>
          <w:bCs/>
          <w:color w:val="000000"/>
          <w:spacing w:val="0"/>
          <w:w w:val="100"/>
          <w:position w:val="0"/>
          <w:sz w:val="24"/>
          <w:szCs w:val="24"/>
          <w:shd w:val="clear" w:color="auto" w:fill="auto"/>
          <w:lang w:val="cs-CZ" w:eastAsia="cs-CZ" w:bidi="cs-CZ"/>
        </w:rPr>
        <w:t>Úvodní ustanovení</w:t>
      </w:r>
    </w:p>
    <w:p>
      <w:pPr>
        <w:pStyle w:val="Style2"/>
        <w:keepNext w:val="0"/>
        <w:keepLines w:val="0"/>
        <w:widowControl w:val="0"/>
        <w:shd w:val="clear" w:color="auto" w:fill="auto"/>
        <w:bidi w:val="0"/>
        <w:spacing w:before="0" w:line="240" w:lineRule="auto"/>
        <w:ind w:left="300" w:right="0" w:firstLine="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má právo hospodařit s majetkem státu provozní budovou v Chomutově, ul. Bezručova č. p. 4219, k. ú. Chomutov II, která byla vystavěna jako administrativní budova s kancelářskými prostorami. Předmětem nájmu jsou nebytové prostory umístěné v objektu dílen dvůr – jih označené D004 o celkové výměře 66,51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a parkovací plochy o celkové výměře 14,30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13"/>
        <w:keepNext/>
        <w:keepLines/>
        <w:widowControl w:val="0"/>
        <w:numPr>
          <w:ilvl w:val="0"/>
          <w:numId w:val="1"/>
        </w:numPr>
        <w:shd w:val="clear" w:color="auto" w:fill="auto"/>
        <w:tabs>
          <w:tab w:pos="3475" w:val="left"/>
        </w:tabs>
        <w:bidi w:val="0"/>
        <w:spacing w:before="0" w:after="160" w:line="240" w:lineRule="auto"/>
        <w:ind w:left="2720" w:right="0" w:firstLine="0"/>
        <w:jc w:val="left"/>
      </w:pPr>
      <w:bookmarkStart w:id="10" w:name="bookmark10"/>
      <w:bookmarkStart w:id="7" w:name="bookmark7"/>
      <w:bookmarkStart w:id="8" w:name="bookmark8"/>
      <w:bookmarkStart w:id="9" w:name="bookmark9"/>
      <w:bookmarkEnd w:id="9"/>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nájmu</w:t>
      </w:r>
      <w:bookmarkEnd w:id="10"/>
      <w:bookmarkEnd w:id="7"/>
      <w:bookmarkEnd w:id="8"/>
    </w:p>
    <w:p>
      <w:pPr>
        <w:pStyle w:val="Style2"/>
        <w:keepNext w:val="0"/>
        <w:keepLines w:val="0"/>
        <w:widowControl w:val="0"/>
        <w:numPr>
          <w:ilvl w:val="0"/>
          <w:numId w:val="3"/>
        </w:numPr>
        <w:shd w:val="clear" w:color="auto" w:fill="auto"/>
        <w:tabs>
          <w:tab w:pos="378" w:val="left"/>
        </w:tabs>
        <w:bidi w:val="0"/>
        <w:spacing w:before="0" w:line="240" w:lineRule="auto"/>
        <w:ind w:left="0" w:right="0" w:firstLine="0"/>
        <w:jc w:val="center"/>
      </w:pPr>
      <w:bookmarkStart w:id="11" w:name="bookmark11"/>
      <w:bookmarkEnd w:id="11"/>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touto smlouvou přenechává nájemci za úplatu do užívání nebytové prostory</w:t>
        <w:br/>
        <w:t>označené D004 o celkové výměře 66,51 m2 a parkovací plochy o celkové výměře 14,30 m2.</w:t>
      </w:r>
    </w:p>
    <w:p>
      <w:pPr>
        <w:pStyle w:val="Style2"/>
        <w:keepNext w:val="0"/>
        <w:keepLines w:val="0"/>
        <w:widowControl w:val="0"/>
        <w:numPr>
          <w:ilvl w:val="0"/>
          <w:numId w:val="3"/>
        </w:numPr>
        <w:shd w:val="clear" w:color="auto" w:fill="auto"/>
        <w:tabs>
          <w:tab w:pos="378" w:val="left"/>
        </w:tabs>
        <w:bidi w:val="0"/>
        <w:spacing w:before="0" w:line="240" w:lineRule="auto"/>
        <w:ind w:left="300" w:right="0" w:hanging="300"/>
        <w:jc w:val="both"/>
      </w:pPr>
      <w:bookmarkStart w:id="12" w:name="bookmark12"/>
      <w:bookmarkEnd w:id="12"/>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předmět nájmu od pronajímatele do nájmu přejímá a zavazuje se za užívání předmětu nájmu platit sjednané nájemné v souladu s článkem V. a VI. této smlouvy a plnit si řádně a včas veškeré právními předpisy a touto smlouvou stanovené povinnosti.</w:t>
      </w:r>
    </w:p>
    <w:p>
      <w:pPr>
        <w:pStyle w:val="Style2"/>
        <w:keepNext w:val="0"/>
        <w:keepLines w:val="0"/>
        <w:widowControl w:val="0"/>
        <w:numPr>
          <w:ilvl w:val="0"/>
          <w:numId w:val="3"/>
        </w:numPr>
        <w:shd w:val="clear" w:color="auto" w:fill="auto"/>
        <w:tabs>
          <w:tab w:pos="378" w:val="left"/>
        </w:tabs>
        <w:bidi w:val="0"/>
        <w:spacing w:before="0" w:line="240" w:lineRule="auto"/>
        <w:ind w:left="300" w:right="0" w:hanging="300"/>
        <w:jc w:val="both"/>
      </w:pPr>
      <w:bookmarkStart w:id="13" w:name="bookmark13"/>
      <w:bookmarkEnd w:id="13"/>
      <w:r>
        <w:rPr>
          <w:rFonts w:ascii="Times New Roman" w:eastAsia="Times New Roman" w:hAnsi="Times New Roman" w:cs="Times New Roman"/>
          <w:color w:val="000000"/>
          <w:spacing w:val="0"/>
          <w:w w:val="100"/>
          <w:position w:val="0"/>
          <w:sz w:val="24"/>
          <w:szCs w:val="24"/>
          <w:shd w:val="clear" w:color="auto" w:fill="auto"/>
          <w:lang w:val="cs-CZ" w:eastAsia="cs-CZ" w:bidi="cs-CZ"/>
        </w:rPr>
        <w:t>Spolu s předmětem nájmu je nájemce oprávněn užívat společně s ostatními subjekty provozujícími svoji činnost v předmětné budově také technické a sociální zázemí domu nacházející se v pronajatých prostorách (vchody do budovy, do bufetu, společné chodby, schodiště atd.).</w:t>
      </w:r>
    </w:p>
    <w:p>
      <w:pPr>
        <w:pStyle w:val="Style2"/>
        <w:keepNext w:val="0"/>
        <w:keepLines w:val="0"/>
        <w:widowControl w:val="0"/>
        <w:numPr>
          <w:ilvl w:val="0"/>
          <w:numId w:val="3"/>
        </w:numPr>
        <w:shd w:val="clear" w:color="auto" w:fill="auto"/>
        <w:tabs>
          <w:tab w:pos="378" w:val="left"/>
        </w:tabs>
        <w:bidi w:val="0"/>
        <w:spacing w:before="0" w:after="0" w:line="240" w:lineRule="auto"/>
        <w:ind w:left="300" w:right="0" w:hanging="300"/>
        <w:jc w:val="both"/>
      </w:pPr>
      <w:bookmarkStart w:id="14" w:name="bookmark14"/>
      <w:bookmarkEnd w:id="14"/>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Pronajímatel se zavazuje umožnit nájemci přístup do pronajatých prostor v souladu se směrnicemi upravující dopravně provozní řád a ostrahu majetku. Za tímto účelem pronajímatel předal zástupci nájemce při podpisu smlouvy 2 klíče zn. FAB umožňující vstup do pronajatých nebytových prostor. V případě ztráty některého klíče, zaplatí nájemce smluvní pokutu ve výši 350,00 Kč (za každý ztracený klíč), která má splatnost do 10 dnů ode dne oznámení ztráty. </w:t>
      </w:r>
      <w:r>
        <w:rPr>
          <w:rFonts w:ascii="Times New Roman" w:eastAsia="Times New Roman" w:hAnsi="Times New Roman" w:cs="Times New Roman"/>
          <w:color w:val="000000"/>
          <w:spacing w:val="0"/>
          <w:w w:val="100"/>
          <w:position w:val="0"/>
          <w:sz w:val="24"/>
          <w:szCs w:val="24"/>
          <w:shd w:val="clear" w:color="auto" w:fill="auto"/>
          <w:lang w:val="cs-CZ" w:eastAsia="cs-CZ" w:bidi="cs-CZ"/>
        </w:rPr>
        <w:t>Kromě sankce je nájemce odpovědný za škody vzniklé v důsledku ztráty klíčů a je povinen tuto škodu nahradit.</w:t>
      </w:r>
    </w:p>
    <w:p>
      <w:pPr>
        <w:pStyle w:val="Style13"/>
        <w:keepNext/>
        <w:keepLines/>
        <w:widowControl w:val="0"/>
        <w:numPr>
          <w:ilvl w:val="0"/>
          <w:numId w:val="1"/>
        </w:numPr>
        <w:shd w:val="clear" w:color="auto" w:fill="auto"/>
        <w:tabs>
          <w:tab w:pos="3586" w:val="left"/>
        </w:tabs>
        <w:bidi w:val="0"/>
        <w:spacing w:before="0" w:after="200" w:line="240" w:lineRule="auto"/>
        <w:ind w:left="2900" w:right="0" w:firstLine="0"/>
        <w:jc w:val="left"/>
      </w:pPr>
      <w:bookmarkStart w:id="15" w:name="bookmark15"/>
      <w:bookmarkStart w:id="16" w:name="bookmark16"/>
      <w:bookmarkStart w:id="17" w:name="bookmark17"/>
      <w:bookmarkStart w:id="18" w:name="bookmark18"/>
      <w:bookmarkEnd w:id="17"/>
      <w:r>
        <w:rPr>
          <w:rFonts w:ascii="Times New Roman" w:eastAsia="Times New Roman" w:hAnsi="Times New Roman" w:cs="Times New Roman"/>
          <w:color w:val="000000"/>
          <w:spacing w:val="0"/>
          <w:w w:val="100"/>
          <w:position w:val="0"/>
          <w:sz w:val="24"/>
          <w:szCs w:val="24"/>
          <w:shd w:val="clear" w:color="auto" w:fill="auto"/>
          <w:lang w:val="cs-CZ" w:eastAsia="cs-CZ" w:bidi="cs-CZ"/>
        </w:rPr>
        <w:t>Účel nájmu</w:t>
      </w:r>
      <w:bookmarkEnd w:id="15"/>
      <w:bookmarkEnd w:id="16"/>
      <w:bookmarkEnd w:id="18"/>
    </w:p>
    <w:p>
      <w:pPr>
        <w:pStyle w:val="Style2"/>
        <w:keepNext w:val="0"/>
        <w:keepLines w:val="0"/>
        <w:widowControl w:val="0"/>
        <w:numPr>
          <w:ilvl w:val="0"/>
          <w:numId w:val="5"/>
        </w:numPr>
        <w:shd w:val="clear" w:color="auto" w:fill="auto"/>
        <w:tabs>
          <w:tab w:pos="378" w:val="left"/>
        </w:tabs>
        <w:bidi w:val="0"/>
        <w:spacing w:before="0" w:after="200" w:line="240" w:lineRule="auto"/>
        <w:ind w:left="340" w:right="0" w:hanging="340"/>
        <w:jc w:val="both"/>
      </w:pPr>
      <w:bookmarkStart w:id="19" w:name="bookmark19"/>
      <w:bookmarkEnd w:id="19"/>
      <w:r>
        <w:rPr>
          <w:rFonts w:ascii="Times New Roman" w:eastAsia="Times New Roman" w:hAnsi="Times New Roman" w:cs="Times New Roman"/>
          <w:color w:val="000000"/>
          <w:spacing w:val="0"/>
          <w:w w:val="100"/>
          <w:position w:val="0"/>
          <w:sz w:val="24"/>
          <w:szCs w:val="24"/>
          <w:shd w:val="clear" w:color="auto" w:fill="auto"/>
          <w:lang w:val="cs-CZ" w:eastAsia="cs-CZ" w:bidi="cs-CZ"/>
        </w:rPr>
        <w:t>Účelem nájmu je využití předmětu nájmu pro administrativní zajištění podnikatelské činnosti nájemce a ke skladování materiálu.</w:t>
      </w:r>
    </w:p>
    <w:p>
      <w:pPr>
        <w:pStyle w:val="Style2"/>
        <w:keepNext w:val="0"/>
        <w:keepLines w:val="0"/>
        <w:widowControl w:val="0"/>
        <w:numPr>
          <w:ilvl w:val="0"/>
          <w:numId w:val="5"/>
        </w:numPr>
        <w:shd w:val="clear" w:color="auto" w:fill="auto"/>
        <w:tabs>
          <w:tab w:pos="378" w:val="left"/>
        </w:tabs>
        <w:bidi w:val="0"/>
        <w:spacing w:before="0" w:after="200" w:line="240" w:lineRule="auto"/>
        <w:ind w:left="340" w:right="0" w:hanging="340"/>
        <w:jc w:val="both"/>
      </w:pPr>
      <w:bookmarkStart w:id="20" w:name="bookmark20"/>
      <w:bookmarkEnd w:id="20"/>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prohlašuje, že předmět nájmu je podle svého stavebně technického určení vhodný pro účel nájmu dle odst. 1 tohoto článku. Charakter předmětu nájmu odpovídá potřebě nájemce v souladu s obecně závaznými právními předpisy.</w:t>
      </w:r>
    </w:p>
    <w:p>
      <w:pPr>
        <w:pStyle w:val="Style2"/>
        <w:keepNext w:val="0"/>
        <w:keepLines w:val="0"/>
        <w:widowControl w:val="0"/>
        <w:numPr>
          <w:ilvl w:val="0"/>
          <w:numId w:val="5"/>
        </w:numPr>
        <w:shd w:val="clear" w:color="auto" w:fill="auto"/>
        <w:tabs>
          <w:tab w:pos="378" w:val="left"/>
        </w:tabs>
        <w:bidi w:val="0"/>
        <w:spacing w:before="0" w:after="480" w:line="240" w:lineRule="auto"/>
        <w:ind w:left="340" w:right="0" w:hanging="340"/>
        <w:jc w:val="both"/>
      </w:pPr>
      <w:bookmarkStart w:id="21" w:name="bookmark21"/>
      <w:bookmarkEnd w:id="21"/>
      <w:r>
        <w:rPr>
          <w:rFonts w:ascii="Times New Roman" w:eastAsia="Times New Roman" w:hAnsi="Times New Roman" w:cs="Times New Roman"/>
          <w:color w:val="000000"/>
          <w:spacing w:val="0"/>
          <w:w w:val="100"/>
          <w:position w:val="0"/>
          <w:sz w:val="24"/>
          <w:szCs w:val="24"/>
          <w:shd w:val="clear" w:color="auto" w:fill="auto"/>
          <w:lang w:val="cs-CZ" w:eastAsia="cs-CZ" w:bidi="cs-CZ"/>
        </w:rPr>
        <w:t>Změna dohodnutého účelu nájmu je možná jen na základě předchozí písemné dohody smluvních stran.</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nájmu a služby s nájmem spojené budou zdaňovány příslušnou sazbou DPH dle zák. č. 235/2004 Sb. o DPH v platném znění.</w:t>
      </w:r>
    </w:p>
    <w:p>
      <w:pPr>
        <w:pStyle w:val="Style2"/>
        <w:keepNext w:val="0"/>
        <w:keepLines w:val="0"/>
        <w:widowControl w:val="0"/>
        <w:shd w:val="clear" w:color="auto" w:fill="auto"/>
        <w:bidi w:val="0"/>
        <w:spacing w:before="0" w:after="20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Nájemné pro rok 2025 a dále se bude každoročně zvyšovat o částku odpovídající kladné roční míře inflace za předcházející rok měřené indexem spotřebitelských cen dle Českého statistického řadu.</w:t>
      </w:r>
    </w:p>
    <w:p>
      <w:pPr>
        <w:pStyle w:val="Style15"/>
        <w:keepNext w:val="0"/>
        <w:keepLines w:val="0"/>
        <w:widowControl w:val="0"/>
        <w:shd w:val="clear" w:color="auto" w:fill="auto"/>
        <w:bidi w:val="0"/>
        <w:spacing w:before="0" w:after="0" w:line="240" w:lineRule="auto"/>
        <w:ind w:left="2947"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Cena nájmu</w:t>
      </w:r>
    </w:p>
    <w:tbl>
      <w:tblPr>
        <w:tblOverlap w:val="never"/>
        <w:jc w:val="left"/>
        <w:tblLayout w:type="fixed"/>
      </w:tblPr>
      <w:tblGrid>
        <w:gridCol w:w="3341"/>
        <w:gridCol w:w="970"/>
        <w:gridCol w:w="955"/>
        <w:gridCol w:w="1190"/>
        <w:gridCol w:w="1891"/>
      </w:tblGrid>
      <w:tr>
        <w:trPr>
          <w:trHeight w:val="331"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16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plocha</w:t>
            </w:r>
          </w:p>
        </w:tc>
        <w:tc>
          <w:tcPr>
            <w:vMerge w:val="restart"/>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319" w:lineRule="auto"/>
              <w:ind w:left="0" w:right="0" w:firstLine="0"/>
              <w:jc w:val="center"/>
              <w:rPr>
                <w:sz w:val="16"/>
                <w:szCs w:val="16"/>
              </w:rPr>
            </w:pPr>
            <w:r>
              <w:rPr>
                <w:rFonts w:ascii="Arial" w:eastAsia="Arial" w:hAnsi="Arial" w:cs="Arial"/>
                <w:b/>
                <w:bCs/>
                <w:i/>
                <w:iCs/>
                <w:color w:val="000000"/>
                <w:spacing w:val="0"/>
                <w:w w:val="100"/>
                <w:position w:val="0"/>
                <w:sz w:val="16"/>
                <w:szCs w:val="16"/>
                <w:shd w:val="clear" w:color="auto" w:fill="auto"/>
                <w:lang w:val="cs-CZ" w:eastAsia="cs-CZ" w:bidi="cs-CZ"/>
              </w:rPr>
              <w:t>jednotková cena</w:t>
            </w:r>
          </w:p>
        </w:tc>
        <w:tc>
          <w:tcPr>
            <w:gridSpan w:val="2"/>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b/>
                <w:bCs/>
                <w:i/>
                <w:iCs/>
                <w:color w:val="000000"/>
                <w:spacing w:val="0"/>
                <w:w w:val="100"/>
                <w:position w:val="0"/>
                <w:sz w:val="20"/>
                <w:szCs w:val="20"/>
                <w:shd w:val="clear" w:color="auto" w:fill="auto"/>
                <w:lang w:val="cs-CZ" w:eastAsia="cs-CZ" w:bidi="cs-CZ"/>
              </w:rPr>
              <w:t>celkem Kč bez DPH</w:t>
            </w:r>
          </w:p>
        </w:tc>
      </w:tr>
      <w:tr>
        <w:trPr>
          <w:trHeight w:val="25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left"/>
              <w:rPr>
                <w:sz w:val="20"/>
                <w:szCs w:val="20"/>
              </w:rPr>
            </w:pPr>
            <w:r>
              <w:rPr>
                <w:rFonts w:ascii="Arial" w:eastAsia="Arial" w:hAnsi="Arial" w:cs="Arial"/>
                <w:b/>
                <w:bCs/>
                <w:i/>
                <w:iCs/>
                <w:color w:val="000000"/>
                <w:spacing w:val="0"/>
                <w:w w:val="100"/>
                <w:position w:val="0"/>
                <w:sz w:val="20"/>
                <w:szCs w:val="20"/>
                <w:shd w:val="clear" w:color="auto" w:fill="auto"/>
                <w:lang w:val="cs-CZ" w:eastAsia="cs-CZ" w:bidi="cs-CZ"/>
              </w:rPr>
              <w:t>ročně</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80"/>
              <w:jc w:val="left"/>
              <w:rPr>
                <w:sz w:val="20"/>
                <w:szCs w:val="20"/>
              </w:rPr>
            </w:pPr>
            <w:r>
              <w:rPr>
                <w:rFonts w:ascii="Arial" w:eastAsia="Arial" w:hAnsi="Arial" w:cs="Arial"/>
                <w:b/>
                <w:bCs/>
                <w:i/>
                <w:iCs/>
                <w:color w:val="000000"/>
                <w:spacing w:val="0"/>
                <w:w w:val="100"/>
                <w:position w:val="0"/>
                <w:sz w:val="20"/>
                <w:szCs w:val="20"/>
                <w:shd w:val="clear" w:color="auto" w:fill="auto"/>
                <w:lang w:val="cs-CZ" w:eastAsia="cs-CZ" w:bidi="cs-CZ"/>
              </w:rPr>
              <w:t>měsíčně</w:t>
            </w:r>
          </w:p>
        </w:tc>
      </w:tr>
      <w:tr>
        <w:trPr>
          <w:trHeight w:val="25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pronajatá plocha nebytových prostor</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16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66,51 m</w:t>
            </w:r>
            <w:r>
              <w:rPr>
                <w:rFonts w:ascii="Arial" w:eastAsia="Arial" w:hAnsi="Arial" w:cs="Arial"/>
                <w:color w:val="000000"/>
                <w:spacing w:val="0"/>
                <w:w w:val="100"/>
                <w:position w:val="0"/>
                <w:sz w:val="20"/>
                <w:szCs w:val="20"/>
                <w:shd w:val="clear" w:color="auto" w:fill="auto"/>
                <w:vertAlign w:val="superscript"/>
                <w:lang w:val="cs-CZ" w:eastAsia="cs-CZ" w:bidi="cs-CZ"/>
              </w:rPr>
              <w:t>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448,00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29 796,00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b/>
                <w:bCs/>
                <w:color w:val="000000"/>
                <w:spacing w:val="0"/>
                <w:w w:val="100"/>
                <w:position w:val="0"/>
                <w:sz w:val="20"/>
                <w:szCs w:val="20"/>
                <w:shd w:val="clear" w:color="auto" w:fill="auto"/>
                <w:lang w:val="cs-CZ" w:eastAsia="cs-CZ" w:bidi="cs-CZ"/>
              </w:rPr>
              <w:t>2 483,00</w:t>
            </w:r>
          </w:p>
        </w:tc>
      </w:tr>
      <w:tr>
        <w:trPr>
          <w:trHeight w:val="24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pronajatá plocha kanceláří</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6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0 m</w:t>
            </w:r>
            <w:r>
              <w:rPr>
                <w:rFonts w:ascii="Arial" w:eastAsia="Arial" w:hAnsi="Arial" w:cs="Arial"/>
                <w:color w:val="000000"/>
                <w:spacing w:val="0"/>
                <w:w w:val="100"/>
                <w:position w:val="0"/>
                <w:sz w:val="20"/>
                <w:szCs w:val="20"/>
                <w:shd w:val="clear" w:color="auto" w:fill="auto"/>
                <w:vertAlign w:val="superscript"/>
                <w:lang w:val="cs-CZ" w:eastAsia="cs-CZ" w:bidi="cs-CZ"/>
              </w:rPr>
              <w:t>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736,00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4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b/>
                <w:bCs/>
                <w:color w:val="000000"/>
                <w:spacing w:val="0"/>
                <w:w w:val="100"/>
                <w:position w:val="0"/>
                <w:sz w:val="20"/>
                <w:szCs w:val="20"/>
                <w:shd w:val="clear" w:color="auto" w:fill="auto"/>
                <w:lang w:val="cs-CZ" w:eastAsia="cs-CZ" w:bidi="cs-CZ"/>
              </w:rPr>
              <w:t>0</w:t>
            </w:r>
          </w:p>
        </w:tc>
      </w:tr>
      <w:tr>
        <w:trPr>
          <w:trHeight w:val="24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pronajatá venkovní betonová plocha</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16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14,30 m</w:t>
            </w:r>
            <w:r>
              <w:rPr>
                <w:rFonts w:ascii="Arial" w:eastAsia="Arial" w:hAnsi="Arial" w:cs="Arial"/>
                <w:color w:val="000000"/>
                <w:spacing w:val="0"/>
                <w:w w:val="100"/>
                <w:position w:val="0"/>
                <w:sz w:val="20"/>
                <w:szCs w:val="20"/>
                <w:shd w:val="clear" w:color="auto" w:fill="auto"/>
                <w:vertAlign w:val="superscript"/>
                <w:lang w:val="cs-CZ" w:eastAsia="cs-CZ" w:bidi="cs-CZ"/>
              </w:rPr>
              <w:t>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230,00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3 289,00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120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274,00</w:t>
            </w:r>
          </w:p>
        </w:tc>
      </w:tr>
      <w:tr>
        <w:trPr>
          <w:trHeight w:val="25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roční náklady na teplo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66,51 m</w:t>
            </w:r>
            <w:r>
              <w:rPr>
                <w:rFonts w:ascii="Arial" w:eastAsia="Arial" w:hAnsi="Arial" w:cs="Arial"/>
                <w:color w:val="000000"/>
                <w:spacing w:val="0"/>
                <w:w w:val="100"/>
                <w:position w:val="0"/>
                <w:sz w:val="20"/>
                <w:szCs w:val="20"/>
                <w:shd w:val="clear" w:color="auto" w:fill="auto"/>
                <w:vertAlign w:val="superscript"/>
                <w:lang w:val="cs-CZ" w:eastAsia="cs-CZ" w:bidi="cs-CZ"/>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11 573,00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120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965,00</w:t>
            </w:r>
          </w:p>
        </w:tc>
      </w:tr>
      <w:tr>
        <w:trPr>
          <w:trHeight w:val="24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roční náklady na vodné a stočné</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1 800,00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120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150,00</w:t>
            </w:r>
          </w:p>
        </w:tc>
      </w:tr>
      <w:tr>
        <w:trPr>
          <w:trHeight w:val="25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stálé poplatky za tel. ústřednu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cs-CZ" w:eastAsia="cs-CZ" w:bidi="cs-CZ"/>
              </w:rPr>
              <w:t>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b/>
                <w:bCs/>
                <w:color w:val="000000"/>
                <w:spacing w:val="0"/>
                <w:w w:val="100"/>
                <w:position w:val="0"/>
                <w:sz w:val="20"/>
                <w:szCs w:val="20"/>
                <w:shd w:val="clear" w:color="auto" w:fill="auto"/>
                <w:lang w:val="cs-CZ" w:eastAsia="cs-CZ" w:bidi="cs-CZ"/>
              </w:rPr>
              <w:t>0</w:t>
            </w:r>
          </w:p>
        </w:tc>
      </w:tr>
      <w:tr>
        <w:trPr>
          <w:trHeight w:val="245" w:hRule="exact"/>
        </w:trPr>
        <w:tc>
          <w:tcPr>
            <w:gridSpan w:val="2"/>
            <w:tcBorders>
              <w:top w:val="single" w:sz="4"/>
              <w:left w:val="single" w:sz="4"/>
            </w:tcBorders>
            <w:shd w:val="clear" w:color="auto" w:fill="FFFFFF"/>
            <w:vAlign w:val="bottom"/>
          </w:tcPr>
          <w:p>
            <w:pPr>
              <w:pStyle w:val="Style17"/>
              <w:keepNext w:val="0"/>
              <w:keepLines w:val="0"/>
              <w:widowControl w:val="0"/>
              <w:shd w:val="clear" w:color="auto" w:fill="auto"/>
              <w:tabs>
                <w:tab w:pos="4090" w:val="left"/>
              </w:tabs>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hovorné dle skutečnosti</w:t>
              <w:tab/>
              <w:t>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cs-CZ" w:eastAsia="cs-CZ" w:bidi="cs-CZ"/>
              </w:rPr>
              <w:t>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b/>
                <w:bCs/>
                <w:color w:val="000000"/>
                <w:spacing w:val="0"/>
                <w:w w:val="100"/>
                <w:position w:val="0"/>
                <w:sz w:val="20"/>
                <w:szCs w:val="20"/>
                <w:shd w:val="clear" w:color="auto" w:fill="auto"/>
                <w:lang w:val="cs-CZ" w:eastAsia="cs-CZ" w:bidi="cs-CZ"/>
              </w:rPr>
              <w:t>0</w:t>
            </w:r>
          </w:p>
        </w:tc>
      </w:tr>
      <w:tr>
        <w:trPr>
          <w:trHeight w:val="27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spotřeba el. energie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2 376,00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120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198,00</w:t>
            </w:r>
          </w:p>
        </w:tc>
      </w:tr>
      <w:tr>
        <w:trPr>
          <w:trHeight w:val="48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Likvidace komunálního odpadu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480,00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b/>
                <w:bCs/>
                <w:color w:val="000000"/>
                <w:spacing w:val="0"/>
                <w:w w:val="100"/>
                <w:position w:val="0"/>
                <w:sz w:val="20"/>
                <w:szCs w:val="20"/>
                <w:shd w:val="clear" w:color="auto" w:fill="auto"/>
                <w:lang w:val="cs-CZ" w:eastAsia="cs-CZ" w:bidi="cs-CZ"/>
              </w:rPr>
              <w:t>40,00</w:t>
            </w:r>
          </w:p>
        </w:tc>
      </w:tr>
      <w:tr>
        <w:trPr>
          <w:trHeight w:val="346"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14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49 314,00</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8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4 110,00</w:t>
            </w:r>
          </w:p>
        </w:tc>
      </w:tr>
    </w:tbl>
    <w:p>
      <w:pPr>
        <w:widowControl w:val="0"/>
        <w:spacing w:after="479" w:line="1" w:lineRule="exact"/>
      </w:pPr>
    </w:p>
    <w:p>
      <w:pPr>
        <w:pStyle w:val="Style23"/>
        <w:keepNext/>
        <w:keepLines/>
        <w:widowControl w:val="0"/>
        <w:numPr>
          <w:ilvl w:val="0"/>
          <w:numId w:val="7"/>
        </w:numPr>
        <w:shd w:val="clear" w:color="auto" w:fill="auto"/>
        <w:tabs>
          <w:tab w:pos="686" w:val="left"/>
        </w:tabs>
        <w:bidi w:val="0"/>
        <w:spacing w:before="0" w:line="240" w:lineRule="auto"/>
        <w:ind w:left="0" w:right="0" w:firstLine="0"/>
        <w:jc w:val="center"/>
      </w:pPr>
      <w:bookmarkStart w:id="22" w:name="bookmark22"/>
      <w:bookmarkStart w:id="23" w:name="bookmark23"/>
      <w:bookmarkStart w:id="24" w:name="bookmark24"/>
      <w:bookmarkStart w:id="25" w:name="bookmark25"/>
      <w:bookmarkEnd w:id="24"/>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Splatnost nájemného a ceny služeb</w:t>
      </w:r>
      <w:bookmarkEnd w:id="22"/>
      <w:bookmarkEnd w:id="23"/>
      <w:bookmarkEnd w:id="25"/>
    </w:p>
    <w:p>
      <w:pPr>
        <w:pStyle w:val="Style2"/>
        <w:keepNext w:val="0"/>
        <w:keepLines w:val="0"/>
        <w:widowControl w:val="0"/>
        <w:numPr>
          <w:ilvl w:val="0"/>
          <w:numId w:val="9"/>
        </w:numPr>
        <w:shd w:val="clear" w:color="auto" w:fill="auto"/>
        <w:tabs>
          <w:tab w:pos="378" w:val="left"/>
        </w:tabs>
        <w:bidi w:val="0"/>
        <w:spacing w:before="0" w:after="200" w:line="240" w:lineRule="auto"/>
        <w:ind w:left="340" w:right="0" w:hanging="340"/>
        <w:jc w:val="both"/>
      </w:pPr>
      <w:bookmarkStart w:id="26" w:name="bookmark26"/>
      <w:bookmarkEnd w:id="26"/>
      <w:r>
        <w:rPr>
          <w:rFonts w:ascii="Times New Roman" w:eastAsia="Times New Roman" w:hAnsi="Times New Roman" w:cs="Times New Roman"/>
          <w:color w:val="000000"/>
          <w:spacing w:val="0"/>
          <w:w w:val="100"/>
          <w:position w:val="0"/>
          <w:sz w:val="24"/>
          <w:szCs w:val="24"/>
          <w:shd w:val="clear" w:color="auto" w:fill="auto"/>
          <w:lang w:val="cs-CZ" w:eastAsia="cs-CZ" w:bidi="cs-CZ"/>
        </w:rPr>
        <w:t>Nájemné a služby ve výši jednoho měsíčního nájmu vč. DPH bude placeno pronajímateli podle faktury a údajů v ní uvedených vždy do 15. dne následujícího měsíce.</w:t>
      </w:r>
    </w:p>
    <w:p>
      <w:pPr>
        <w:pStyle w:val="Style2"/>
        <w:keepNext w:val="0"/>
        <w:keepLines w:val="0"/>
        <w:widowControl w:val="0"/>
        <w:shd w:val="clear" w:color="auto" w:fill="auto"/>
        <w:bidi w:val="0"/>
        <w:spacing w:before="0" w:after="200" w:line="240" w:lineRule="auto"/>
        <w:ind w:left="340" w:right="0" w:firstLine="2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ukončení nájemního vztahu bude mezi oběma stranami provedeno finanční vyrovnání.</w:t>
      </w:r>
    </w:p>
    <w:p>
      <w:pPr>
        <w:pStyle w:val="Style2"/>
        <w:keepNext w:val="0"/>
        <w:keepLines w:val="0"/>
        <w:widowControl w:val="0"/>
        <w:numPr>
          <w:ilvl w:val="0"/>
          <w:numId w:val="9"/>
        </w:numPr>
        <w:shd w:val="clear" w:color="auto" w:fill="auto"/>
        <w:tabs>
          <w:tab w:pos="378" w:val="left"/>
        </w:tabs>
        <w:bidi w:val="0"/>
        <w:spacing w:before="0" w:after="200" w:line="240" w:lineRule="auto"/>
        <w:ind w:left="340" w:right="0" w:hanging="340"/>
        <w:jc w:val="both"/>
      </w:pPr>
      <w:bookmarkStart w:id="27" w:name="bookmark27"/>
      <w:bookmarkEnd w:id="27"/>
      <w:r>
        <w:rPr>
          <w:rFonts w:ascii="Times New Roman" w:eastAsia="Times New Roman" w:hAnsi="Times New Roman" w:cs="Times New Roman"/>
          <w:color w:val="000000"/>
          <w:spacing w:val="0"/>
          <w:w w:val="100"/>
          <w:position w:val="0"/>
          <w:sz w:val="24"/>
          <w:szCs w:val="24"/>
          <w:shd w:val="clear" w:color="auto" w:fill="auto"/>
          <w:lang w:val="cs-CZ" w:eastAsia="cs-CZ" w:bidi="cs-CZ"/>
        </w:rPr>
        <w:t>Zaplacením nájemného se rozumí připsání finanční částky na účet pronajímatele. Úhrada tedy bude prováděna bezhotovostním způsobem, převodem z účtu nájemce na účet pronajímatele na základě faktury vystavené pronajímatelem.</w:t>
      </w:r>
    </w:p>
    <w:p>
      <w:pPr>
        <w:pStyle w:val="Style2"/>
        <w:keepNext w:val="0"/>
        <w:keepLines w:val="0"/>
        <w:widowControl w:val="0"/>
        <w:numPr>
          <w:ilvl w:val="0"/>
          <w:numId w:val="9"/>
        </w:numPr>
        <w:shd w:val="clear" w:color="auto" w:fill="auto"/>
        <w:tabs>
          <w:tab w:pos="378" w:val="left"/>
        </w:tabs>
        <w:bidi w:val="0"/>
        <w:spacing w:before="0" w:after="200" w:line="240" w:lineRule="auto"/>
        <w:ind w:left="340" w:right="0" w:hanging="340"/>
        <w:jc w:val="both"/>
      </w:pPr>
      <w:bookmarkStart w:id="28" w:name="bookmark28"/>
      <w:bookmarkEnd w:id="28"/>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se v případě pozdní úhrady nájemného a služeb zavazuje zaplatit úrok z prodlení ve výši 0,3 % z částky včas nezaplacené za každý den prodlení, a to i v případě, že by byla zaplacena třeba jen část nájemného nebo služeb.</w:t>
      </w:r>
    </w:p>
    <w:p>
      <w:pPr>
        <w:pStyle w:val="Style2"/>
        <w:keepNext w:val="0"/>
        <w:keepLines w:val="0"/>
        <w:widowControl w:val="0"/>
        <w:numPr>
          <w:ilvl w:val="0"/>
          <w:numId w:val="9"/>
        </w:numPr>
        <w:shd w:val="clear" w:color="auto" w:fill="auto"/>
        <w:tabs>
          <w:tab w:pos="378" w:val="left"/>
        </w:tabs>
        <w:bidi w:val="0"/>
        <w:spacing w:before="0" w:line="240" w:lineRule="auto"/>
        <w:ind w:left="340" w:right="0" w:hanging="340"/>
        <w:jc w:val="both"/>
      </w:pPr>
      <w:bookmarkStart w:id="29" w:name="bookmark29"/>
      <w:bookmarkEnd w:id="29"/>
      <w:r>
        <w:rPr>
          <w:rFonts w:ascii="Times New Roman" w:eastAsia="Times New Roman" w:hAnsi="Times New Roman" w:cs="Times New Roman"/>
          <w:color w:val="000000"/>
          <w:spacing w:val="0"/>
          <w:w w:val="100"/>
          <w:position w:val="0"/>
          <w:sz w:val="24"/>
          <w:szCs w:val="24"/>
          <w:shd w:val="clear" w:color="auto" w:fill="auto"/>
          <w:lang w:val="cs-CZ" w:eastAsia="cs-CZ" w:bidi="cs-CZ"/>
        </w:rPr>
        <w:t>Cena nájemného a služeb je uvedena v tabulce článku V. Jedná se o cenu smluvní, která vychází ze skutečných nákladů předchozího roku. Cena nájmu nezahrnuje úklid prostor pronajatých nájemci (ten si zajišťuje nájemce sám), likvidaci nebezpečného odpadu.</w:t>
      </w:r>
    </w:p>
    <w:p>
      <w:pPr>
        <w:pStyle w:val="Style2"/>
        <w:keepNext w:val="0"/>
        <w:keepLines w:val="0"/>
        <w:widowControl w:val="0"/>
        <w:numPr>
          <w:ilvl w:val="0"/>
          <w:numId w:val="9"/>
        </w:numPr>
        <w:shd w:val="clear" w:color="auto" w:fill="auto"/>
        <w:tabs>
          <w:tab w:pos="378" w:val="left"/>
        </w:tabs>
        <w:bidi w:val="0"/>
        <w:spacing w:before="0" w:after="0" w:line="240" w:lineRule="auto"/>
        <w:ind w:left="340" w:right="0" w:hanging="340"/>
        <w:jc w:val="both"/>
      </w:pPr>
      <w:bookmarkStart w:id="30" w:name="bookmark30"/>
      <w:bookmarkEnd w:id="30"/>
      <w:r>
        <w:rPr>
          <w:rFonts w:ascii="Times New Roman" w:eastAsia="Times New Roman" w:hAnsi="Times New Roman" w:cs="Times New Roman"/>
          <w:color w:val="000000"/>
          <w:spacing w:val="0"/>
          <w:w w:val="100"/>
          <w:position w:val="0"/>
          <w:sz w:val="24"/>
          <w:szCs w:val="24"/>
          <w:shd w:val="clear" w:color="auto" w:fill="auto"/>
          <w:lang w:val="cs-CZ" w:eastAsia="cs-CZ" w:bidi="cs-CZ"/>
        </w:rPr>
        <w:t>Vzhledem k tomu, že v ceně nájmu jsou zahrnuty energie a služby, bude se cena služeb upravovat vždy v návaznosti na změny cen jednotlivých energií a služeb.</w:t>
      </w:r>
    </w:p>
    <w:p>
      <w:pPr>
        <w:pStyle w:val="Style2"/>
        <w:keepNext w:val="0"/>
        <w:keepLines w:val="0"/>
        <w:widowControl w:val="0"/>
        <w:shd w:val="clear" w:color="auto" w:fill="auto"/>
        <w:bidi w:val="0"/>
        <w:spacing w:before="0" w:line="240" w:lineRule="auto"/>
        <w:ind w:left="340" w:right="0" w:firstLine="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Částka za spotřebovanou elektrickou energii byla vypočtena podnikovým energetikem na základě předpokladu běžně používaných spotřebičů v pronajatém prostoru.</w:t>
      </w:r>
    </w:p>
    <w:p>
      <w:pPr>
        <w:pStyle w:val="Style2"/>
        <w:keepNext w:val="0"/>
        <w:keepLines w:val="0"/>
        <w:widowControl w:val="0"/>
        <w:numPr>
          <w:ilvl w:val="0"/>
          <w:numId w:val="7"/>
        </w:numPr>
        <w:shd w:val="clear" w:color="auto" w:fill="auto"/>
        <w:tabs>
          <w:tab w:pos="3860" w:val="left"/>
        </w:tabs>
        <w:bidi w:val="0"/>
        <w:spacing w:before="0" w:line="240" w:lineRule="auto"/>
        <w:ind w:left="2780" w:right="0" w:firstLine="0"/>
        <w:jc w:val="left"/>
      </w:pPr>
      <w:bookmarkStart w:id="31" w:name="bookmark31"/>
      <w:bookmarkEnd w:id="31"/>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Doba nájmu</w:t>
      </w:r>
    </w:p>
    <w:p>
      <w:pPr>
        <w:pStyle w:val="Style2"/>
        <w:keepNext w:val="0"/>
        <w:keepLines w:val="0"/>
        <w:widowControl w:val="0"/>
        <w:numPr>
          <w:ilvl w:val="0"/>
          <w:numId w:val="11"/>
        </w:numPr>
        <w:shd w:val="clear" w:color="auto" w:fill="auto"/>
        <w:tabs>
          <w:tab w:pos="378" w:val="left"/>
        </w:tabs>
        <w:bidi w:val="0"/>
        <w:spacing w:before="0" w:line="240" w:lineRule="auto"/>
        <w:ind w:left="0" w:right="0" w:firstLine="0"/>
        <w:jc w:val="both"/>
      </w:pPr>
      <w:bookmarkStart w:id="32" w:name="bookmark32"/>
      <w:bookmarkEnd w:id="32"/>
      <w:r>
        <w:rPr>
          <w:rFonts w:ascii="Times New Roman" w:eastAsia="Times New Roman" w:hAnsi="Times New Roman" w:cs="Times New Roman"/>
          <w:color w:val="000000"/>
          <w:spacing w:val="0"/>
          <w:w w:val="100"/>
          <w:position w:val="0"/>
          <w:sz w:val="24"/>
          <w:szCs w:val="24"/>
          <w:shd w:val="clear" w:color="auto" w:fill="auto"/>
          <w:lang w:val="cs-CZ" w:eastAsia="cs-CZ" w:bidi="cs-CZ"/>
        </w:rPr>
        <w:t>Nájemní vztah se sjednává na dobu určitou 5 let, tj. od 01.01.2025 do 31.12.2029.</w:t>
      </w:r>
    </w:p>
    <w:p>
      <w:pPr>
        <w:pStyle w:val="Style2"/>
        <w:keepNext w:val="0"/>
        <w:keepLines w:val="0"/>
        <w:widowControl w:val="0"/>
        <w:numPr>
          <w:ilvl w:val="0"/>
          <w:numId w:val="11"/>
        </w:numPr>
        <w:shd w:val="clear" w:color="auto" w:fill="auto"/>
        <w:tabs>
          <w:tab w:pos="378" w:val="left"/>
        </w:tabs>
        <w:bidi w:val="0"/>
        <w:spacing w:before="0" w:line="240" w:lineRule="auto"/>
        <w:ind w:left="340" w:right="0" w:hanging="340"/>
        <w:jc w:val="both"/>
      </w:pPr>
      <w:bookmarkStart w:id="33" w:name="bookmark33"/>
      <w:bookmarkEnd w:id="33"/>
      <w:r>
        <w:rPr>
          <w:rFonts w:ascii="Times New Roman" w:eastAsia="Times New Roman" w:hAnsi="Times New Roman" w:cs="Times New Roman"/>
          <w:color w:val="000000"/>
          <w:spacing w:val="0"/>
          <w:w w:val="100"/>
          <w:position w:val="0"/>
          <w:sz w:val="24"/>
          <w:szCs w:val="24"/>
          <w:shd w:val="clear" w:color="auto" w:fill="auto"/>
          <w:lang w:val="cs-CZ" w:eastAsia="cs-CZ" w:bidi="cs-CZ"/>
        </w:rPr>
        <w:t>Výpovědní lhůta je šestiměsíční a počíná běžet první den měsíce následujícího od doručení výpovědi.</w:t>
      </w:r>
    </w:p>
    <w:p>
      <w:pPr>
        <w:pStyle w:val="Style2"/>
        <w:keepNext w:val="0"/>
        <w:keepLines w:val="0"/>
        <w:widowControl w:val="0"/>
        <w:numPr>
          <w:ilvl w:val="0"/>
          <w:numId w:val="11"/>
        </w:numPr>
        <w:shd w:val="clear" w:color="auto" w:fill="auto"/>
        <w:tabs>
          <w:tab w:pos="378" w:val="left"/>
        </w:tabs>
        <w:bidi w:val="0"/>
        <w:spacing w:before="0" w:after="0" w:line="240" w:lineRule="auto"/>
        <w:ind w:left="0" w:right="0" w:firstLine="0"/>
        <w:jc w:val="both"/>
      </w:pPr>
      <w:bookmarkStart w:id="34" w:name="bookmark34"/>
      <w:bookmarkEnd w:id="34"/>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může jednostranně vypovědět nájemní vztah v jednoměsíční výpovědní lhůtě</w:t>
      </w:r>
    </w:p>
    <w:p>
      <w:pPr>
        <w:pStyle w:val="Style2"/>
        <w:keepNext w:val="0"/>
        <w:keepLines w:val="0"/>
        <w:widowControl w:val="0"/>
        <w:shd w:val="clear" w:color="auto" w:fill="auto"/>
        <w:bidi w:val="0"/>
        <w:spacing w:before="0" w:after="0" w:line="240" w:lineRule="auto"/>
        <w:ind w:left="0" w:right="0" w:firstLine="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z těchto důvodů:</w:t>
      </w:r>
    </w:p>
    <w:p>
      <w:pPr>
        <w:pStyle w:val="Style2"/>
        <w:keepNext w:val="0"/>
        <w:keepLines w:val="0"/>
        <w:widowControl w:val="0"/>
        <w:numPr>
          <w:ilvl w:val="0"/>
          <w:numId w:val="13"/>
        </w:numPr>
        <w:shd w:val="clear" w:color="auto" w:fill="auto"/>
        <w:tabs>
          <w:tab w:pos="727" w:val="left"/>
        </w:tabs>
        <w:bidi w:val="0"/>
        <w:spacing w:before="0" w:line="240" w:lineRule="auto"/>
        <w:ind w:left="0" w:right="0" w:firstLine="340"/>
        <w:jc w:val="both"/>
      </w:pPr>
      <w:bookmarkStart w:id="35" w:name="bookmark35"/>
      <w:bookmarkEnd w:id="35"/>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užívá nebytový prostor v rozporu se smlouvou;</w:t>
      </w:r>
    </w:p>
    <w:p>
      <w:pPr>
        <w:pStyle w:val="Style2"/>
        <w:keepNext w:val="0"/>
        <w:keepLines w:val="0"/>
        <w:widowControl w:val="0"/>
        <w:numPr>
          <w:ilvl w:val="0"/>
          <w:numId w:val="13"/>
        </w:numPr>
        <w:shd w:val="clear" w:color="auto" w:fill="auto"/>
        <w:tabs>
          <w:tab w:pos="742" w:val="left"/>
        </w:tabs>
        <w:bidi w:val="0"/>
        <w:spacing w:before="0" w:line="240" w:lineRule="auto"/>
        <w:ind w:left="340" w:right="0" w:firstLine="20"/>
        <w:jc w:val="both"/>
      </w:pPr>
      <w:bookmarkStart w:id="36" w:name="bookmark36"/>
      <w:bookmarkEnd w:id="36"/>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je o více než jeden měsíc v prodlení s placením nájemného nebo úhrady za služby, jejichž poskytování je spojeno s nájmem;</w:t>
      </w:r>
    </w:p>
    <w:p>
      <w:pPr>
        <w:pStyle w:val="Style2"/>
        <w:keepNext w:val="0"/>
        <w:keepLines w:val="0"/>
        <w:widowControl w:val="0"/>
        <w:numPr>
          <w:ilvl w:val="0"/>
          <w:numId w:val="13"/>
        </w:numPr>
        <w:shd w:val="clear" w:color="auto" w:fill="auto"/>
        <w:tabs>
          <w:tab w:pos="742" w:val="left"/>
        </w:tabs>
        <w:bidi w:val="0"/>
        <w:spacing w:before="0" w:line="240" w:lineRule="auto"/>
        <w:ind w:left="340" w:right="0" w:firstLine="20"/>
        <w:jc w:val="both"/>
      </w:pPr>
      <w:bookmarkStart w:id="37" w:name="bookmark37"/>
      <w:bookmarkEnd w:id="37"/>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nebo osoby, které s ním užívají nebytový prostor, přes písemné upozornění hrubě porušují klid nebo pořádek;</w:t>
      </w:r>
    </w:p>
    <w:p>
      <w:pPr>
        <w:pStyle w:val="Style2"/>
        <w:keepNext w:val="0"/>
        <w:keepLines w:val="0"/>
        <w:widowControl w:val="0"/>
        <w:numPr>
          <w:ilvl w:val="0"/>
          <w:numId w:val="13"/>
        </w:numPr>
        <w:shd w:val="clear" w:color="auto" w:fill="auto"/>
        <w:tabs>
          <w:tab w:pos="742" w:val="left"/>
        </w:tabs>
        <w:bidi w:val="0"/>
        <w:spacing w:before="0" w:line="240" w:lineRule="auto"/>
        <w:ind w:left="340" w:right="0" w:firstLine="20"/>
        <w:jc w:val="both"/>
      </w:pPr>
      <w:bookmarkStart w:id="38" w:name="bookmark38"/>
      <w:bookmarkEnd w:id="38"/>
      <w:r>
        <w:rPr>
          <w:rFonts w:ascii="Times New Roman" w:eastAsia="Times New Roman" w:hAnsi="Times New Roman" w:cs="Times New Roman"/>
          <w:color w:val="000000"/>
          <w:spacing w:val="0"/>
          <w:w w:val="100"/>
          <w:position w:val="0"/>
          <w:sz w:val="24"/>
          <w:szCs w:val="24"/>
          <w:shd w:val="clear" w:color="auto" w:fill="auto"/>
          <w:lang w:val="cs-CZ" w:eastAsia="cs-CZ" w:bidi="cs-CZ"/>
        </w:rPr>
        <w:t>bylo rozhodnuto o odstranění stavby nebo o změnách stavby, jež brání užívání předmětu nájmu;</w:t>
      </w:r>
    </w:p>
    <w:p>
      <w:pPr>
        <w:pStyle w:val="Style2"/>
        <w:keepNext w:val="0"/>
        <w:keepLines w:val="0"/>
        <w:widowControl w:val="0"/>
        <w:numPr>
          <w:ilvl w:val="0"/>
          <w:numId w:val="13"/>
        </w:numPr>
        <w:shd w:val="clear" w:color="auto" w:fill="auto"/>
        <w:tabs>
          <w:tab w:pos="742" w:val="left"/>
        </w:tabs>
        <w:bidi w:val="0"/>
        <w:spacing w:before="0" w:line="240" w:lineRule="auto"/>
        <w:ind w:left="340" w:right="0" w:firstLine="20"/>
        <w:jc w:val="both"/>
      </w:pPr>
      <w:bookmarkStart w:id="39" w:name="bookmark39"/>
      <w:bookmarkEnd w:id="39"/>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přenechá předmět nájmu nebo jeho část do podnájmu bez předchozího písemného souhlasu pronajímatele;</w:t>
      </w:r>
    </w:p>
    <w:p>
      <w:pPr>
        <w:pStyle w:val="Style2"/>
        <w:keepNext w:val="0"/>
        <w:keepLines w:val="0"/>
        <w:widowControl w:val="0"/>
        <w:numPr>
          <w:ilvl w:val="0"/>
          <w:numId w:val="13"/>
        </w:numPr>
        <w:shd w:val="clear" w:color="auto" w:fill="auto"/>
        <w:tabs>
          <w:tab w:pos="742" w:val="left"/>
        </w:tabs>
        <w:bidi w:val="0"/>
        <w:spacing w:before="0" w:line="240" w:lineRule="auto"/>
        <w:ind w:left="0" w:right="0" w:firstLine="340"/>
        <w:jc w:val="both"/>
      </w:pPr>
      <w:bookmarkStart w:id="40" w:name="bookmark40"/>
      <w:bookmarkEnd w:id="40"/>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změnil v provozovně předmět podnikání bez předchozího souhlasu pronajímatele,</w:t>
      </w:r>
    </w:p>
    <w:p>
      <w:pPr>
        <w:pStyle w:val="Style2"/>
        <w:keepNext w:val="0"/>
        <w:keepLines w:val="0"/>
        <w:widowControl w:val="0"/>
        <w:numPr>
          <w:ilvl w:val="0"/>
          <w:numId w:val="13"/>
        </w:numPr>
        <w:shd w:val="clear" w:color="auto" w:fill="auto"/>
        <w:tabs>
          <w:tab w:pos="742" w:val="left"/>
        </w:tabs>
        <w:bidi w:val="0"/>
        <w:spacing w:before="0" w:line="240" w:lineRule="auto"/>
        <w:ind w:left="340" w:right="0" w:firstLine="20"/>
        <w:jc w:val="both"/>
      </w:pPr>
      <w:bookmarkStart w:id="41" w:name="bookmark41"/>
      <w:bookmarkEnd w:id="41"/>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opakovaně porušil své povinnosti stanovené touto smlouvou, zejména v čl. VIII smlouvy.</w:t>
      </w:r>
    </w:p>
    <w:p>
      <w:pPr>
        <w:pStyle w:val="Style2"/>
        <w:keepNext w:val="0"/>
        <w:keepLines w:val="0"/>
        <w:widowControl w:val="0"/>
        <w:numPr>
          <w:ilvl w:val="0"/>
          <w:numId w:val="11"/>
        </w:numPr>
        <w:shd w:val="clear" w:color="auto" w:fill="auto"/>
        <w:tabs>
          <w:tab w:pos="378" w:val="left"/>
        </w:tabs>
        <w:bidi w:val="0"/>
        <w:spacing w:before="0" w:line="240" w:lineRule="auto"/>
        <w:ind w:left="0" w:right="0" w:firstLine="0"/>
        <w:jc w:val="both"/>
      </w:pPr>
      <w:bookmarkStart w:id="42" w:name="bookmark42"/>
      <w:bookmarkEnd w:id="42"/>
      <w:r>
        <w:rPr>
          <w:rFonts w:ascii="Times New Roman" w:eastAsia="Times New Roman" w:hAnsi="Times New Roman" w:cs="Times New Roman"/>
          <w:color w:val="000000"/>
          <w:spacing w:val="0"/>
          <w:w w:val="100"/>
          <w:position w:val="0"/>
          <w:sz w:val="24"/>
          <w:szCs w:val="24"/>
          <w:shd w:val="clear" w:color="auto" w:fill="auto"/>
          <w:lang w:val="cs-CZ" w:eastAsia="cs-CZ" w:bidi="cs-CZ"/>
        </w:rPr>
        <w:t>Nájemní vztah lze ukončit dohodou stran kdykoliv.</w:t>
      </w:r>
    </w:p>
    <w:p>
      <w:pPr>
        <w:pStyle w:val="Style2"/>
        <w:keepNext w:val="0"/>
        <w:keepLines w:val="0"/>
        <w:widowControl w:val="0"/>
        <w:numPr>
          <w:ilvl w:val="0"/>
          <w:numId w:val="11"/>
        </w:numPr>
        <w:shd w:val="clear" w:color="auto" w:fill="auto"/>
        <w:tabs>
          <w:tab w:pos="378" w:val="left"/>
        </w:tabs>
        <w:bidi w:val="0"/>
        <w:spacing w:before="0" w:after="180" w:line="240" w:lineRule="auto"/>
        <w:ind w:left="340" w:right="0" w:hanging="340"/>
        <w:jc w:val="both"/>
      </w:pPr>
      <w:bookmarkStart w:id="43" w:name="bookmark43"/>
      <w:bookmarkEnd w:id="43"/>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nájmu je nájemce povinen zcela vyklidit a uvolnit a předat pronajímateli nejpozději k poslednímu dni výpovědní lhůty nebo ke dni podle dohody, a to pod smluvní pokutou 500,- Kč denně za každý den při prodlení s vyklizením nebytových prostor a jejich předáním pronajímateli.</w:t>
      </w:r>
    </w:p>
    <w:p>
      <w:pPr>
        <w:pStyle w:val="Style2"/>
        <w:keepNext w:val="0"/>
        <w:keepLines w:val="0"/>
        <w:widowControl w:val="0"/>
        <w:numPr>
          <w:ilvl w:val="0"/>
          <w:numId w:val="11"/>
        </w:numPr>
        <w:shd w:val="clear" w:color="auto" w:fill="auto"/>
        <w:tabs>
          <w:tab w:pos="378" w:val="left"/>
        </w:tabs>
        <w:bidi w:val="0"/>
        <w:spacing w:before="0" w:line="240" w:lineRule="auto"/>
        <w:ind w:left="340" w:right="0" w:hanging="340"/>
        <w:jc w:val="both"/>
      </w:pPr>
      <w:bookmarkStart w:id="44" w:name="bookmark44"/>
      <w:bookmarkEnd w:id="44"/>
      <w:r>
        <w:rPr>
          <w:rFonts w:ascii="Times New Roman" w:eastAsia="Times New Roman" w:hAnsi="Times New Roman" w:cs="Times New Roman"/>
          <w:color w:val="000000"/>
          <w:spacing w:val="0"/>
          <w:w w:val="100"/>
          <w:position w:val="0"/>
          <w:sz w:val="24"/>
          <w:szCs w:val="24"/>
          <w:shd w:val="clear" w:color="auto" w:fill="auto"/>
          <w:lang w:val="cs-CZ" w:eastAsia="cs-CZ" w:bidi="cs-CZ"/>
        </w:rPr>
        <w:t>Uvolněním a vyklizením předmětu nájmu nájemcem se rozumí odstranění všech jeho movitých věcí a zařízení tj. veškerá zařízení, nástroje, přístroje, materiál a nábytek, který není součástí pronajatých prostor.</w:t>
      </w:r>
    </w:p>
    <w:p>
      <w:pPr>
        <w:pStyle w:val="Style2"/>
        <w:keepNext w:val="0"/>
        <w:keepLines w:val="0"/>
        <w:widowControl w:val="0"/>
        <w:numPr>
          <w:ilvl w:val="0"/>
          <w:numId w:val="11"/>
        </w:numPr>
        <w:shd w:val="clear" w:color="auto" w:fill="auto"/>
        <w:tabs>
          <w:tab w:pos="378" w:val="left"/>
        </w:tabs>
        <w:bidi w:val="0"/>
        <w:spacing w:before="0" w:line="240" w:lineRule="auto"/>
        <w:ind w:left="0" w:right="0" w:firstLine="0"/>
        <w:jc w:val="both"/>
      </w:pPr>
      <w:bookmarkStart w:id="45" w:name="bookmark45"/>
      <w:bookmarkEnd w:id="45"/>
      <w:r>
        <w:rPr>
          <w:rFonts w:ascii="Times New Roman" w:eastAsia="Times New Roman" w:hAnsi="Times New Roman" w:cs="Times New Roman"/>
          <w:color w:val="000000"/>
          <w:spacing w:val="0"/>
          <w:w w:val="100"/>
          <w:position w:val="0"/>
          <w:sz w:val="24"/>
          <w:szCs w:val="24"/>
          <w:shd w:val="clear" w:color="auto" w:fill="auto"/>
          <w:lang w:val="cs-CZ" w:eastAsia="cs-CZ" w:bidi="cs-CZ"/>
        </w:rPr>
        <w:t>Sankce by byly placeny vedle platby za nájem a služby.</w:t>
      </w:r>
    </w:p>
    <w:p>
      <w:pPr>
        <w:pStyle w:val="Style2"/>
        <w:keepNext w:val="0"/>
        <w:keepLines w:val="0"/>
        <w:widowControl w:val="0"/>
        <w:numPr>
          <w:ilvl w:val="0"/>
          <w:numId w:val="11"/>
        </w:numPr>
        <w:shd w:val="clear" w:color="auto" w:fill="auto"/>
        <w:tabs>
          <w:tab w:pos="320" w:val="left"/>
        </w:tabs>
        <w:bidi w:val="0"/>
        <w:spacing w:before="0" w:line="240" w:lineRule="auto"/>
        <w:ind w:left="360" w:right="0" w:hanging="360"/>
        <w:jc w:val="both"/>
      </w:pPr>
      <w:bookmarkStart w:id="46" w:name="bookmark46"/>
      <w:bookmarkEnd w:id="46"/>
      <w:r>
        <w:rPr>
          <w:rFonts w:ascii="Times New Roman" w:eastAsia="Times New Roman" w:hAnsi="Times New Roman" w:cs="Times New Roman"/>
          <w:color w:val="000000"/>
          <w:spacing w:val="0"/>
          <w:w w:val="100"/>
          <w:position w:val="0"/>
          <w:sz w:val="24"/>
          <w:szCs w:val="24"/>
          <w:shd w:val="clear" w:color="auto" w:fill="auto"/>
          <w:lang w:val="cs-CZ" w:eastAsia="cs-CZ" w:bidi="cs-CZ"/>
        </w:rPr>
        <w:t>Předaný předmět nájmu bude vymalovaný (odstranění staré malby, zahlazení otvorů a následné vymalování) a uklizený.</w:t>
      </w:r>
    </w:p>
    <w:p>
      <w:pPr>
        <w:pStyle w:val="Style2"/>
        <w:keepNext w:val="0"/>
        <w:keepLines w:val="0"/>
        <w:widowControl w:val="0"/>
        <w:numPr>
          <w:ilvl w:val="0"/>
          <w:numId w:val="7"/>
        </w:numPr>
        <w:shd w:val="clear" w:color="auto" w:fill="auto"/>
        <w:tabs>
          <w:tab w:pos="931" w:val="left"/>
        </w:tabs>
        <w:bidi w:val="0"/>
        <w:spacing w:before="0" w:line="240" w:lineRule="auto"/>
        <w:ind w:left="0" w:right="0" w:firstLine="0"/>
        <w:jc w:val="center"/>
      </w:pPr>
      <w:bookmarkStart w:id="47" w:name="bookmark47"/>
      <w:bookmarkEnd w:id="47"/>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Způsob užívání předmětu nájmu</w:t>
      </w:r>
    </w:p>
    <w:p>
      <w:pPr>
        <w:pStyle w:val="Style2"/>
        <w:keepNext w:val="0"/>
        <w:keepLines w:val="0"/>
        <w:widowControl w:val="0"/>
        <w:numPr>
          <w:ilvl w:val="0"/>
          <w:numId w:val="15"/>
        </w:numPr>
        <w:shd w:val="clear" w:color="auto" w:fill="auto"/>
        <w:tabs>
          <w:tab w:pos="320" w:val="left"/>
        </w:tabs>
        <w:bidi w:val="0"/>
        <w:spacing w:before="0" w:line="240" w:lineRule="auto"/>
        <w:ind w:left="360" w:right="0" w:hanging="360"/>
        <w:jc w:val="both"/>
      </w:pPr>
      <w:bookmarkStart w:id="48" w:name="bookmark48"/>
      <w:bookmarkEnd w:id="48"/>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není oprávněn dát předmět nájmu do podnájmu třetí osobě bez předchozího písemného souhlasu pronajímatele; to platí, i pokud jde o část předmětu nájmu, jeho součást či příslušenství. Nájemce není oprávněn přenechat předmět nájmu k užívání jinému subjektu, a to ani formou sdružení s jiným subjektem či jinou formou spolupráce bez souhlasu pronajímatele.</w:t>
      </w:r>
    </w:p>
    <w:p>
      <w:pPr>
        <w:pStyle w:val="Style2"/>
        <w:keepNext w:val="0"/>
        <w:keepLines w:val="0"/>
        <w:widowControl w:val="0"/>
        <w:numPr>
          <w:ilvl w:val="0"/>
          <w:numId w:val="15"/>
        </w:numPr>
        <w:shd w:val="clear" w:color="auto" w:fill="auto"/>
        <w:tabs>
          <w:tab w:pos="320" w:val="left"/>
        </w:tabs>
        <w:bidi w:val="0"/>
        <w:spacing w:before="0" w:line="240" w:lineRule="auto"/>
        <w:ind w:left="280" w:right="0" w:hanging="280"/>
        <w:jc w:val="both"/>
      </w:pPr>
      <w:bookmarkStart w:id="49" w:name="bookmark49"/>
      <w:bookmarkEnd w:id="49"/>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může upravovat předmět nájmu pouze se souhlasem pronajímatele. Běžnou údržbu a drobné opravy předmětu nájmu nájemce zajišťuje na své náklady. Pro účely této smlouvy se za drobnou opravu považuje oprava, která jednorázově nepřesahuje finanční částku 10.000,- Kč bez DPH. Není přípustné opravy sčítat. Nutnost oprav nad uvedený rozsah je nájemce povinen bez zbytečného odkladu oznámit pronajímateli a ten je povinen, podle svých možností, je v co nejkratší době provést.</w:t>
      </w:r>
    </w:p>
    <w:p>
      <w:pPr>
        <w:pStyle w:val="Style2"/>
        <w:keepNext w:val="0"/>
        <w:keepLines w:val="0"/>
        <w:widowControl w:val="0"/>
        <w:numPr>
          <w:ilvl w:val="0"/>
          <w:numId w:val="15"/>
        </w:numPr>
        <w:shd w:val="clear" w:color="auto" w:fill="auto"/>
        <w:tabs>
          <w:tab w:pos="320" w:val="left"/>
        </w:tabs>
        <w:bidi w:val="0"/>
        <w:spacing w:before="0" w:line="240" w:lineRule="auto"/>
        <w:ind w:left="280" w:right="0" w:hanging="280"/>
        <w:jc w:val="both"/>
      </w:pPr>
      <w:bookmarkStart w:id="50" w:name="bookmark50"/>
      <w:bookmarkEnd w:id="50"/>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způsobení škody na zařízení nese odpovědnost nájemce a je povinen škodu ihned nahlásit. Úpravu do původního stavu zajistí nájemce na svoje náklady, pokud tak neučiní, úpravu zajistí pronajímatel na náklady nájemce. To platí i u venkovních ploch a parkovacích stání pro motorová vozidla. V případě znečištění této plochy zajistí nájemce úpravu do původního stavu na svoje náklady, pokud tak neučiní, úpravu zajistí pronajímatel na náklady nájemce.</w:t>
      </w:r>
    </w:p>
    <w:p>
      <w:pPr>
        <w:pStyle w:val="Style2"/>
        <w:keepNext w:val="0"/>
        <w:keepLines w:val="0"/>
        <w:widowControl w:val="0"/>
        <w:numPr>
          <w:ilvl w:val="0"/>
          <w:numId w:val="15"/>
        </w:numPr>
        <w:shd w:val="clear" w:color="auto" w:fill="auto"/>
        <w:tabs>
          <w:tab w:pos="320" w:val="left"/>
        </w:tabs>
        <w:bidi w:val="0"/>
        <w:spacing w:before="0" w:line="240" w:lineRule="auto"/>
        <w:ind w:left="280" w:right="0" w:hanging="280"/>
        <w:jc w:val="both"/>
      </w:pPr>
      <w:bookmarkStart w:id="51" w:name="bookmark51"/>
      <w:bookmarkEnd w:id="51"/>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je povinen umožnit pronajímateli, či osobám z jejich strany k tomu pověřeným, provádění ostatních oprav v předmětu nájmu a kontrolu stavu předmětu nájmu. Nájemce je dále povinen oznamovat pronajímateli neprodleně veškeré mu známé škody vzniklé na pronajatém majetku a potřebu případných oprav. Při porušení této povinnosti je nájemce povinen nahradit škodu, která by pronajímateli v důsledku tohoto vznikla.</w:t>
      </w:r>
    </w:p>
    <w:p>
      <w:pPr>
        <w:pStyle w:val="Style2"/>
        <w:keepNext w:val="0"/>
        <w:keepLines w:val="0"/>
        <w:widowControl w:val="0"/>
        <w:numPr>
          <w:ilvl w:val="0"/>
          <w:numId w:val="15"/>
        </w:numPr>
        <w:shd w:val="clear" w:color="auto" w:fill="auto"/>
        <w:tabs>
          <w:tab w:pos="320" w:val="left"/>
        </w:tabs>
        <w:bidi w:val="0"/>
        <w:spacing w:before="0" w:line="240" w:lineRule="auto"/>
        <w:ind w:left="280" w:right="0" w:hanging="280"/>
        <w:jc w:val="both"/>
      </w:pPr>
      <w:bookmarkStart w:id="52" w:name="bookmark52"/>
      <w:bookmarkEnd w:id="52"/>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je povinen chovat se tak, aby on sám a jeho obchodní partneři nezpůsobili škodu na majetku pronajímatele. Za takové škody nese odpovědnost nájemce a je povinen bezodkladně je odstranit uvedením do původního stavu. Není-li to možné, úpravu do původního stavu zajistí pronajímatel na náklady nájemce.</w:t>
      </w:r>
    </w:p>
    <w:p>
      <w:pPr>
        <w:pStyle w:val="Style2"/>
        <w:keepNext w:val="0"/>
        <w:keepLines w:val="0"/>
        <w:widowControl w:val="0"/>
        <w:numPr>
          <w:ilvl w:val="0"/>
          <w:numId w:val="15"/>
        </w:numPr>
        <w:shd w:val="clear" w:color="auto" w:fill="auto"/>
        <w:tabs>
          <w:tab w:pos="320" w:val="left"/>
        </w:tabs>
        <w:bidi w:val="0"/>
        <w:spacing w:before="0" w:line="240" w:lineRule="auto"/>
        <w:ind w:left="280" w:right="0" w:hanging="280"/>
        <w:jc w:val="both"/>
      </w:pPr>
      <w:bookmarkStart w:id="53" w:name="bookmark53"/>
      <w:bookmarkEnd w:id="53"/>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je povinen si svůj majetek nechat pojistit a pronajímatel nenese zodpovědnost za případně vzniklé škody na majetku nájemce.</w:t>
      </w:r>
    </w:p>
    <w:p>
      <w:pPr>
        <w:pStyle w:val="Style2"/>
        <w:keepNext w:val="0"/>
        <w:keepLines w:val="0"/>
        <w:widowControl w:val="0"/>
        <w:numPr>
          <w:ilvl w:val="0"/>
          <w:numId w:val="15"/>
        </w:numPr>
        <w:shd w:val="clear" w:color="auto" w:fill="auto"/>
        <w:tabs>
          <w:tab w:pos="320" w:val="left"/>
        </w:tabs>
        <w:bidi w:val="0"/>
        <w:spacing w:before="0" w:after="0" w:line="240" w:lineRule="auto"/>
        <w:ind w:left="0" w:right="0" w:firstLine="0"/>
        <w:jc w:val="both"/>
      </w:pPr>
      <w:bookmarkStart w:id="54" w:name="bookmark54"/>
      <w:bookmarkEnd w:id="54"/>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neodpovídá za opotřebení nebytových prostor při způsobu jejich běžného užívání</w:t>
      </w:r>
    </w:p>
    <w:p>
      <w:pPr>
        <w:pStyle w:val="Style2"/>
        <w:keepNext w:val="0"/>
        <w:keepLines w:val="0"/>
        <w:widowControl w:val="0"/>
        <w:shd w:val="clear" w:color="auto" w:fill="auto"/>
        <w:bidi w:val="0"/>
        <w:spacing w:before="0" w:line="240" w:lineRule="auto"/>
        <w:ind w:left="0" w:right="0" w:firstLine="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a opotřebení.</w:t>
      </w:r>
    </w:p>
    <w:p>
      <w:pPr>
        <w:pStyle w:val="Style2"/>
        <w:keepNext w:val="0"/>
        <w:keepLines w:val="0"/>
        <w:widowControl w:val="0"/>
        <w:numPr>
          <w:ilvl w:val="0"/>
          <w:numId w:val="15"/>
        </w:numPr>
        <w:shd w:val="clear" w:color="auto" w:fill="auto"/>
        <w:tabs>
          <w:tab w:pos="320" w:val="left"/>
        </w:tabs>
        <w:bidi w:val="0"/>
        <w:spacing w:before="0" w:line="240" w:lineRule="auto"/>
        <w:ind w:left="360" w:right="0" w:hanging="360"/>
        <w:jc w:val="both"/>
      </w:pPr>
      <w:bookmarkStart w:id="55" w:name="bookmark55"/>
      <w:bookmarkEnd w:id="55"/>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se zavazuje, že po celou dobu trvání nájemního vztahu bude mít uzavřenu pojistnou smlouvu týkající se odpovědnosti za škody způsobené vlastní podnikatelskou činností, tedy tou činností, kterou provozuje v předmětu nájmu v souladu s touto nájemní smlouvou. Porušení tohoto ustanovení je důvodem k výpovědi ze strany pronajímatele. Nájemce je povinen předložit pojistnou smlouvu na žádost pronajímatele.</w:t>
      </w:r>
    </w:p>
    <w:p>
      <w:pPr>
        <w:pStyle w:val="Style2"/>
        <w:keepNext w:val="0"/>
        <w:keepLines w:val="0"/>
        <w:widowControl w:val="0"/>
        <w:numPr>
          <w:ilvl w:val="0"/>
          <w:numId w:val="15"/>
        </w:numPr>
        <w:shd w:val="clear" w:color="auto" w:fill="auto"/>
        <w:tabs>
          <w:tab w:pos="460" w:val="left"/>
        </w:tabs>
        <w:bidi w:val="0"/>
        <w:spacing w:before="0" w:after="200" w:line="240" w:lineRule="auto"/>
        <w:ind w:left="360" w:right="0" w:hanging="220"/>
        <w:jc w:val="both"/>
      </w:pPr>
      <w:bookmarkStart w:id="56" w:name="bookmark56"/>
      <w:bookmarkEnd w:id="56"/>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Nájemce je povinen dodržovat všechny povinnosti stanovené předpisy požární ochrany, bezpečnosti práce a provozním řádem objektu Bezručova 4219 Chomutov č. p. 4219. Nájemce odpovídá za obchodní partnery a osoby vstupující do objektu z důvodu vyplývajícího z jeho činnosti. Nájemce je odpovědný za škody vzniklé v důsledku nedodržení </w:t>
      </w:r>
      <w:r>
        <w:rPr>
          <w:rFonts w:ascii="Times New Roman" w:eastAsia="Times New Roman" w:hAnsi="Times New Roman" w:cs="Times New Roman"/>
          <w:color w:val="000000"/>
          <w:spacing w:val="0"/>
          <w:w w:val="100"/>
          <w:position w:val="0"/>
          <w:sz w:val="24"/>
          <w:szCs w:val="24"/>
          <w:shd w:val="clear" w:color="auto" w:fill="auto"/>
          <w:lang w:val="cs-CZ" w:eastAsia="cs-CZ" w:bidi="cs-CZ"/>
        </w:rPr>
        <w:t>těchto předpisů. Je povinen strpět kontrolu prováděnou za tímto účelem, ať ji provádí pronajímatel nebo oprávněný odborný orgán.</w:t>
      </w:r>
    </w:p>
    <w:p>
      <w:pPr>
        <w:pStyle w:val="Style23"/>
        <w:keepNext/>
        <w:keepLines/>
        <w:widowControl w:val="0"/>
        <w:numPr>
          <w:ilvl w:val="0"/>
          <w:numId w:val="15"/>
        </w:numPr>
        <w:shd w:val="clear" w:color="auto" w:fill="auto"/>
        <w:tabs>
          <w:tab w:pos="457" w:val="left"/>
        </w:tabs>
        <w:bidi w:val="0"/>
        <w:spacing w:before="0"/>
        <w:ind w:right="0" w:hanging="400"/>
        <w:jc w:val="both"/>
      </w:pPr>
      <w:bookmarkStart w:id="57" w:name="bookmark57"/>
      <w:bookmarkStart w:id="58" w:name="bookmark58"/>
      <w:bookmarkStart w:id="59" w:name="bookmark59"/>
      <w:bookmarkStart w:id="60" w:name="bookmark60"/>
      <w:bookmarkEnd w:id="59"/>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je povinen počínat si v pronajatých prostorách v souladu s "Přílohou BOZP a PO k nájemní smlouvě", která je přílohou a je nedílnou součástí této smlouvy.</w:t>
      </w:r>
      <w:bookmarkEnd w:id="57"/>
      <w:bookmarkEnd w:id="58"/>
      <w:bookmarkEnd w:id="60"/>
    </w:p>
    <w:p>
      <w:pPr>
        <w:pStyle w:val="Style2"/>
        <w:keepNext w:val="0"/>
        <w:keepLines w:val="0"/>
        <w:widowControl w:val="0"/>
        <w:numPr>
          <w:ilvl w:val="0"/>
          <w:numId w:val="15"/>
        </w:numPr>
        <w:shd w:val="clear" w:color="auto" w:fill="auto"/>
        <w:tabs>
          <w:tab w:pos="457" w:val="left"/>
        </w:tabs>
        <w:bidi w:val="0"/>
        <w:spacing w:before="0" w:after="200" w:line="240" w:lineRule="auto"/>
        <w:ind w:left="400" w:right="0" w:hanging="400"/>
        <w:jc w:val="both"/>
      </w:pPr>
      <w:bookmarkStart w:id="61" w:name="bookmark61"/>
      <w:bookmarkEnd w:id="61"/>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nesmí používat okna ani jiné prostory (např. dveře) bez souhlasu pronajímatele jako reklamní plochu k nabídce svých služeb nebo jiné značení.</w:t>
      </w:r>
    </w:p>
    <w:p>
      <w:pPr>
        <w:pStyle w:val="Style2"/>
        <w:keepNext w:val="0"/>
        <w:keepLines w:val="0"/>
        <w:widowControl w:val="0"/>
        <w:numPr>
          <w:ilvl w:val="0"/>
          <w:numId w:val="15"/>
        </w:numPr>
        <w:shd w:val="clear" w:color="auto" w:fill="auto"/>
        <w:tabs>
          <w:tab w:pos="457" w:val="left"/>
        </w:tabs>
        <w:bidi w:val="0"/>
        <w:spacing w:before="0" w:after="200" w:line="240" w:lineRule="auto"/>
        <w:ind w:left="0" w:right="0" w:firstLine="0"/>
        <w:jc w:val="both"/>
      </w:pPr>
      <w:bookmarkStart w:id="62" w:name="bookmark62"/>
      <w:bookmarkEnd w:id="62"/>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nesmí používat přímotopy ani žádná jiná topná tělesa.</w:t>
      </w:r>
    </w:p>
    <w:p>
      <w:pPr>
        <w:pStyle w:val="Style2"/>
        <w:keepNext w:val="0"/>
        <w:keepLines w:val="0"/>
        <w:widowControl w:val="0"/>
        <w:numPr>
          <w:ilvl w:val="0"/>
          <w:numId w:val="15"/>
        </w:numPr>
        <w:shd w:val="clear" w:color="auto" w:fill="auto"/>
        <w:tabs>
          <w:tab w:pos="457" w:val="left"/>
        </w:tabs>
        <w:bidi w:val="0"/>
        <w:spacing w:before="0" w:after="60" w:line="240" w:lineRule="auto"/>
        <w:ind w:left="400" w:right="0" w:hanging="400"/>
        <w:jc w:val="both"/>
      </w:pPr>
      <w:bookmarkStart w:id="63" w:name="bookmark63"/>
      <w:bookmarkEnd w:id="63"/>
      <w:r>
        <w:rPr>
          <w:rFonts w:ascii="Times New Roman" w:eastAsia="Times New Roman" w:hAnsi="Times New Roman" w:cs="Times New Roman"/>
          <w:color w:val="000000"/>
          <w:spacing w:val="0"/>
          <w:w w:val="100"/>
          <w:position w:val="0"/>
          <w:sz w:val="24"/>
          <w:szCs w:val="24"/>
          <w:shd w:val="clear" w:color="auto" w:fill="auto"/>
          <w:lang w:val="cs-CZ" w:eastAsia="cs-CZ" w:bidi="cs-CZ"/>
        </w:rPr>
        <w:t>Manipulace a nakládání s odpady všech druhů a kategorií vzniklých při provádění prací v prostorách, objektech a na zařízeních, které jsou předmětem nájemní smlouvy je nájemce povinen provádět v souladu se zákonem o odpadech č. 541/2020 Sb. v plném znění a dalších souvisejících předpisů a nařízení. Nájemce je povinen odpad třídit do nádob a roztříděný ukládat na určená místa dle pokynů pronajímatele. V případě nedodržení výše uvedených podmínek je pronajímatel oprávněn účtovat nájemci náklady vzniklé pronajímateli následným nakládáním a likvidací odpadů vzniklých při plnění nájemní smlouvy ze strany pronajímatele. Nájemce se současně zavazuje uhradit pronajímateli škodu vzniklou v důsledku nedodržení těchto podmínek.</w:t>
      </w:r>
    </w:p>
    <w:p>
      <w:pPr>
        <w:pStyle w:val="Style2"/>
        <w:keepNext w:val="0"/>
        <w:keepLines w:val="0"/>
        <w:widowControl w:val="0"/>
        <w:numPr>
          <w:ilvl w:val="0"/>
          <w:numId w:val="7"/>
        </w:numPr>
        <w:shd w:val="clear" w:color="auto" w:fill="auto"/>
        <w:tabs>
          <w:tab w:pos="3386" w:val="left"/>
        </w:tabs>
        <w:bidi w:val="0"/>
        <w:spacing w:before="0" w:after="200" w:line="240" w:lineRule="auto"/>
        <w:ind w:left="2900" w:right="0" w:firstLine="0"/>
        <w:jc w:val="both"/>
      </w:pPr>
      <w:bookmarkStart w:id="64" w:name="bookmark64"/>
      <w:bookmarkEnd w:id="64"/>
      <w:r>
        <w:rPr>
          <w:rFonts w:ascii="Times New Roman" w:eastAsia="Times New Roman" w:hAnsi="Times New Roman" w:cs="Times New Roman"/>
          <w:b/>
          <w:bCs/>
          <w:color w:val="000000"/>
          <w:spacing w:val="0"/>
          <w:w w:val="100"/>
          <w:position w:val="0"/>
          <w:sz w:val="24"/>
          <w:szCs w:val="24"/>
          <w:shd w:val="clear" w:color="auto" w:fill="auto"/>
          <w:lang w:val="cs-CZ" w:eastAsia="cs-CZ" w:bidi="cs-CZ"/>
        </w:rPr>
        <w:t>Compliance doložka</w:t>
      </w:r>
    </w:p>
    <w:p>
      <w:pPr>
        <w:pStyle w:val="Style2"/>
        <w:keepNext w:val="0"/>
        <w:keepLines w:val="0"/>
        <w:widowControl w:val="0"/>
        <w:numPr>
          <w:ilvl w:val="0"/>
          <w:numId w:val="17"/>
        </w:numPr>
        <w:shd w:val="clear" w:color="auto" w:fill="auto"/>
        <w:tabs>
          <w:tab w:pos="397" w:val="left"/>
        </w:tabs>
        <w:bidi w:val="0"/>
        <w:spacing w:before="0" w:after="60" w:line="240" w:lineRule="auto"/>
        <w:ind w:left="400" w:right="0" w:hanging="400"/>
        <w:jc w:val="both"/>
      </w:pPr>
      <w:bookmarkStart w:id="65" w:name="bookmark65"/>
      <w:bookmarkEnd w:id="65"/>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7"/>
        </w:numPr>
        <w:shd w:val="clear" w:color="auto" w:fill="auto"/>
        <w:tabs>
          <w:tab w:pos="397" w:val="left"/>
        </w:tabs>
        <w:bidi w:val="0"/>
        <w:spacing w:before="0" w:after="60" w:line="240" w:lineRule="auto"/>
        <w:ind w:left="400" w:right="0" w:hanging="400"/>
        <w:jc w:val="both"/>
      </w:pPr>
      <w:bookmarkStart w:id="66" w:name="bookmark66"/>
      <w:bookmarkEnd w:id="66"/>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7"/>
        </w:numPr>
        <w:shd w:val="clear" w:color="auto" w:fill="auto"/>
        <w:tabs>
          <w:tab w:pos="397" w:val="left"/>
        </w:tabs>
        <w:bidi w:val="0"/>
        <w:spacing w:before="0" w:after="0" w:line="240" w:lineRule="auto"/>
        <w:ind w:left="0" w:right="0" w:firstLine="0"/>
        <w:jc w:val="both"/>
      </w:pPr>
      <w:bookmarkStart w:id="67" w:name="bookmark67"/>
      <w:bookmarkEnd w:id="67"/>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prohlašuje, že se seznámil se zásadami, hodnotami a cíli Compliance programu</w:t>
      </w:r>
    </w:p>
    <w:p>
      <w:pPr>
        <w:pStyle w:val="Style2"/>
        <w:keepNext w:val="0"/>
        <w:keepLines w:val="0"/>
        <w:widowControl w:val="0"/>
        <w:shd w:val="clear" w:color="auto" w:fill="auto"/>
        <w:tabs>
          <w:tab w:pos="2853" w:val="left"/>
          <w:tab w:pos="5171" w:val="left"/>
          <w:tab w:pos="7106" w:val="left"/>
          <w:tab w:pos="9064" w:val="left"/>
        </w:tabs>
        <w:bidi w:val="0"/>
        <w:spacing w:before="0" w:after="0" w:line="240" w:lineRule="auto"/>
        <w:ind w:left="0" w:right="0" w:firstLine="4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w:t>
        <w:tab/>
        <w:t>Ohře,</w:t>
        <w:tab/>
        <w:t>s.</w:t>
        <w:tab/>
        <w:t>p.</w:t>
        <w:tab/>
        <w:t>(viz</w:t>
      </w:r>
    </w:p>
    <w:p>
      <w:pPr>
        <w:pStyle w:val="Style2"/>
        <w:keepNext w:val="0"/>
        <w:keepLines w:val="0"/>
        <w:widowControl w:val="0"/>
        <w:shd w:val="clear" w:color="auto" w:fill="auto"/>
        <w:bidi w:val="0"/>
        <w:spacing w:before="0" w:after="60" w:line="240" w:lineRule="auto"/>
        <w:ind w:left="400" w:right="0" w:firstLine="40"/>
        <w:jc w:val="both"/>
      </w:pP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http://www.poh.cz/protikorupcni-a-compliance-program/d-1346/p1=1458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Nájemce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7"/>
        </w:numPr>
        <w:shd w:val="clear" w:color="auto" w:fill="auto"/>
        <w:tabs>
          <w:tab w:pos="397" w:val="left"/>
        </w:tabs>
        <w:bidi w:val="0"/>
        <w:spacing w:before="0" w:after="60" w:line="240" w:lineRule="auto"/>
        <w:ind w:left="400" w:right="0" w:hanging="400"/>
        <w:jc w:val="both"/>
      </w:pPr>
      <w:bookmarkStart w:id="68" w:name="bookmark68"/>
      <w:bookmarkEnd w:id="6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7"/>
        </w:numPr>
        <w:shd w:val="clear" w:color="auto" w:fill="auto"/>
        <w:tabs>
          <w:tab w:pos="397" w:val="left"/>
        </w:tabs>
        <w:bidi w:val="0"/>
        <w:spacing w:before="0" w:after="200" w:line="240" w:lineRule="auto"/>
        <w:ind w:left="0" w:right="0" w:firstLine="0"/>
        <w:jc w:val="center"/>
      </w:pPr>
      <w:bookmarkStart w:id="69" w:name="bookmark69"/>
      <w:bookmarkEnd w:id="69"/>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Ochrana osobních údajů</w:t>
      </w:r>
    </w:p>
    <w:p>
      <w:pPr>
        <w:pStyle w:val="Style2"/>
        <w:keepNext w:val="0"/>
        <w:keepLines w:val="0"/>
        <w:widowControl w:val="0"/>
        <w:shd w:val="clear" w:color="auto" w:fill="auto"/>
        <w:bidi w:val="0"/>
        <w:spacing w:before="0" w:after="48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http://www.poh.cz/informace-o-zpracovani-osobnich-udaju/d-1369/p1=1459</w:t>
      </w:r>
      <w:r>
        <w:fldChar w:fldCharType="end"/>
      </w:r>
    </w:p>
    <w:p>
      <w:pPr>
        <w:pStyle w:val="Style2"/>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IX. Závěrečná ustanovení</w:t>
      </w:r>
    </w:p>
    <w:p>
      <w:pPr>
        <w:pStyle w:val="Style2"/>
        <w:keepNext w:val="0"/>
        <w:keepLines w:val="0"/>
        <w:widowControl w:val="0"/>
        <w:numPr>
          <w:ilvl w:val="0"/>
          <w:numId w:val="19"/>
        </w:numPr>
        <w:shd w:val="clear" w:color="auto" w:fill="auto"/>
        <w:tabs>
          <w:tab w:pos="378" w:val="left"/>
        </w:tabs>
        <w:bidi w:val="0"/>
        <w:spacing w:before="0" w:line="240" w:lineRule="auto"/>
        <w:ind w:left="300" w:right="0" w:hanging="300"/>
        <w:jc w:val="both"/>
      </w:pPr>
      <w:bookmarkStart w:id="70" w:name="bookmark70"/>
      <w:bookmarkEnd w:id="70"/>
      <w:r>
        <w:rPr>
          <w:rFonts w:ascii="Times New Roman" w:eastAsia="Times New Roman" w:hAnsi="Times New Roman" w:cs="Times New Roman"/>
          <w:color w:val="000000"/>
          <w:spacing w:val="0"/>
          <w:w w:val="100"/>
          <w:position w:val="0"/>
          <w:sz w:val="24"/>
          <w:szCs w:val="24"/>
          <w:shd w:val="clear" w:color="auto" w:fill="auto"/>
          <w:lang w:val="cs-CZ" w:eastAsia="cs-CZ" w:bidi="cs-CZ"/>
        </w:rPr>
        <w:t>Práva a povinnosti neupravené touto smlouvou se řídí občanským zákoníkem a právními předpisy souvisejícími, vše v platném a účinném znění.</w:t>
      </w:r>
    </w:p>
    <w:p>
      <w:pPr>
        <w:pStyle w:val="Style2"/>
        <w:keepNext w:val="0"/>
        <w:keepLines w:val="0"/>
        <w:widowControl w:val="0"/>
        <w:numPr>
          <w:ilvl w:val="0"/>
          <w:numId w:val="19"/>
        </w:numPr>
        <w:shd w:val="clear" w:color="auto" w:fill="auto"/>
        <w:tabs>
          <w:tab w:pos="378" w:val="left"/>
        </w:tabs>
        <w:bidi w:val="0"/>
        <w:spacing w:before="0" w:line="240" w:lineRule="auto"/>
        <w:ind w:left="300" w:right="0" w:hanging="300"/>
        <w:jc w:val="both"/>
      </w:pPr>
      <w:bookmarkStart w:id="71" w:name="bookmark71"/>
      <w:bookmarkEnd w:id="71"/>
      <w:r>
        <w:rPr>
          <w:rFonts w:ascii="Times New Roman" w:eastAsia="Times New Roman" w:hAnsi="Times New Roman" w:cs="Times New Roman"/>
          <w:color w:val="000000"/>
          <w:spacing w:val="0"/>
          <w:w w:val="100"/>
          <w:position w:val="0"/>
          <w:sz w:val="24"/>
          <w:szCs w:val="24"/>
          <w:shd w:val="clear" w:color="auto" w:fill="auto"/>
          <w:lang w:val="cs-CZ" w:eastAsia="cs-CZ" w:bidi="cs-CZ"/>
        </w:rPr>
        <w:t>Změny a doplňky této smlouvy je možné činit pouze po dohodě smluvních stran formou písemných dodatků.</w:t>
      </w:r>
    </w:p>
    <w:p>
      <w:pPr>
        <w:pStyle w:val="Style2"/>
        <w:keepNext w:val="0"/>
        <w:keepLines w:val="0"/>
        <w:widowControl w:val="0"/>
        <w:numPr>
          <w:ilvl w:val="0"/>
          <w:numId w:val="19"/>
        </w:numPr>
        <w:shd w:val="clear" w:color="auto" w:fill="auto"/>
        <w:tabs>
          <w:tab w:pos="378" w:val="left"/>
        </w:tabs>
        <w:bidi w:val="0"/>
        <w:spacing w:before="0" w:line="240" w:lineRule="auto"/>
        <w:ind w:left="300" w:right="0" w:hanging="300"/>
        <w:jc w:val="both"/>
      </w:pPr>
      <w:bookmarkStart w:id="72" w:name="bookmark72"/>
      <w:bookmarkEnd w:id="72"/>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byla vypracována ve třech vyhotoveních, z nichž pronajímatel obdrží dvě a nájemce jedno vyhotovení.</w:t>
      </w:r>
    </w:p>
    <w:p>
      <w:pPr>
        <w:pStyle w:val="Style2"/>
        <w:keepNext w:val="0"/>
        <w:keepLines w:val="0"/>
        <w:widowControl w:val="0"/>
        <w:numPr>
          <w:ilvl w:val="0"/>
          <w:numId w:val="19"/>
        </w:numPr>
        <w:shd w:val="clear" w:color="auto" w:fill="auto"/>
        <w:tabs>
          <w:tab w:pos="378" w:val="left"/>
        </w:tabs>
        <w:bidi w:val="0"/>
        <w:spacing w:before="0" w:line="240" w:lineRule="auto"/>
        <w:ind w:left="300" w:right="0" w:hanging="300"/>
        <w:jc w:val="both"/>
      </w:pPr>
      <w:bookmarkStart w:id="73" w:name="bookmark73"/>
      <w:bookmarkEnd w:id="73"/>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prohlašují, že tato smlouva odpovídá jejich pravé a svobodné vůli, seznámily se s jejím obsahem a na důkaz svého souhlasu ji podepisují.</w:t>
      </w:r>
    </w:p>
    <w:p>
      <w:pPr>
        <w:pStyle w:val="Style2"/>
        <w:keepNext w:val="0"/>
        <w:keepLines w:val="0"/>
        <w:widowControl w:val="0"/>
        <w:numPr>
          <w:ilvl w:val="0"/>
          <w:numId w:val="19"/>
        </w:numPr>
        <w:shd w:val="clear" w:color="auto" w:fill="auto"/>
        <w:tabs>
          <w:tab w:pos="378" w:val="left"/>
        </w:tabs>
        <w:bidi w:val="0"/>
        <w:spacing w:before="0" w:after="0" w:line="240" w:lineRule="auto"/>
        <w:ind w:left="0" w:right="0" w:firstLine="0"/>
        <w:jc w:val="both"/>
      </w:pPr>
      <w:bookmarkStart w:id="74" w:name="bookmark74"/>
      <w:bookmarkEnd w:id="74"/>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smlouvy za obchodní tajemství.</w:t>
      </w:r>
    </w:p>
    <w:p>
      <w:pPr>
        <w:pStyle w:val="Style2"/>
        <w:keepNext w:val="0"/>
        <w:keepLines w:val="0"/>
        <w:widowControl w:val="0"/>
        <w:shd w:val="clear" w:color="auto" w:fill="auto"/>
        <w:bidi w:val="0"/>
        <w:spacing w:before="0" w:after="48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Příloha : Příloha BOZP a PO k nájemní smlouvě</w:t>
      </w:r>
    </w:p>
    <w:p>
      <w:pPr>
        <w:pStyle w:val="Style2"/>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1058" w:left="1066" w:right="1251" w:bottom="1056" w:header="630" w:footer="3"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V Chomutově</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2" w:after="5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0" w:left="0" w:right="0" w:bottom="1080" w:header="0" w:footer="3" w:gutter="0"/>
          <w:cols w:space="720"/>
          <w:noEndnote/>
          <w:rtlGutter w:val="0"/>
          <w:docGrid w:linePitch="360"/>
        </w:sectPr>
      </w:pPr>
    </w:p>
    <w:p>
      <w:pPr>
        <w:pStyle w:val="Style2"/>
        <w:keepNext w:val="0"/>
        <w:keepLines w:val="0"/>
        <w:widowControl w:val="0"/>
        <w:shd w:val="clear" w:color="auto" w:fill="auto"/>
        <w:tabs>
          <w:tab w:leader="hyphen" w:pos="3034"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ab/>
      </w:r>
    </w:p>
    <w:p>
      <w:pPr>
        <w:pStyle w:val="Style2"/>
        <w:keepNext w:val="0"/>
        <w:keepLines w:val="0"/>
        <w:widowControl w:val="0"/>
        <w:shd w:val="clear" w:color="auto" w:fill="auto"/>
        <w:tabs>
          <w:tab w:leader="hyphen" w:pos="3360" w:val="left"/>
        </w:tabs>
        <w:bidi w:val="0"/>
        <w:spacing w:before="0" w:after="0" w:line="240" w:lineRule="auto"/>
        <w:ind w:left="0" w:right="0" w:firstLine="0"/>
        <w:jc w:val="left"/>
        <w:sectPr>
          <w:footnotePr>
            <w:pos w:val="pageBottom"/>
            <w:numFmt w:val="decimal"/>
            <w:numRestart w:val="continuous"/>
          </w:footnotePr>
          <w:type w:val="continuous"/>
          <w:pgSz w:w="11909" w:h="16838"/>
          <w:pgMar w:top="1080" w:left="1111" w:right="1706" w:bottom="1080" w:header="0" w:footer="3" w:gutter="0"/>
          <w:cols w:num="2" w:space="720" w:equalWidth="0">
            <w:col w:w="3091" w:space="2582"/>
            <w:col w:w="3418"/>
          </w:cols>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ab/>
      </w:r>
    </w:p>
    <w:sectPr>
      <w:footnotePr>
        <w:pos w:val="pageBottom"/>
        <w:numFmt w:val="decimal"/>
        <w:numRestart w:val="continuous"/>
      </w:footnotePr>
      <w:type w:val="continuous"/>
      <w:pgSz w:w="11909" w:h="16838"/>
      <w:pgMar w:top="1080" w:left="1111" w:right="1706" w:bottom="1080" w:header="0" w:footer="3" w:gutter="0"/>
      <w:cols w:num="2" w:space="720" w:equalWidth="0">
        <w:col w:w="3091" w:space="2582"/>
        <w:col w:w="3418"/>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3691255</wp:posOffset>
              </wp:positionH>
              <wp:positionV relativeFrom="page">
                <wp:posOffset>10085705</wp:posOffset>
              </wp:positionV>
              <wp:extent cx="60960" cy="170815"/>
              <wp:wrapNone/>
              <wp:docPr id="1" name="Shape 1"/>
              <a:graphic xmlns:a="http://schemas.openxmlformats.org/drawingml/2006/main">
                <a:graphicData uri="http://schemas.microsoft.com/office/word/2010/wordprocessingShape">
                  <wps:wsp>
                    <wps:cNvSpPr txBox="1"/>
                    <wps:spPr>
                      <a:xfrm>
                        <a:ext cx="60960" cy="1708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0.65000000000003pt;margin-top:794.14999999999998pt;width:4.79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6"/>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0">
    <w:name w:val="Char Style 10"/>
    <w:basedOn w:val="DefaultParagraphFont"/>
    <w:link w:val="Style9"/>
    <w:rPr>
      <w:b w:val="0"/>
      <w:bCs w:val="0"/>
      <w:i w:val="0"/>
      <w:iCs w:val="0"/>
      <w:smallCaps w:val="0"/>
      <w:strike w:val="0"/>
      <w:sz w:val="20"/>
      <w:szCs w:val="20"/>
      <w:u w:val="none"/>
    </w:rPr>
  </w:style>
  <w:style w:type="character" w:customStyle="1" w:styleId="CharStyle12">
    <w:name w:val="Char Style 12"/>
    <w:basedOn w:val="DefaultParagraphFont"/>
    <w:link w:val="Style11"/>
    <w:rPr>
      <w:b w:val="0"/>
      <w:bCs w:val="0"/>
      <w:i w:val="0"/>
      <w:iCs w:val="0"/>
      <w:smallCaps w:val="0"/>
      <w:strike w:val="0"/>
      <w:sz w:val="18"/>
      <w:szCs w:val="18"/>
      <w:u w:val="none"/>
    </w:rPr>
  </w:style>
  <w:style w:type="character" w:customStyle="1" w:styleId="CharStyle14">
    <w:name w:val="Char Style 14"/>
    <w:basedOn w:val="DefaultParagraphFont"/>
    <w:link w:val="Style13"/>
    <w:rPr>
      <w:b/>
      <w:bCs/>
      <w:i w:val="0"/>
      <w:iCs w:val="0"/>
      <w:smallCaps w:val="0"/>
      <w:strike w:val="0"/>
      <w:u w:val="none"/>
    </w:rPr>
  </w:style>
  <w:style w:type="character" w:customStyle="1" w:styleId="CharStyle16">
    <w:name w:val="Char Style 16"/>
    <w:basedOn w:val="DefaultParagraphFont"/>
    <w:link w:val="Style15"/>
    <w:rPr>
      <w:b/>
      <w:bCs/>
      <w:i w:val="0"/>
      <w:iCs w:val="0"/>
      <w:smallCaps w:val="0"/>
      <w:strike w:val="0"/>
      <w:u w:val="none"/>
    </w:rPr>
  </w:style>
  <w:style w:type="character" w:customStyle="1" w:styleId="CharStyle18">
    <w:name w:val="Char Style 18"/>
    <w:basedOn w:val="DefaultParagraphFont"/>
    <w:link w:val="Style17"/>
    <w:rPr>
      <w:b w:val="0"/>
      <w:bCs w:val="0"/>
      <w:i w:val="0"/>
      <w:iCs w:val="0"/>
      <w:smallCaps w:val="0"/>
      <w:strike w:val="0"/>
      <w:u w:val="none"/>
    </w:rPr>
  </w:style>
  <w:style w:type="character" w:customStyle="1" w:styleId="CharStyle24">
    <w:name w:val="Char Style 24"/>
    <w:basedOn w:val="DefaultParagraphFont"/>
    <w:link w:val="Style23"/>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220"/>
    </w:pPr>
    <w:rPr>
      <w:b w:val="0"/>
      <w:bCs w:val="0"/>
      <w:i w:val="0"/>
      <w:iCs w:val="0"/>
      <w:smallCaps w:val="0"/>
      <w:strike w:val="0"/>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ind w:left="2140"/>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460"/>
      <w:ind w:left="200"/>
    </w:pPr>
    <w:rPr>
      <w:b w:val="0"/>
      <w:bCs w:val="0"/>
      <w:i w:val="0"/>
      <w:iCs w:val="0"/>
      <w:smallCaps w:val="0"/>
      <w:strike w:val="0"/>
      <w:sz w:val="18"/>
      <w:szCs w:val="18"/>
      <w:u w:val="none"/>
    </w:rPr>
  </w:style>
  <w:style w:type="paragraph" w:customStyle="1" w:styleId="Style13">
    <w:name w:val="Style 13"/>
    <w:basedOn w:val="Normal"/>
    <w:link w:val="CharStyle14"/>
    <w:pPr>
      <w:widowControl w:val="0"/>
      <w:shd w:val="clear" w:color="auto" w:fill="FFFFFF"/>
      <w:spacing w:after="180"/>
      <w:ind w:left="2810"/>
      <w:outlineLvl w:val="1"/>
    </w:pPr>
    <w:rPr>
      <w:b/>
      <w:bCs/>
      <w:i w:val="0"/>
      <w:iCs w:val="0"/>
      <w:smallCaps w:val="0"/>
      <w:strike w:val="0"/>
      <w:u w:val="none"/>
    </w:rPr>
  </w:style>
  <w:style w:type="paragraph" w:customStyle="1" w:styleId="Style15">
    <w:name w:val="Style 15"/>
    <w:basedOn w:val="Normal"/>
    <w:link w:val="CharStyle16"/>
    <w:pPr>
      <w:widowControl w:val="0"/>
      <w:shd w:val="clear" w:color="auto" w:fill="FFFFFF"/>
    </w:pPr>
    <w:rPr>
      <w:b/>
      <w:bCs/>
      <w:i w:val="0"/>
      <w:iCs w:val="0"/>
      <w:smallCaps w:val="0"/>
      <w:strike w:val="0"/>
      <w:u w:val="none"/>
    </w:rPr>
  </w:style>
  <w:style w:type="paragraph" w:customStyle="1" w:styleId="Style17">
    <w:name w:val="Style 17"/>
    <w:basedOn w:val="Normal"/>
    <w:link w:val="CharStyle18"/>
    <w:pPr>
      <w:widowControl w:val="0"/>
      <w:shd w:val="clear" w:color="auto" w:fill="FFFFFF"/>
      <w:spacing w:after="220"/>
    </w:pPr>
    <w:rPr>
      <w:b w:val="0"/>
      <w:bCs w:val="0"/>
      <w:i w:val="0"/>
      <w:iCs w:val="0"/>
      <w:smallCaps w:val="0"/>
      <w:strike w:val="0"/>
      <w:u w:val="none"/>
    </w:rPr>
  </w:style>
  <w:style w:type="paragraph" w:customStyle="1" w:styleId="Style23">
    <w:name w:val="Style 23"/>
    <w:basedOn w:val="Normal"/>
    <w:link w:val="CharStyle24"/>
    <w:pPr>
      <w:widowControl w:val="0"/>
      <w:shd w:val="clear" w:color="auto" w:fill="FFFFFF"/>
      <w:spacing w:after="200" w:line="310" w:lineRule="auto"/>
      <w:ind w:left="400" w:hanging="200"/>
      <w:outlineLvl w:val="0"/>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uzavření budoucí smlouvy o nájmu nebytových prostor</dc:title>
  <dc:subject/>
  <dc:creator>PO</dc:creator>
  <cp:keywords/>
</cp:coreProperties>
</file>