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160" w:line="269" w:lineRule="auto"/>
        <w:ind w:left="0" w:right="0" w:firstLine="0"/>
        <w:jc w:val="center"/>
      </w:pPr>
      <w:bookmarkStart w:id="0" w:name="bookmark0"/>
      <w:r>
        <w:rPr>
          <w:rFonts w:ascii="Times New Roman" w:eastAsia="Times New Roman" w:hAnsi="Times New Roman" w:cs="Times New Roman"/>
          <w:b/>
          <w:bCs/>
          <w:color w:val="000000"/>
          <w:spacing w:val="0"/>
          <w:w w:val="100"/>
          <w:position w:val="0"/>
          <w:sz w:val="28"/>
          <w:szCs w:val="28"/>
          <w:shd w:val="clear" w:color="auto" w:fill="auto"/>
          <w:lang w:val="cs-CZ" w:eastAsia="cs-CZ" w:bidi="cs-CZ"/>
        </w:rPr>
        <w:t>Smlouva o nájmu prostor sloužících k podnikání</w:t>
        <w:br/>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č</w:t>
      </w:r>
      <w:r>
        <w:rPr>
          <w:rFonts w:ascii="Times New Roman" w:eastAsia="Times New Roman" w:hAnsi="Times New Roman" w:cs="Times New Roman"/>
          <w:color w:val="000000"/>
          <w:spacing w:val="0"/>
          <w:w w:val="100"/>
          <w:position w:val="0"/>
          <w:sz w:val="28"/>
          <w:szCs w:val="28"/>
          <w:shd w:val="clear" w:color="auto" w:fill="auto"/>
          <w:lang w:val="cs-CZ" w:eastAsia="cs-CZ" w:bidi="cs-CZ"/>
        </w:rPr>
        <w:t xml:space="preserve">. </w:t>
      </w:r>
      <w:r>
        <w:rPr>
          <w:rFonts w:ascii="Times New Roman" w:eastAsia="Times New Roman" w:hAnsi="Times New Roman" w:cs="Times New Roman"/>
          <w:b/>
          <w:bCs/>
          <w:color w:val="000000"/>
          <w:spacing w:val="0"/>
          <w:w w:val="100"/>
          <w:position w:val="0"/>
          <w:sz w:val="32"/>
          <w:szCs w:val="32"/>
          <w:shd w:val="clear" w:color="auto" w:fill="auto"/>
          <w:lang w:val="cs-CZ" w:eastAsia="cs-CZ" w:bidi="cs-CZ"/>
        </w:rPr>
        <w:t>1310 / 2024</w:t>
        <w:br/>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uzavřená podle § 2302 a násl. z. č. 89/2012 Sb. občanský zákoník</w:t>
      </w:r>
      <w:bookmarkEnd w:id="0"/>
    </w:p>
    <w:p>
      <w:pPr>
        <w:pStyle w:val="Style2"/>
        <w:keepNext w:val="0"/>
        <w:keepLines w:val="0"/>
        <w:widowControl w:val="0"/>
        <w:numPr>
          <w:ilvl w:val="0"/>
          <w:numId w:val="1"/>
        </w:numPr>
        <w:shd w:val="clear" w:color="auto" w:fill="auto"/>
        <w:tabs>
          <w:tab w:pos="720" w:val="left"/>
        </w:tabs>
        <w:bidi w:val="0"/>
        <w:spacing w:before="0" w:line="240" w:lineRule="auto"/>
        <w:ind w:left="0" w:right="0" w:firstLine="0"/>
        <w:jc w:val="left"/>
      </w:pPr>
      <w:bookmarkStart w:id="1" w:name="bookmark1"/>
      <w:bookmarkStart w:id="2" w:name="bookmark2"/>
      <w:bookmarkStart w:id="3" w:name="bookmark3"/>
      <w:bookmarkEnd w:id="1"/>
      <w:r>
        <w:rPr>
          <w:rFonts w:ascii="Times New Roman" w:eastAsia="Times New Roman" w:hAnsi="Times New Roman" w:cs="Times New Roman"/>
          <w:b/>
          <w:bCs/>
          <w:color w:val="000000"/>
          <w:spacing w:val="0"/>
          <w:w w:val="100"/>
          <w:position w:val="0"/>
          <w:sz w:val="24"/>
          <w:szCs w:val="24"/>
          <w:shd w:val="clear" w:color="auto" w:fill="auto"/>
          <w:lang w:val="cs-CZ" w:eastAsia="cs-CZ" w:bidi="cs-CZ"/>
        </w:rPr>
        <w:t>Smluvní strany</w:t>
      </w:r>
      <w:bookmarkEnd w:id="2"/>
      <w:bookmarkEnd w:id="3"/>
    </w:p>
    <w:p>
      <w:pPr>
        <w:pStyle w:val="Style2"/>
        <w:keepNext w:val="0"/>
        <w:keepLines w:val="0"/>
        <w:widowControl w:val="0"/>
        <w:shd w:val="clear" w:color="auto" w:fill="auto"/>
        <w:bidi w:val="0"/>
        <w:spacing w:before="0" w:after="0" w:line="240" w:lineRule="auto"/>
        <w:ind w:left="0" w:right="0" w:firstLine="0"/>
        <w:jc w:val="left"/>
      </w:pPr>
      <w:bookmarkStart w:id="4" w:name="bookmark4"/>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Pronajímatel: </w:t>
      </w:r>
      <w:r>
        <w:rPr>
          <w:rFonts w:ascii="Times New Roman" w:eastAsia="Times New Roman" w:hAnsi="Times New Roman" w:cs="Times New Roman"/>
          <w:color w:val="000000"/>
          <w:spacing w:val="0"/>
          <w:w w:val="100"/>
          <w:position w:val="0"/>
          <w:sz w:val="24"/>
          <w:szCs w:val="24"/>
          <w:shd w:val="clear" w:color="auto" w:fill="auto"/>
          <w:lang w:val="cs-CZ" w:eastAsia="cs-CZ" w:bidi="cs-CZ"/>
        </w:rPr>
        <w:t>Povodí Ohře, státní podnik</w:t>
      </w:r>
      <w:bookmarkEnd w:id="4"/>
    </w:p>
    <w:p>
      <w:pPr>
        <w:pStyle w:val="Style2"/>
        <w:keepNext w:val="0"/>
        <w:keepLines w:val="0"/>
        <w:widowControl w:val="0"/>
        <w:shd w:val="clear" w:color="auto" w:fill="auto"/>
        <w:bidi w:val="0"/>
        <w:spacing w:before="0" w:after="0" w:line="240" w:lineRule="auto"/>
        <w:ind w:left="1440" w:right="0" w:firstLine="0"/>
        <w:jc w:val="left"/>
      </w:pPr>
      <w:bookmarkStart w:id="5" w:name="bookmark5"/>
      <w:r>
        <w:rPr>
          <w:rFonts w:ascii="Times New Roman" w:eastAsia="Times New Roman" w:hAnsi="Times New Roman" w:cs="Times New Roman"/>
          <w:color w:val="000000"/>
          <w:spacing w:val="0"/>
          <w:w w:val="100"/>
          <w:position w:val="0"/>
          <w:sz w:val="24"/>
          <w:szCs w:val="24"/>
          <w:shd w:val="clear" w:color="auto" w:fill="auto"/>
          <w:lang w:val="cs-CZ" w:eastAsia="cs-CZ" w:bidi="cs-CZ"/>
        </w:rPr>
        <w:t>Bezručova 4219, 430 03 Chomutov</w:t>
      </w:r>
      <w:bookmarkEnd w:id="5"/>
    </w:p>
    <w:p>
      <w:pPr>
        <w:pStyle w:val="Style2"/>
        <w:keepNext w:val="0"/>
        <w:keepLines w:val="0"/>
        <w:widowControl w:val="0"/>
        <w:shd w:val="clear" w:color="auto" w:fill="auto"/>
        <w:bidi w:val="0"/>
        <w:spacing w:before="0" w:after="0" w:line="240" w:lineRule="auto"/>
        <w:ind w:left="144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Statutární orgán : generální ředitel</w:t>
      </w:r>
    </w:p>
    <w:p>
      <w:pPr>
        <w:pStyle w:val="Style2"/>
        <w:keepNext w:val="0"/>
        <w:keepLines w:val="0"/>
        <w:widowControl w:val="0"/>
        <w:shd w:val="clear" w:color="auto" w:fill="auto"/>
        <w:bidi w:val="0"/>
        <w:spacing w:before="0" w:after="0" w:line="240" w:lineRule="auto"/>
        <w:ind w:left="144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Zastoupen ve věcech smluvních :</w:t>
      </w:r>
    </w:p>
    <w:p>
      <w:pPr>
        <w:pStyle w:val="Style2"/>
        <w:keepNext w:val="0"/>
        <w:keepLines w:val="0"/>
        <w:widowControl w:val="0"/>
        <w:shd w:val="clear" w:color="auto" w:fill="auto"/>
        <w:bidi w:val="0"/>
        <w:spacing w:before="0" w:after="0" w:line="240" w:lineRule="auto"/>
        <w:ind w:left="144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IČO: 70889988</w:t>
      </w:r>
    </w:p>
    <w:p>
      <w:pPr>
        <w:pStyle w:val="Style2"/>
        <w:keepNext w:val="0"/>
        <w:keepLines w:val="0"/>
        <w:widowControl w:val="0"/>
        <w:shd w:val="clear" w:color="auto" w:fill="auto"/>
        <w:bidi w:val="0"/>
        <w:spacing w:before="0" w:after="0" w:line="240" w:lineRule="auto"/>
        <w:ind w:left="1440" w:right="0" w:firstLine="2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1440" w:right="0" w:firstLine="2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1440" w:right="0" w:firstLine="2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Povodí Ohře, státní podnik je zapsán v obchodním rejstříku u Krajského soudu v Ústí nad Labem v oddílu A, vložka č. 13052</w:t>
      </w:r>
    </w:p>
    <w:p>
      <w:pPr>
        <w:pStyle w:val="Style2"/>
        <w:keepNext w:val="0"/>
        <w:keepLines w:val="0"/>
        <w:widowControl w:val="0"/>
        <w:shd w:val="clear" w:color="auto" w:fill="auto"/>
        <w:bidi w:val="0"/>
        <w:spacing w:before="0" w:line="240" w:lineRule="auto"/>
        <w:ind w:left="1440" w:right="0" w:firstLine="2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dále jen ,, pronajímatel “)</w:t>
      </w:r>
    </w:p>
    <w:p>
      <w:pPr>
        <w:pStyle w:val="Style2"/>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a</w:t>
      </w:r>
    </w:p>
    <w:p>
      <w:pPr>
        <w:pStyle w:val="Style2"/>
        <w:keepNext w:val="0"/>
        <w:keepLines w:val="0"/>
        <w:widowControl w:val="0"/>
        <w:shd w:val="clear" w:color="auto" w:fill="auto"/>
        <w:tabs>
          <w:tab w:pos="1411" w:val="lef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Nájemce:</w:t>
        <w:tab/>
      </w:r>
      <w:r>
        <w:rPr>
          <w:rFonts w:ascii="Times New Roman" w:eastAsia="Times New Roman" w:hAnsi="Times New Roman" w:cs="Times New Roman"/>
          <w:color w:val="000000"/>
          <w:spacing w:val="0"/>
          <w:w w:val="100"/>
          <w:position w:val="0"/>
          <w:sz w:val="24"/>
          <w:szCs w:val="24"/>
          <w:shd w:val="clear" w:color="auto" w:fill="auto"/>
          <w:lang w:val="cs-CZ" w:eastAsia="cs-CZ" w:bidi="cs-CZ"/>
        </w:rPr>
        <w:t>Sojka Transport s.r.o.</w:t>
      </w:r>
    </w:p>
    <w:p>
      <w:pPr>
        <w:pStyle w:val="Style2"/>
        <w:keepNext w:val="0"/>
        <w:keepLines w:val="0"/>
        <w:widowControl w:val="0"/>
        <w:shd w:val="clear" w:color="auto" w:fill="auto"/>
        <w:bidi w:val="0"/>
        <w:spacing w:before="0" w:after="0" w:line="240" w:lineRule="auto"/>
        <w:ind w:left="144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Vikletice 27, 438 01 Chbany</w:t>
      </w:r>
    </w:p>
    <w:p>
      <w:pPr>
        <w:pStyle w:val="Style2"/>
        <w:keepNext w:val="0"/>
        <w:keepLines w:val="0"/>
        <w:widowControl w:val="0"/>
        <w:shd w:val="clear" w:color="auto" w:fill="auto"/>
        <w:bidi w:val="0"/>
        <w:spacing w:before="0" w:after="0" w:line="240" w:lineRule="auto"/>
        <w:ind w:left="144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Zastoupený : jednatelem</w:t>
      </w:r>
    </w:p>
    <w:p>
      <w:pPr>
        <w:pStyle w:val="Style2"/>
        <w:keepNext w:val="0"/>
        <w:keepLines w:val="0"/>
        <w:widowControl w:val="0"/>
        <w:shd w:val="clear" w:color="auto" w:fill="auto"/>
        <w:bidi w:val="0"/>
        <w:spacing w:before="0" w:after="0" w:line="240" w:lineRule="auto"/>
        <w:ind w:left="144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IČO : 02663911</w:t>
      </w:r>
    </w:p>
    <w:p>
      <w:pPr>
        <w:pStyle w:val="Style2"/>
        <w:keepNext w:val="0"/>
        <w:keepLines w:val="0"/>
        <w:widowControl w:val="0"/>
        <w:shd w:val="clear" w:color="auto" w:fill="auto"/>
        <w:bidi w:val="0"/>
        <w:spacing w:before="0" w:after="0" w:line="240" w:lineRule="auto"/>
        <w:ind w:left="1440" w:right="0" w:firstLine="2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DIČ :</w:t>
      </w:r>
    </w:p>
    <w:p>
      <w:pPr>
        <w:pStyle w:val="Style2"/>
        <w:keepNext w:val="0"/>
        <w:keepLines w:val="0"/>
        <w:widowControl w:val="0"/>
        <w:shd w:val="clear" w:color="auto" w:fill="auto"/>
        <w:bidi w:val="0"/>
        <w:spacing w:before="0" w:after="0" w:line="240" w:lineRule="auto"/>
        <w:ind w:left="1440" w:right="0" w:firstLine="2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Bankovní spojení :</w:t>
      </w:r>
    </w:p>
    <w:p>
      <w:pPr>
        <w:pStyle w:val="Style2"/>
        <w:keepNext w:val="0"/>
        <w:keepLines w:val="0"/>
        <w:widowControl w:val="0"/>
        <w:shd w:val="clear" w:color="auto" w:fill="auto"/>
        <w:bidi w:val="0"/>
        <w:spacing w:before="0" w:after="480" w:line="240" w:lineRule="auto"/>
        <w:ind w:left="1440" w:right="0" w:firstLine="2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Zapsána v OR vedeném Městským soudem v Praze, oddíl C, vložka 398279 ( dále jen ,, nájemce “ ).</w:t>
      </w:r>
    </w:p>
    <w:p>
      <w:pPr>
        <w:pStyle w:val="Style2"/>
        <w:keepNext w:val="0"/>
        <w:keepLines w:val="0"/>
        <w:widowControl w:val="0"/>
        <w:numPr>
          <w:ilvl w:val="0"/>
          <w:numId w:val="1"/>
        </w:numPr>
        <w:shd w:val="clear" w:color="auto" w:fill="auto"/>
        <w:tabs>
          <w:tab w:pos="720" w:val="left"/>
        </w:tabs>
        <w:bidi w:val="0"/>
        <w:spacing w:before="0" w:line="240" w:lineRule="auto"/>
        <w:ind w:left="0" w:right="0" w:firstLine="0"/>
        <w:jc w:val="center"/>
      </w:pPr>
      <w:bookmarkStart w:id="6" w:name="bookmark6"/>
      <w:bookmarkEnd w:id="6"/>
      <w:r>
        <w:rPr>
          <w:rFonts w:ascii="Times New Roman" w:eastAsia="Times New Roman" w:hAnsi="Times New Roman" w:cs="Times New Roman"/>
          <w:b/>
          <w:bCs/>
          <w:color w:val="000000"/>
          <w:spacing w:val="0"/>
          <w:w w:val="100"/>
          <w:position w:val="0"/>
          <w:sz w:val="24"/>
          <w:szCs w:val="24"/>
          <w:shd w:val="clear" w:color="auto" w:fill="auto"/>
          <w:lang w:val="cs-CZ" w:eastAsia="cs-CZ" w:bidi="cs-CZ"/>
        </w:rPr>
        <w:t>Úvodní ustanovení</w:t>
      </w:r>
    </w:p>
    <w:p>
      <w:pPr>
        <w:pStyle w:val="Style2"/>
        <w:keepNext w:val="0"/>
        <w:keepLines w:val="0"/>
        <w:widowControl w:val="0"/>
        <w:shd w:val="clear" w:color="auto" w:fill="auto"/>
        <w:bidi w:val="0"/>
        <w:spacing w:before="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Povodí Ohře, státní podnik, má právo hospodařit s majetkem státu, mezi který patří i pozemek p.č. 4073/12 jehož součástí je jiná stavba, pozemek p.č. 4073/11 jehož součástí je jiná stavba a s pozemkovou parcelou č. 4073/3, v obci Chomutov , katastrální území Chomutov I., ul. Spořická 4949, kdy se na těchto pozemcích nachází předmět nájmu uvedený v čl.III .</w:t>
      </w:r>
    </w:p>
    <w:p>
      <w:pPr>
        <w:pStyle w:val="Style11"/>
        <w:keepNext/>
        <w:keepLines/>
        <w:widowControl w:val="0"/>
        <w:numPr>
          <w:ilvl w:val="0"/>
          <w:numId w:val="1"/>
        </w:numPr>
        <w:shd w:val="clear" w:color="auto" w:fill="auto"/>
        <w:tabs>
          <w:tab w:pos="720" w:val="left"/>
        </w:tabs>
        <w:bidi w:val="0"/>
        <w:spacing w:before="0" w:after="160" w:line="240" w:lineRule="auto"/>
        <w:ind w:left="0" w:right="0" w:firstLine="0"/>
        <w:jc w:val="center"/>
      </w:pPr>
      <w:bookmarkStart w:id="10" w:name="bookmark10"/>
      <w:bookmarkStart w:id="7" w:name="bookmark7"/>
      <w:bookmarkStart w:id="8" w:name="bookmark8"/>
      <w:bookmarkStart w:id="9" w:name="bookmark9"/>
      <w:bookmarkEnd w:id="9"/>
      <w:r>
        <w:rPr>
          <w:rFonts w:ascii="Times New Roman" w:eastAsia="Times New Roman" w:hAnsi="Times New Roman" w:cs="Times New Roman"/>
          <w:color w:val="000000"/>
          <w:spacing w:val="0"/>
          <w:w w:val="100"/>
          <w:position w:val="0"/>
          <w:sz w:val="24"/>
          <w:szCs w:val="24"/>
          <w:shd w:val="clear" w:color="auto" w:fill="auto"/>
          <w:lang w:val="cs-CZ" w:eastAsia="cs-CZ" w:bidi="cs-CZ"/>
        </w:rPr>
        <w:t>Předmět nájmu</w:t>
      </w:r>
      <w:bookmarkEnd w:id="10"/>
      <w:bookmarkEnd w:id="7"/>
      <w:bookmarkEnd w:id="8"/>
    </w:p>
    <w:p>
      <w:pPr>
        <w:pStyle w:val="Style2"/>
        <w:keepNext w:val="0"/>
        <w:keepLines w:val="0"/>
        <w:widowControl w:val="0"/>
        <w:numPr>
          <w:ilvl w:val="0"/>
          <w:numId w:val="3"/>
        </w:numPr>
        <w:shd w:val="clear" w:color="auto" w:fill="auto"/>
        <w:tabs>
          <w:tab w:pos="378" w:val="left"/>
        </w:tabs>
        <w:bidi w:val="0"/>
        <w:spacing w:before="0" w:after="0" w:line="240" w:lineRule="auto"/>
        <w:ind w:left="0" w:right="0" w:firstLine="0"/>
        <w:jc w:val="left"/>
      </w:pPr>
      <w:bookmarkStart w:id="11" w:name="bookmark11"/>
      <w:bookmarkEnd w:id="11"/>
      <w:r>
        <w:rPr>
          <w:rFonts w:ascii="Times New Roman" w:eastAsia="Times New Roman" w:hAnsi="Times New Roman" w:cs="Times New Roman"/>
          <w:color w:val="000000"/>
          <w:spacing w:val="0"/>
          <w:w w:val="100"/>
          <w:position w:val="0"/>
          <w:sz w:val="24"/>
          <w:szCs w:val="24"/>
          <w:shd w:val="clear" w:color="auto" w:fill="auto"/>
          <w:lang w:val="cs-CZ" w:eastAsia="cs-CZ" w:bidi="cs-CZ"/>
        </w:rPr>
        <w:t>Pronajímatel touto smlouvou přenechává nájemci za úplatu do užívání :</w:t>
      </w:r>
    </w:p>
    <w:p>
      <w:pPr>
        <w:pStyle w:val="Style2"/>
        <w:keepNext w:val="0"/>
        <w:keepLines w:val="0"/>
        <w:widowControl w:val="0"/>
        <w:shd w:val="clear" w:color="auto" w:fill="auto"/>
        <w:tabs>
          <w:tab w:pos="3550" w:val="left"/>
        </w:tabs>
        <w:bidi w:val="0"/>
        <w:spacing w:before="0" w:after="0" w:line="240" w:lineRule="auto"/>
        <w:ind w:left="0" w:right="0" w:firstLine="30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Hala 1 – sklad 1.NP</w:t>
        <w:tab/>
        <w:t>1.03 ½ skladovací haly o ploše 344,11 m</w:t>
      </w:r>
      <w:r>
        <w:rPr>
          <w:rFonts w:ascii="Times New Roman" w:eastAsia="Times New Roman" w:hAnsi="Times New Roman" w:cs="Times New Roman"/>
          <w:color w:val="000000"/>
          <w:spacing w:val="0"/>
          <w:w w:val="100"/>
          <w:position w:val="0"/>
          <w:sz w:val="24"/>
          <w:szCs w:val="24"/>
          <w:shd w:val="clear" w:color="auto" w:fill="auto"/>
          <w:vertAlign w:val="superscript"/>
          <w:lang w:val="cs-CZ" w:eastAsia="cs-CZ" w:bidi="cs-CZ"/>
        </w:rPr>
        <w:t>2</w:t>
      </w:r>
    </w:p>
    <w:p>
      <w:pPr>
        <w:widowControl w:val="0"/>
        <w:spacing w:line="1" w:lineRule="exact"/>
        <w:sectPr>
          <w:headerReference w:type="default" r:id="rId5"/>
          <w:footerReference w:type="default" r:id="rId6"/>
          <w:footnotePr>
            <w:pos w:val="pageBottom"/>
            <w:numFmt w:val="decimal"/>
            <w:numRestart w:val="continuous"/>
          </w:footnotePr>
          <w:pgSz w:w="11909" w:h="16838"/>
          <w:pgMar w:top="1070" w:left="1394" w:right="1389" w:bottom="1344" w:header="0" w:footer="3" w:gutter="0"/>
          <w:pgNumType w:start="1"/>
          <w:cols w:space="720"/>
          <w:noEndnote/>
          <w:rtlGutter w:val="0"/>
          <w:docGrid w:linePitch="360"/>
        </w:sectPr>
      </w:pPr>
      <w:r>
        <mc:AlternateContent>
          <mc:Choice Requires="wps">
            <w:drawing>
              <wp:anchor distT="12700" distB="524510" distL="0" distR="0" simplePos="0" relativeHeight="125829378" behindDoc="0" locked="0" layoutInCell="1" allowOverlap="1">
                <wp:simplePos x="0" y="0"/>
                <wp:positionH relativeFrom="page">
                  <wp:posOffset>1037590</wp:posOffset>
                </wp:positionH>
                <wp:positionV relativeFrom="paragraph">
                  <wp:posOffset>12700</wp:posOffset>
                </wp:positionV>
                <wp:extent cx="1161415" cy="243840"/>
                <wp:wrapTopAndBottom/>
                <wp:docPr id="5" name="Shape 5"/>
                <a:graphic xmlns:a="http://schemas.openxmlformats.org/drawingml/2006/main">
                  <a:graphicData uri="http://schemas.microsoft.com/office/word/2010/wordprocessingShape">
                    <wps:wsp>
                      <wps:cNvSpPr txBox="1"/>
                      <wps:spPr>
                        <a:xfrm>
                          <a:ext cx="1161415" cy="2438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Provozní budova</w:t>
                            </w:r>
                          </w:p>
                        </w:txbxContent>
                      </wps:txbx>
                      <wps:bodyPr wrap="none" lIns="0" tIns="0" rIns="0" bIns="0">
                        <a:noAutoFit/>
                      </wps:bodyPr>
                    </wps:wsp>
                  </a:graphicData>
                </a:graphic>
              </wp:anchor>
            </w:drawing>
          </mc:Choice>
          <mc:Fallback>
            <w:pict>
              <v:shape id="_x0000_s1031" type="#_x0000_t202" style="position:absolute;margin-left:81.700000000000003pt;margin-top:1.pt;width:91.450000000000003pt;height:19.199999999999999pt;z-index:-125829375;mso-wrap-distance-left:0;mso-wrap-distance-top:1.pt;mso-wrap-distance-right:0;mso-wrap-distance-bottom:41.30000000000000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Provozní budova</w:t>
                      </w:r>
                    </w:p>
                  </w:txbxContent>
                </v:textbox>
                <w10:wrap type="topAndBottom" anchorx="page"/>
              </v:shape>
            </w:pict>
          </mc:Fallback>
        </mc:AlternateContent>
      </w:r>
      <w:r>
        <mc:AlternateContent>
          <mc:Choice Requires="wps">
            <w:drawing>
              <wp:anchor distT="12700" distB="0" distL="0" distR="0" simplePos="0" relativeHeight="125829380" behindDoc="0" locked="0" layoutInCell="1" allowOverlap="1">
                <wp:simplePos x="0" y="0"/>
                <wp:positionH relativeFrom="page">
                  <wp:posOffset>3131820</wp:posOffset>
                </wp:positionH>
                <wp:positionV relativeFrom="paragraph">
                  <wp:posOffset>12700</wp:posOffset>
                </wp:positionV>
                <wp:extent cx="1094105" cy="768350"/>
                <wp:wrapTopAndBottom/>
                <wp:docPr id="7" name="Shape 7"/>
                <a:graphic xmlns:a="http://schemas.openxmlformats.org/drawingml/2006/main">
                  <a:graphicData uri="http://schemas.microsoft.com/office/word/2010/wordprocessingShape">
                    <wps:wsp>
                      <wps:cNvSpPr txBox="1"/>
                      <wps:spPr>
                        <a:xfrm>
                          <a:ext cx="1094105" cy="7683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1.04 šatna</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1.05 umývárna</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1.06 WC</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1.27 kancelář</w:t>
                            </w:r>
                          </w:p>
                        </w:txbxContent>
                      </wps:txbx>
                      <wps:bodyPr lIns="0" tIns="0" rIns="0" bIns="0">
                        <a:noAutoFit/>
                      </wps:bodyPr>
                    </wps:wsp>
                  </a:graphicData>
                </a:graphic>
              </wp:anchor>
            </w:drawing>
          </mc:Choice>
          <mc:Fallback>
            <w:pict>
              <v:shape id="_x0000_s1033" type="#_x0000_t202" style="position:absolute;margin-left:246.59999999999999pt;margin-top:1.pt;width:86.150000000000006pt;height:60.5pt;z-index:-125829373;mso-wrap-distance-left:0;mso-wrap-distance-top:1.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1.04 šatna</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1.05 umývárna</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1.06 WC</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1.27 kancelář</w:t>
                      </w:r>
                    </w:p>
                  </w:txbxContent>
                </v:textbox>
                <w10:wrap type="topAndBottom" anchorx="page"/>
              </v:shape>
            </w:pict>
          </mc:Fallback>
        </mc:AlternateContent>
      </w:r>
      <w:r>
        <mc:AlternateContent>
          <mc:Choice Requires="wps">
            <w:drawing>
              <wp:anchor distT="12700" distB="0" distL="0" distR="0" simplePos="0" relativeHeight="125829382" behindDoc="0" locked="0" layoutInCell="1" allowOverlap="1">
                <wp:simplePos x="0" y="0"/>
                <wp:positionH relativeFrom="page">
                  <wp:posOffset>4930140</wp:posOffset>
                </wp:positionH>
                <wp:positionV relativeFrom="paragraph">
                  <wp:posOffset>12700</wp:posOffset>
                </wp:positionV>
                <wp:extent cx="1170305" cy="768350"/>
                <wp:wrapTopAndBottom/>
                <wp:docPr id="9" name="Shape 9"/>
                <a:graphic xmlns:a="http://schemas.openxmlformats.org/drawingml/2006/main">
                  <a:graphicData uri="http://schemas.microsoft.com/office/word/2010/wordprocessingShape">
                    <wps:wsp>
                      <wps:cNvSpPr txBox="1"/>
                      <wps:spPr>
                        <a:xfrm>
                          <a:ext cx="1170305" cy="7683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o ploše 16,53 m</w:t>
                            </w:r>
                            <w:r>
                              <w:rPr>
                                <w:rFonts w:ascii="Times New Roman" w:eastAsia="Times New Roman" w:hAnsi="Times New Roman" w:cs="Times New Roman"/>
                                <w:color w:val="000000"/>
                                <w:spacing w:val="0"/>
                                <w:w w:val="100"/>
                                <w:position w:val="0"/>
                                <w:sz w:val="24"/>
                                <w:szCs w:val="24"/>
                                <w:shd w:val="clear" w:color="auto" w:fill="auto"/>
                                <w:vertAlign w:val="superscript"/>
                                <w:lang w:val="cs-CZ" w:eastAsia="cs-CZ" w:bidi="cs-CZ"/>
                              </w:rPr>
                              <w:t xml:space="preserve">2 </w:t>
                            </w:r>
                            <w:r>
                              <w:rPr>
                                <w:rFonts w:ascii="Times New Roman" w:eastAsia="Times New Roman" w:hAnsi="Times New Roman" w:cs="Times New Roman"/>
                                <w:color w:val="000000"/>
                                <w:spacing w:val="0"/>
                                <w:w w:val="100"/>
                                <w:position w:val="0"/>
                                <w:sz w:val="24"/>
                                <w:szCs w:val="24"/>
                                <w:shd w:val="clear" w:color="auto" w:fill="auto"/>
                                <w:lang w:val="cs-CZ" w:eastAsia="cs-CZ" w:bidi="cs-CZ"/>
                              </w:rPr>
                              <w:t>o ploše 15,50 m</w:t>
                            </w:r>
                            <w:r>
                              <w:rPr>
                                <w:rFonts w:ascii="Times New Roman" w:eastAsia="Times New Roman" w:hAnsi="Times New Roman" w:cs="Times New Roman"/>
                                <w:color w:val="000000"/>
                                <w:spacing w:val="0"/>
                                <w:w w:val="100"/>
                                <w:position w:val="0"/>
                                <w:sz w:val="24"/>
                                <w:szCs w:val="24"/>
                                <w:shd w:val="clear" w:color="auto" w:fill="auto"/>
                                <w:vertAlign w:val="superscript"/>
                                <w:lang w:val="cs-CZ" w:eastAsia="cs-CZ" w:bidi="cs-CZ"/>
                              </w:rPr>
                              <w:t xml:space="preserve">2 </w:t>
                            </w:r>
                            <w:r>
                              <w:rPr>
                                <w:rFonts w:ascii="Times New Roman" w:eastAsia="Times New Roman" w:hAnsi="Times New Roman" w:cs="Times New Roman"/>
                                <w:color w:val="000000"/>
                                <w:spacing w:val="0"/>
                                <w:w w:val="100"/>
                                <w:position w:val="0"/>
                                <w:sz w:val="24"/>
                                <w:szCs w:val="24"/>
                                <w:shd w:val="clear" w:color="auto" w:fill="auto"/>
                                <w:lang w:val="cs-CZ" w:eastAsia="cs-CZ" w:bidi="cs-CZ"/>
                              </w:rPr>
                              <w:t>o ploše 7,65 m</w:t>
                            </w:r>
                            <w:r>
                              <w:rPr>
                                <w:rFonts w:ascii="Times New Roman" w:eastAsia="Times New Roman" w:hAnsi="Times New Roman" w:cs="Times New Roman"/>
                                <w:color w:val="000000"/>
                                <w:spacing w:val="0"/>
                                <w:w w:val="100"/>
                                <w:position w:val="0"/>
                                <w:sz w:val="24"/>
                                <w:szCs w:val="24"/>
                                <w:shd w:val="clear" w:color="auto" w:fill="auto"/>
                                <w:vertAlign w:val="superscript"/>
                                <w:lang w:val="cs-CZ" w:eastAsia="cs-CZ" w:bidi="cs-CZ"/>
                              </w:rPr>
                              <w:t xml:space="preserve">2 </w:t>
                            </w:r>
                            <w:r>
                              <w:rPr>
                                <w:rFonts w:ascii="Times New Roman" w:eastAsia="Times New Roman" w:hAnsi="Times New Roman" w:cs="Times New Roman"/>
                                <w:color w:val="000000"/>
                                <w:spacing w:val="0"/>
                                <w:w w:val="100"/>
                                <w:position w:val="0"/>
                                <w:sz w:val="24"/>
                                <w:szCs w:val="24"/>
                                <w:shd w:val="clear" w:color="auto" w:fill="auto"/>
                                <w:lang w:val="cs-CZ" w:eastAsia="cs-CZ" w:bidi="cs-CZ"/>
                              </w:rPr>
                              <w:t>o ploše 17,69 m</w:t>
                            </w:r>
                            <w:r>
                              <w:rPr>
                                <w:rFonts w:ascii="Times New Roman" w:eastAsia="Times New Roman" w:hAnsi="Times New Roman" w:cs="Times New Roman"/>
                                <w:color w:val="000000"/>
                                <w:spacing w:val="0"/>
                                <w:w w:val="100"/>
                                <w:position w:val="0"/>
                                <w:sz w:val="24"/>
                                <w:szCs w:val="24"/>
                                <w:shd w:val="clear" w:color="auto" w:fill="auto"/>
                                <w:vertAlign w:val="superscript"/>
                                <w:lang w:val="cs-CZ" w:eastAsia="cs-CZ" w:bidi="cs-CZ"/>
                              </w:rPr>
                              <w:t>2</w:t>
                            </w:r>
                          </w:p>
                        </w:txbxContent>
                      </wps:txbx>
                      <wps:bodyPr lIns="0" tIns="0" rIns="0" bIns="0">
                        <a:noAutoFit/>
                      </wps:bodyPr>
                    </wps:wsp>
                  </a:graphicData>
                </a:graphic>
              </wp:anchor>
            </w:drawing>
          </mc:Choice>
          <mc:Fallback>
            <w:pict>
              <v:shape id="_x0000_s1035" type="#_x0000_t202" style="position:absolute;margin-left:388.19999999999999pt;margin-top:1.pt;width:92.150000000000006pt;height:60.5pt;z-index:-125829371;mso-wrap-distance-left:0;mso-wrap-distance-top:1.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o ploše 16,53 m</w:t>
                      </w:r>
                      <w:r>
                        <w:rPr>
                          <w:rFonts w:ascii="Times New Roman" w:eastAsia="Times New Roman" w:hAnsi="Times New Roman" w:cs="Times New Roman"/>
                          <w:color w:val="000000"/>
                          <w:spacing w:val="0"/>
                          <w:w w:val="100"/>
                          <w:position w:val="0"/>
                          <w:sz w:val="24"/>
                          <w:szCs w:val="24"/>
                          <w:shd w:val="clear" w:color="auto" w:fill="auto"/>
                          <w:vertAlign w:val="superscript"/>
                          <w:lang w:val="cs-CZ" w:eastAsia="cs-CZ" w:bidi="cs-CZ"/>
                        </w:rPr>
                        <w:t xml:space="preserve">2 </w:t>
                      </w:r>
                      <w:r>
                        <w:rPr>
                          <w:rFonts w:ascii="Times New Roman" w:eastAsia="Times New Roman" w:hAnsi="Times New Roman" w:cs="Times New Roman"/>
                          <w:color w:val="000000"/>
                          <w:spacing w:val="0"/>
                          <w:w w:val="100"/>
                          <w:position w:val="0"/>
                          <w:sz w:val="24"/>
                          <w:szCs w:val="24"/>
                          <w:shd w:val="clear" w:color="auto" w:fill="auto"/>
                          <w:lang w:val="cs-CZ" w:eastAsia="cs-CZ" w:bidi="cs-CZ"/>
                        </w:rPr>
                        <w:t>o ploše 15,50 m</w:t>
                      </w:r>
                      <w:r>
                        <w:rPr>
                          <w:rFonts w:ascii="Times New Roman" w:eastAsia="Times New Roman" w:hAnsi="Times New Roman" w:cs="Times New Roman"/>
                          <w:color w:val="000000"/>
                          <w:spacing w:val="0"/>
                          <w:w w:val="100"/>
                          <w:position w:val="0"/>
                          <w:sz w:val="24"/>
                          <w:szCs w:val="24"/>
                          <w:shd w:val="clear" w:color="auto" w:fill="auto"/>
                          <w:vertAlign w:val="superscript"/>
                          <w:lang w:val="cs-CZ" w:eastAsia="cs-CZ" w:bidi="cs-CZ"/>
                        </w:rPr>
                        <w:t xml:space="preserve">2 </w:t>
                      </w:r>
                      <w:r>
                        <w:rPr>
                          <w:rFonts w:ascii="Times New Roman" w:eastAsia="Times New Roman" w:hAnsi="Times New Roman" w:cs="Times New Roman"/>
                          <w:color w:val="000000"/>
                          <w:spacing w:val="0"/>
                          <w:w w:val="100"/>
                          <w:position w:val="0"/>
                          <w:sz w:val="24"/>
                          <w:szCs w:val="24"/>
                          <w:shd w:val="clear" w:color="auto" w:fill="auto"/>
                          <w:lang w:val="cs-CZ" w:eastAsia="cs-CZ" w:bidi="cs-CZ"/>
                        </w:rPr>
                        <w:t>o ploše 7,65 m</w:t>
                      </w:r>
                      <w:r>
                        <w:rPr>
                          <w:rFonts w:ascii="Times New Roman" w:eastAsia="Times New Roman" w:hAnsi="Times New Roman" w:cs="Times New Roman"/>
                          <w:color w:val="000000"/>
                          <w:spacing w:val="0"/>
                          <w:w w:val="100"/>
                          <w:position w:val="0"/>
                          <w:sz w:val="24"/>
                          <w:szCs w:val="24"/>
                          <w:shd w:val="clear" w:color="auto" w:fill="auto"/>
                          <w:vertAlign w:val="superscript"/>
                          <w:lang w:val="cs-CZ" w:eastAsia="cs-CZ" w:bidi="cs-CZ"/>
                        </w:rPr>
                        <w:t xml:space="preserve">2 </w:t>
                      </w:r>
                      <w:r>
                        <w:rPr>
                          <w:rFonts w:ascii="Times New Roman" w:eastAsia="Times New Roman" w:hAnsi="Times New Roman" w:cs="Times New Roman"/>
                          <w:color w:val="000000"/>
                          <w:spacing w:val="0"/>
                          <w:w w:val="100"/>
                          <w:position w:val="0"/>
                          <w:sz w:val="24"/>
                          <w:szCs w:val="24"/>
                          <w:shd w:val="clear" w:color="auto" w:fill="auto"/>
                          <w:lang w:val="cs-CZ" w:eastAsia="cs-CZ" w:bidi="cs-CZ"/>
                        </w:rPr>
                        <w:t>o ploše 17,69 m</w:t>
                      </w:r>
                      <w:r>
                        <w:rPr>
                          <w:rFonts w:ascii="Times New Roman" w:eastAsia="Times New Roman" w:hAnsi="Times New Roman" w:cs="Times New Roman"/>
                          <w:color w:val="000000"/>
                          <w:spacing w:val="0"/>
                          <w:w w:val="100"/>
                          <w:position w:val="0"/>
                          <w:sz w:val="24"/>
                          <w:szCs w:val="24"/>
                          <w:shd w:val="clear" w:color="auto" w:fill="auto"/>
                          <w:vertAlign w:val="superscript"/>
                          <w:lang w:val="cs-CZ" w:eastAsia="cs-CZ" w:bidi="cs-CZ"/>
                        </w:rPr>
                        <w:t>2</w:t>
                      </w:r>
                    </w:p>
                  </w:txbxContent>
                </v:textbox>
                <w10:wrap type="topAndBottom" anchorx="page"/>
              </v:shape>
            </w:pict>
          </mc:Fallback>
        </mc:AlternateContent>
      </w:r>
    </w:p>
    <w:p>
      <w:pPr>
        <w:widowControl w:val="0"/>
        <w:spacing w:line="170" w:lineRule="exact"/>
        <w:rPr>
          <w:sz w:val="14"/>
          <w:szCs w:val="14"/>
        </w:rPr>
      </w:pPr>
    </w:p>
    <w:p>
      <w:pPr>
        <w:widowControl w:val="0"/>
        <w:spacing w:line="1" w:lineRule="exact"/>
        <w:sectPr>
          <w:footnotePr>
            <w:pos w:val="pageBottom"/>
            <w:numFmt w:val="decimal"/>
            <w:numRestart w:val="continuous"/>
          </w:footnotePr>
          <w:type w:val="continuous"/>
          <w:pgSz w:w="11909" w:h="16838"/>
          <w:pgMar w:top="1070" w:left="0" w:right="0" w:bottom="1027" w:header="0" w:footer="3" w:gutter="0"/>
          <w:cols w:space="720"/>
          <w:noEndnote/>
          <w:rtlGutter w:val="0"/>
          <w:docGrid w:linePitch="360"/>
        </w:sectPr>
      </w:pPr>
    </w:p>
    <w:p>
      <w:pPr>
        <w:pStyle w:val="Style2"/>
        <w:keepNext w:val="0"/>
        <w:keepLines w:val="0"/>
        <w:widowControl w:val="0"/>
        <w:shd w:val="clear" w:color="auto" w:fill="auto"/>
        <w:bidi w:val="0"/>
        <w:spacing w:before="0" w:line="240" w:lineRule="auto"/>
        <w:ind w:left="0" w:right="940" w:firstLine="0"/>
        <w:jc w:val="right"/>
      </w:pPr>
      <w:r>
        <mc:AlternateContent>
          <mc:Choice Requires="wps">
            <w:drawing>
              <wp:anchor distT="0" distB="0" distL="114300" distR="114300" simplePos="0" relativeHeight="125829384" behindDoc="0" locked="0" layoutInCell="1" allowOverlap="1">
                <wp:simplePos x="0" y="0"/>
                <wp:positionH relativeFrom="page">
                  <wp:posOffset>1064895</wp:posOffset>
                </wp:positionH>
                <wp:positionV relativeFrom="paragraph">
                  <wp:posOffset>12700</wp:posOffset>
                </wp:positionV>
                <wp:extent cx="1151890" cy="240665"/>
                <wp:wrapSquare wrapText="right"/>
                <wp:docPr id="11" name="Shape 11"/>
                <a:graphic xmlns:a="http://schemas.openxmlformats.org/drawingml/2006/main">
                  <a:graphicData uri="http://schemas.microsoft.com/office/word/2010/wordprocessingShape">
                    <wps:wsp>
                      <wps:cNvSpPr txBox="1"/>
                      <wps:spPr>
                        <a:xfrm>
                          <a:ext cx="1151890" cy="2406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zpevněné plochy</w:t>
                            </w:r>
                          </w:p>
                        </w:txbxContent>
                      </wps:txbx>
                      <wps:bodyPr wrap="none" lIns="0" tIns="0" rIns="0" bIns="0">
                        <a:noAutoFit/>
                      </wps:bodyPr>
                    </wps:wsp>
                  </a:graphicData>
                </a:graphic>
              </wp:anchor>
            </w:drawing>
          </mc:Choice>
          <mc:Fallback>
            <w:pict>
              <v:shape id="_x0000_s1037" type="#_x0000_t202" style="position:absolute;margin-left:83.850000000000009pt;margin-top:1.pt;width:90.700000000000003pt;height:18.949999999999999pt;z-index:-12582936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zpevněné plochy</w:t>
                      </w:r>
                    </w:p>
                  </w:txbxContent>
                </v:textbox>
                <w10:wrap type="square" side="right" anchorx="page"/>
              </v:shape>
            </w:pict>
          </mc:Fallback>
        </mc:AlternateContent>
      </w:r>
      <w:r>
        <w:rPr>
          <w:rFonts w:ascii="Times New Roman" w:eastAsia="Times New Roman" w:hAnsi="Times New Roman" w:cs="Times New Roman"/>
          <w:color w:val="000000"/>
          <w:spacing w:val="0"/>
          <w:w w:val="100"/>
          <w:position w:val="0"/>
          <w:sz w:val="24"/>
          <w:szCs w:val="24"/>
          <w:shd w:val="clear" w:color="auto" w:fill="auto"/>
          <w:lang w:val="cs-CZ" w:eastAsia="cs-CZ" w:bidi="cs-CZ"/>
        </w:rPr>
        <w:t>část zpevněných ploch o ploše 150,00 m</w:t>
      </w:r>
      <w:r>
        <w:rPr>
          <w:rFonts w:ascii="Times New Roman" w:eastAsia="Times New Roman" w:hAnsi="Times New Roman" w:cs="Times New Roman"/>
          <w:color w:val="000000"/>
          <w:spacing w:val="0"/>
          <w:w w:val="100"/>
          <w:position w:val="0"/>
          <w:sz w:val="24"/>
          <w:szCs w:val="24"/>
          <w:shd w:val="clear" w:color="auto" w:fill="auto"/>
          <w:vertAlign w:val="superscript"/>
          <w:lang w:val="cs-CZ" w:eastAsia="cs-CZ" w:bidi="cs-CZ"/>
        </w:rPr>
        <w:t>2</w:t>
      </w:r>
    </w:p>
    <w:p>
      <w:pPr>
        <w:pStyle w:val="Style2"/>
        <w:keepNext w:val="0"/>
        <w:keepLines w:val="0"/>
        <w:widowControl w:val="0"/>
        <w:shd w:val="clear" w:color="auto" w:fill="auto"/>
        <w:bidi w:val="0"/>
        <w:spacing w:before="0" w:after="180" w:line="240" w:lineRule="auto"/>
        <w:ind w:left="30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Předmět nájmu je vyznačen na půdorysech Haly 1 – skladu a Provozní budovy a snímku plochy , které jsou nedílnou přílohou této smlouvy.</w:t>
      </w:r>
    </w:p>
    <w:p>
      <w:pPr>
        <w:pStyle w:val="Style2"/>
        <w:keepNext w:val="0"/>
        <w:keepLines w:val="0"/>
        <w:widowControl w:val="0"/>
        <w:shd w:val="clear" w:color="auto" w:fill="auto"/>
        <w:bidi w:val="0"/>
        <w:spacing w:before="0" w:after="20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(dále jen „předmět nájmu“)</w:t>
      </w:r>
    </w:p>
    <w:p>
      <w:pPr>
        <w:pStyle w:val="Style2"/>
        <w:keepNext w:val="0"/>
        <w:keepLines w:val="0"/>
        <w:widowControl w:val="0"/>
        <w:numPr>
          <w:ilvl w:val="0"/>
          <w:numId w:val="3"/>
        </w:numPr>
        <w:shd w:val="clear" w:color="auto" w:fill="auto"/>
        <w:tabs>
          <w:tab w:pos="378" w:val="left"/>
        </w:tabs>
        <w:bidi w:val="0"/>
        <w:spacing w:before="0" w:line="240" w:lineRule="auto"/>
        <w:ind w:left="300" w:right="0" w:hanging="300"/>
        <w:jc w:val="both"/>
      </w:pPr>
      <w:bookmarkStart w:id="12" w:name="bookmark12"/>
      <w:bookmarkEnd w:id="12"/>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předmět nájmu od pronajímatele do nájmu přejímá a zavazuje se za užívání předmětu nájmu platit sjednané nájemné v souladu s článkem V. a VI. této smlouvy a plnit si řádně a včas veškeré právními předpisy a touto smlouvou stanovené povinnosti.</w:t>
      </w:r>
    </w:p>
    <w:p>
      <w:pPr>
        <w:pStyle w:val="Style2"/>
        <w:keepNext w:val="0"/>
        <w:keepLines w:val="0"/>
        <w:widowControl w:val="0"/>
        <w:numPr>
          <w:ilvl w:val="0"/>
          <w:numId w:val="3"/>
        </w:numPr>
        <w:shd w:val="clear" w:color="auto" w:fill="auto"/>
        <w:tabs>
          <w:tab w:pos="378" w:val="left"/>
        </w:tabs>
        <w:bidi w:val="0"/>
        <w:spacing w:before="0" w:line="240" w:lineRule="auto"/>
        <w:ind w:left="300" w:right="0" w:hanging="300"/>
        <w:jc w:val="both"/>
      </w:pPr>
      <w:bookmarkStart w:id="13" w:name="bookmark13"/>
      <w:bookmarkEnd w:id="13"/>
      <w:r>
        <w:rPr>
          <w:rFonts w:ascii="Times New Roman" w:eastAsia="Times New Roman" w:hAnsi="Times New Roman" w:cs="Times New Roman"/>
          <w:color w:val="000000"/>
          <w:spacing w:val="0"/>
          <w:w w:val="100"/>
          <w:position w:val="0"/>
          <w:sz w:val="24"/>
          <w:szCs w:val="24"/>
          <w:shd w:val="clear" w:color="auto" w:fill="auto"/>
          <w:lang w:val="cs-CZ" w:eastAsia="cs-CZ" w:bidi="cs-CZ"/>
        </w:rPr>
        <w:t>Spolu s předmětem nájmu je nájemce oprávněn užívat společně s ostatními subjekty provozujícími svoji činnost v provozní budově také sociální zázemí a vchody do budovy, společné chodby, schodiště atd.</w:t>
      </w:r>
    </w:p>
    <w:p>
      <w:pPr>
        <w:pStyle w:val="Style2"/>
        <w:keepNext w:val="0"/>
        <w:keepLines w:val="0"/>
        <w:widowControl w:val="0"/>
        <w:numPr>
          <w:ilvl w:val="0"/>
          <w:numId w:val="3"/>
        </w:numPr>
        <w:shd w:val="clear" w:color="auto" w:fill="auto"/>
        <w:tabs>
          <w:tab w:pos="378" w:val="left"/>
        </w:tabs>
        <w:bidi w:val="0"/>
        <w:spacing w:before="0" w:after="500" w:line="240" w:lineRule="auto"/>
        <w:ind w:left="300" w:right="0" w:hanging="300"/>
        <w:jc w:val="both"/>
      </w:pPr>
      <w:bookmarkStart w:id="14" w:name="bookmark14"/>
      <w:bookmarkEnd w:id="14"/>
      <w:r>
        <w:rPr>
          <w:rFonts w:ascii="Times New Roman" w:eastAsia="Times New Roman" w:hAnsi="Times New Roman" w:cs="Times New Roman"/>
          <w:color w:val="000000"/>
          <w:spacing w:val="0"/>
          <w:w w:val="100"/>
          <w:position w:val="0"/>
          <w:sz w:val="24"/>
          <w:szCs w:val="24"/>
          <w:shd w:val="clear" w:color="auto" w:fill="auto"/>
          <w:lang w:val="cs-CZ" w:eastAsia="cs-CZ" w:bidi="cs-CZ"/>
        </w:rPr>
        <w:t>Pronajímatel se zavazuje umožnit nájemci přístup do pronajatých prostor. Za tímto účelem pronajímatel předal zástupci nájemce při podpisu smlouvy 1x klíč od kanceláře, 1 klíč od šaten a sociálního zařízení a klíč od vrat do skladu v Hale 1 – skladu.</w:t>
      </w:r>
    </w:p>
    <w:p>
      <w:pPr>
        <w:pStyle w:val="Style11"/>
        <w:keepNext/>
        <w:keepLines/>
        <w:widowControl w:val="0"/>
        <w:numPr>
          <w:ilvl w:val="0"/>
          <w:numId w:val="1"/>
        </w:numPr>
        <w:shd w:val="clear" w:color="auto" w:fill="auto"/>
        <w:tabs>
          <w:tab w:pos="720" w:val="left"/>
        </w:tabs>
        <w:bidi w:val="0"/>
        <w:spacing w:before="0" w:after="220" w:line="240" w:lineRule="auto"/>
        <w:ind w:left="0" w:right="0" w:firstLine="0"/>
        <w:jc w:val="center"/>
      </w:pPr>
      <w:bookmarkStart w:id="15" w:name="bookmark15"/>
      <w:bookmarkStart w:id="16" w:name="bookmark16"/>
      <w:bookmarkStart w:id="17" w:name="bookmark17"/>
      <w:bookmarkStart w:id="18" w:name="bookmark18"/>
      <w:bookmarkEnd w:id="17"/>
      <w:r>
        <w:rPr>
          <w:rFonts w:ascii="Times New Roman" w:eastAsia="Times New Roman" w:hAnsi="Times New Roman" w:cs="Times New Roman"/>
          <w:color w:val="000000"/>
          <w:spacing w:val="0"/>
          <w:w w:val="100"/>
          <w:position w:val="0"/>
          <w:sz w:val="24"/>
          <w:szCs w:val="24"/>
          <w:shd w:val="clear" w:color="auto" w:fill="auto"/>
          <w:lang w:val="cs-CZ" w:eastAsia="cs-CZ" w:bidi="cs-CZ"/>
        </w:rPr>
        <w:t>Účel nájmu:</w:t>
      </w:r>
      <w:bookmarkEnd w:id="15"/>
      <w:bookmarkEnd w:id="16"/>
      <w:bookmarkEnd w:id="18"/>
    </w:p>
    <w:p>
      <w:pPr>
        <w:pStyle w:val="Style2"/>
        <w:keepNext w:val="0"/>
        <w:keepLines w:val="0"/>
        <w:widowControl w:val="0"/>
        <w:numPr>
          <w:ilvl w:val="0"/>
          <w:numId w:val="5"/>
        </w:numPr>
        <w:shd w:val="clear" w:color="auto" w:fill="auto"/>
        <w:tabs>
          <w:tab w:pos="378" w:val="left"/>
        </w:tabs>
        <w:bidi w:val="0"/>
        <w:spacing w:before="0" w:line="240" w:lineRule="auto"/>
        <w:ind w:left="300" w:right="0" w:hanging="300"/>
        <w:jc w:val="both"/>
      </w:pPr>
      <w:bookmarkStart w:id="19" w:name="bookmark19"/>
      <w:bookmarkEnd w:id="19"/>
      <w:r>
        <w:rPr>
          <w:rFonts w:ascii="Times New Roman" w:eastAsia="Times New Roman" w:hAnsi="Times New Roman" w:cs="Times New Roman"/>
          <w:color w:val="000000"/>
          <w:spacing w:val="0"/>
          <w:w w:val="100"/>
          <w:position w:val="0"/>
          <w:sz w:val="24"/>
          <w:szCs w:val="24"/>
          <w:shd w:val="clear" w:color="auto" w:fill="auto"/>
          <w:lang w:val="cs-CZ" w:eastAsia="cs-CZ" w:bidi="cs-CZ"/>
        </w:rPr>
        <w:t>Účelem nájmu je využití předmětu nájmu – kanceláře - pro administrativní zajištění podnikatelské činnosti nájemce, skladovací hala pro skladování materiálu, parkování malé mechanizace a její drobné opravy a betonová plocha pro parkování nákladních vozidel nájemce.</w:t>
      </w:r>
    </w:p>
    <w:p>
      <w:pPr>
        <w:pStyle w:val="Style2"/>
        <w:keepNext w:val="0"/>
        <w:keepLines w:val="0"/>
        <w:widowControl w:val="0"/>
        <w:numPr>
          <w:ilvl w:val="0"/>
          <w:numId w:val="5"/>
        </w:numPr>
        <w:shd w:val="clear" w:color="auto" w:fill="auto"/>
        <w:tabs>
          <w:tab w:pos="378" w:val="left"/>
        </w:tabs>
        <w:bidi w:val="0"/>
        <w:spacing w:before="0" w:line="240" w:lineRule="auto"/>
        <w:ind w:left="300" w:right="0" w:hanging="300"/>
        <w:jc w:val="both"/>
      </w:pPr>
      <w:bookmarkStart w:id="20" w:name="bookmark20"/>
      <w:bookmarkEnd w:id="20"/>
      <w:r>
        <w:rPr>
          <w:rFonts w:ascii="Times New Roman" w:eastAsia="Times New Roman" w:hAnsi="Times New Roman" w:cs="Times New Roman"/>
          <w:color w:val="000000"/>
          <w:spacing w:val="0"/>
          <w:w w:val="100"/>
          <w:position w:val="0"/>
          <w:sz w:val="24"/>
          <w:szCs w:val="24"/>
          <w:shd w:val="clear" w:color="auto" w:fill="auto"/>
          <w:lang w:val="cs-CZ" w:eastAsia="cs-CZ" w:bidi="cs-CZ"/>
        </w:rPr>
        <w:t>Pronajímatel prohlašuje, že předmět nájmu je podle svého stavebně technického určení vhodný pro účel nájmu dle odst. 1 tohoto článku. Charakter předmětu nájmu odpovídá potřebě nájemce v souladu s obecně závaznými právními předpisy.</w:t>
      </w:r>
    </w:p>
    <w:p>
      <w:pPr>
        <w:pStyle w:val="Style2"/>
        <w:keepNext w:val="0"/>
        <w:keepLines w:val="0"/>
        <w:widowControl w:val="0"/>
        <w:numPr>
          <w:ilvl w:val="0"/>
          <w:numId w:val="5"/>
        </w:numPr>
        <w:shd w:val="clear" w:color="auto" w:fill="auto"/>
        <w:tabs>
          <w:tab w:pos="378" w:val="left"/>
        </w:tabs>
        <w:bidi w:val="0"/>
        <w:spacing w:before="0" w:after="500" w:line="240" w:lineRule="auto"/>
        <w:ind w:left="300" w:right="0" w:hanging="300"/>
        <w:jc w:val="both"/>
      </w:pPr>
      <w:bookmarkStart w:id="21" w:name="bookmark21"/>
      <w:bookmarkEnd w:id="21"/>
      <w:r>
        <w:rPr>
          <w:rFonts w:ascii="Times New Roman" w:eastAsia="Times New Roman" w:hAnsi="Times New Roman" w:cs="Times New Roman"/>
          <w:color w:val="000000"/>
          <w:spacing w:val="0"/>
          <w:w w:val="100"/>
          <w:position w:val="0"/>
          <w:sz w:val="24"/>
          <w:szCs w:val="24"/>
          <w:shd w:val="clear" w:color="auto" w:fill="auto"/>
          <w:lang w:val="cs-CZ" w:eastAsia="cs-CZ" w:bidi="cs-CZ"/>
        </w:rPr>
        <w:t>Změna dohodnutého účelu nájmu je možná jen na základě předchozí písemné dohody smluvních stran.</w:t>
      </w:r>
    </w:p>
    <w:p>
      <w:pPr>
        <w:pStyle w:val="Style2"/>
        <w:keepNext w:val="0"/>
        <w:keepLines w:val="0"/>
        <w:widowControl w:val="0"/>
        <w:numPr>
          <w:ilvl w:val="0"/>
          <w:numId w:val="1"/>
        </w:numPr>
        <w:shd w:val="clear" w:color="auto" w:fill="auto"/>
        <w:tabs>
          <w:tab w:pos="2318" w:val="left"/>
        </w:tabs>
        <w:bidi w:val="0"/>
        <w:spacing w:before="0" w:after="0" w:line="480" w:lineRule="auto"/>
        <w:ind w:left="0" w:right="0" w:firstLine="1860"/>
        <w:jc w:val="both"/>
      </w:pPr>
      <w:bookmarkStart w:id="22" w:name="bookmark22"/>
      <w:bookmarkEnd w:id="22"/>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Cena nájmu, splatnost nájemného a ceny služeb </w:t>
      </w:r>
      <w:r>
        <w:rPr>
          <w:rFonts w:ascii="Times New Roman" w:eastAsia="Times New Roman" w:hAnsi="Times New Roman" w:cs="Times New Roman"/>
          <w:color w:val="000000"/>
          <w:spacing w:val="0"/>
          <w:w w:val="100"/>
          <w:position w:val="0"/>
          <w:sz w:val="24"/>
          <w:szCs w:val="24"/>
          <w:shd w:val="clear" w:color="auto" w:fill="auto"/>
          <w:lang w:val="cs-CZ" w:eastAsia="cs-CZ" w:bidi="cs-CZ"/>
        </w:rPr>
        <w:t>Cena je stanovena takto :</w:t>
      </w:r>
    </w:p>
    <w:tbl>
      <w:tblPr>
        <w:tblOverlap w:val="never"/>
        <w:jc w:val="center"/>
        <w:tblLayout w:type="fixed"/>
      </w:tblPr>
      <w:tblGrid>
        <w:gridCol w:w="1906"/>
        <w:gridCol w:w="811"/>
        <w:gridCol w:w="1325"/>
        <w:gridCol w:w="2789"/>
        <w:gridCol w:w="2112"/>
      </w:tblGrid>
      <w:tr>
        <w:trPr>
          <w:trHeight w:val="288"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Hala 1 - sklad</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1.03</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sklad</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344,11 m</w:t>
            </w:r>
            <w:r>
              <w:rPr>
                <w:rFonts w:ascii="Times New Roman" w:eastAsia="Times New Roman" w:hAnsi="Times New Roman" w:cs="Times New Roman"/>
                <w:color w:val="000000"/>
                <w:spacing w:val="0"/>
                <w:w w:val="100"/>
                <w:position w:val="0"/>
                <w:sz w:val="24"/>
                <w:szCs w:val="24"/>
                <w:shd w:val="clear" w:color="auto" w:fill="auto"/>
                <w:vertAlign w:val="superscript"/>
                <w:lang w:val="cs-CZ" w:eastAsia="cs-CZ" w:bidi="cs-CZ"/>
              </w:rPr>
              <w:t>2</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x 515,- Kč =</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sz w:val="24"/>
                <w:szCs w:val="24"/>
                <w:shd w:val="clear" w:color="auto" w:fill="auto"/>
                <w:lang w:val="cs-CZ" w:eastAsia="cs-CZ" w:bidi="cs-CZ"/>
              </w:rPr>
              <w:t>177 216,65 Kč/rok</w:t>
            </w:r>
          </w:p>
        </w:tc>
      </w:tr>
      <w:tr>
        <w:trPr>
          <w:trHeight w:val="278"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Provozní budova</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1.04</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šatna</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4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16,53 m</w:t>
            </w:r>
            <w:r>
              <w:rPr>
                <w:rFonts w:ascii="Times New Roman" w:eastAsia="Times New Roman" w:hAnsi="Times New Roman" w:cs="Times New Roman"/>
                <w:color w:val="000000"/>
                <w:spacing w:val="0"/>
                <w:w w:val="100"/>
                <w:position w:val="0"/>
                <w:sz w:val="24"/>
                <w:szCs w:val="24"/>
                <w:shd w:val="clear" w:color="auto" w:fill="auto"/>
                <w:vertAlign w:val="superscript"/>
                <w:lang w:val="cs-CZ" w:eastAsia="cs-CZ" w:bidi="cs-CZ"/>
              </w:rPr>
              <w:t>2</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x 515,- Kč =</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8 512,95 Kč/rok</w:t>
            </w:r>
          </w:p>
        </w:tc>
      </w:tr>
      <w:tr>
        <w:trPr>
          <w:trHeight w:val="27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1.05</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umývárna</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4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15,50 m</w:t>
            </w:r>
            <w:r>
              <w:rPr>
                <w:rFonts w:ascii="Times New Roman" w:eastAsia="Times New Roman" w:hAnsi="Times New Roman" w:cs="Times New Roman"/>
                <w:color w:val="000000"/>
                <w:spacing w:val="0"/>
                <w:w w:val="100"/>
                <w:position w:val="0"/>
                <w:sz w:val="24"/>
                <w:szCs w:val="24"/>
                <w:shd w:val="clear" w:color="auto" w:fill="auto"/>
                <w:vertAlign w:val="superscript"/>
                <w:lang w:val="cs-CZ" w:eastAsia="cs-CZ" w:bidi="cs-CZ"/>
              </w:rPr>
              <w:t>2</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x 515,- Kč =</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7 982,50 Kč/rok</w:t>
            </w:r>
          </w:p>
        </w:tc>
      </w:tr>
      <w:tr>
        <w:trPr>
          <w:trHeight w:val="27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1.06</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WC</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shd w:val="clear" w:color="auto" w:fill="auto"/>
                <w:lang w:val="cs-CZ" w:eastAsia="cs-CZ" w:bidi="cs-CZ"/>
              </w:rPr>
              <w:t>7,65 m</w:t>
            </w:r>
            <w:r>
              <w:rPr>
                <w:rFonts w:ascii="Times New Roman" w:eastAsia="Times New Roman" w:hAnsi="Times New Roman" w:cs="Times New Roman"/>
                <w:color w:val="000000"/>
                <w:spacing w:val="0"/>
                <w:w w:val="100"/>
                <w:position w:val="0"/>
                <w:sz w:val="24"/>
                <w:szCs w:val="24"/>
                <w:shd w:val="clear" w:color="auto" w:fill="auto"/>
                <w:vertAlign w:val="superscript"/>
                <w:lang w:val="cs-CZ" w:eastAsia="cs-CZ" w:bidi="cs-CZ"/>
              </w:rPr>
              <w:t>2</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x 515,- Kč =</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3 939,75 Kč/rok</w:t>
            </w:r>
          </w:p>
        </w:tc>
      </w:tr>
      <w:tr>
        <w:trPr>
          <w:trHeight w:val="643"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Zpevněné plochy</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1.27</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kancelář</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4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17,69 m</w:t>
            </w:r>
            <w:r>
              <w:rPr>
                <w:rFonts w:ascii="Times New Roman" w:eastAsia="Times New Roman" w:hAnsi="Times New Roman" w:cs="Times New Roman"/>
                <w:color w:val="000000"/>
                <w:spacing w:val="0"/>
                <w:w w:val="100"/>
                <w:position w:val="0"/>
                <w:sz w:val="24"/>
                <w:szCs w:val="24"/>
                <w:shd w:val="clear" w:color="auto" w:fill="auto"/>
                <w:vertAlign w:val="superscript"/>
                <w:lang w:val="cs-CZ" w:eastAsia="cs-CZ" w:bidi="cs-CZ"/>
              </w:rPr>
              <w:t>2</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x 739,- Kč =</w:t>
            </w:r>
          </w:p>
          <w:p>
            <w:pPr>
              <w:pStyle w:val="Style13"/>
              <w:keepNext w:val="0"/>
              <w:keepLines w:val="0"/>
              <w:widowControl w:val="0"/>
              <w:shd w:val="clear" w:color="auto" w:fill="auto"/>
              <w:bidi w:val="0"/>
              <w:spacing w:before="0" w:after="0" w:line="240" w:lineRule="auto"/>
              <w:ind w:left="0" w:right="0" w:firstLine="22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150,00 m</w:t>
            </w:r>
            <w:r>
              <w:rPr>
                <w:rFonts w:ascii="Times New Roman" w:eastAsia="Times New Roman" w:hAnsi="Times New Roman" w:cs="Times New Roman"/>
                <w:color w:val="000000"/>
                <w:spacing w:val="0"/>
                <w:w w:val="100"/>
                <w:position w:val="0"/>
                <w:sz w:val="24"/>
                <w:szCs w:val="24"/>
                <w:shd w:val="clear" w:color="auto" w:fill="auto"/>
                <w:vertAlign w:val="superscript"/>
                <w:lang w:val="cs-CZ" w:eastAsia="cs-CZ" w:bidi="cs-CZ"/>
              </w:rPr>
              <w:t>2</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x 122,- Kč =</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8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13 072,91 Kč/rok</w:t>
            </w:r>
          </w:p>
          <w:p>
            <w:pPr>
              <w:pStyle w:val="Style13"/>
              <w:keepNext w:val="0"/>
              <w:keepLines w:val="0"/>
              <w:widowControl w:val="0"/>
              <w:shd w:val="clear" w:color="auto" w:fill="auto"/>
              <w:bidi w:val="0"/>
              <w:spacing w:before="0" w:after="0" w:line="240" w:lineRule="auto"/>
              <w:ind w:left="0" w:right="0" w:firstLine="38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18 300,00 Kč/rok</w:t>
            </w:r>
          </w:p>
        </w:tc>
      </w:tr>
    </w:tbl>
    <w:p>
      <w:pPr>
        <w:widowControl w:val="0"/>
        <w:spacing w:after="219" w:line="1" w:lineRule="exact"/>
      </w:pPr>
    </w:p>
    <w:p>
      <w:pPr>
        <w:pStyle w:val="Style2"/>
        <w:keepNext w:val="0"/>
        <w:keepLines w:val="0"/>
        <w:widowControl w:val="0"/>
        <w:shd w:val="clear" w:color="auto" w:fill="auto"/>
        <w:bidi w:val="0"/>
        <w:spacing w:before="0" w:after="0" w:line="480" w:lineRule="auto"/>
        <w:ind w:left="0" w:right="0" w:firstLine="0"/>
        <w:jc w:val="both"/>
      </w:pPr>
      <w:r>
        <w:rPr>
          <w:rFonts w:ascii="Times New Roman" w:eastAsia="Times New Roman" w:hAnsi="Times New Roman" w:cs="Times New Roman"/>
          <w:b/>
          <w:bCs/>
          <w:i/>
          <w:iCs/>
          <w:color w:val="000000"/>
          <w:spacing w:val="0"/>
          <w:w w:val="100"/>
          <w:position w:val="0"/>
          <w:sz w:val="24"/>
          <w:szCs w:val="24"/>
          <w:shd w:val="clear" w:color="auto" w:fill="auto"/>
          <w:lang w:val="cs-CZ" w:eastAsia="cs-CZ" w:bidi="cs-CZ"/>
        </w:rPr>
        <w:t>Celkem 229 024,76 Kč/rok bez DPH, t.z. 57 256,19 Kč bez DPH za čtvrtletí.</w:t>
      </w:r>
    </w:p>
    <w:p>
      <w:pPr>
        <w:pStyle w:val="Style2"/>
        <w:keepNext w:val="0"/>
        <w:keepLines w:val="0"/>
        <w:widowControl w:val="0"/>
        <w:shd w:val="clear" w:color="auto" w:fill="auto"/>
        <w:bidi w:val="0"/>
        <w:spacing w:before="0" w:after="0" w:line="48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Kromě vlastní platby za užívání předmětu nájmu bude nájemce dále hradit: </w:t>
      </w:r>
      <w:r>
        <w:rPr>
          <w:rFonts w:ascii="Times New Roman" w:eastAsia="Times New Roman" w:hAnsi="Times New Roman" w:cs="Times New Roman"/>
          <w:b/>
          <w:bCs/>
          <w:i/>
          <w:iCs/>
          <w:color w:val="000000"/>
          <w:spacing w:val="0"/>
          <w:w w:val="100"/>
          <w:position w:val="0"/>
          <w:sz w:val="24"/>
          <w:szCs w:val="24"/>
          <w:shd w:val="clear" w:color="auto" w:fill="auto"/>
          <w:lang w:val="cs-CZ" w:eastAsia="cs-CZ" w:bidi="cs-CZ"/>
        </w:rPr>
        <w:t>spotřebu elektrické energie</w:t>
      </w:r>
    </w:p>
    <w:p>
      <w:pPr>
        <w:pStyle w:val="Style2"/>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Paušál ve výši 150,- Kč/měsíc bez DPH za kancelář a sociální zařízení v provozní budově areálu závodu Chomutov.</w:t>
      </w:r>
    </w:p>
    <w:p>
      <w:pPr>
        <w:pStyle w:val="Style2"/>
        <w:keepNext w:val="0"/>
        <w:keepLines w:val="0"/>
        <w:widowControl w:val="0"/>
        <w:shd w:val="clear" w:color="auto" w:fill="auto"/>
        <w:bidi w:val="0"/>
        <w:spacing w:before="0" w:after="36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Částka za spotřebovanou elektrickou energii byla vypočtena energetikem závodu na základě předpokladu běžně používaných spotřebičů v kanceláři.</w:t>
      </w:r>
    </w:p>
    <w:p>
      <w:pPr>
        <w:pStyle w:val="Style2"/>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Za skladovací halu 1.03 v Hale 1-skladu podle odečtu na podružném elektroměru osazeným v pronajatém prostoru takto :</w:t>
      </w:r>
    </w:p>
    <w:p>
      <w:pPr>
        <w:pStyle w:val="Style2"/>
        <w:keepNext w:val="0"/>
        <w:keepLines w:val="0"/>
        <w:widowControl w:val="0"/>
        <w:shd w:val="clear" w:color="auto" w:fill="auto"/>
        <w:bidi w:val="0"/>
        <w:spacing w:before="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V průběhu kalendářního roku bude pronajímatel vystavovat nájemci zálohové faktury na </w:t>
      </w:r>
      <w:r>
        <w:rPr>
          <w:rFonts w:ascii="Times New Roman" w:eastAsia="Times New Roman" w:hAnsi="Times New Roman" w:cs="Times New Roman"/>
          <w:color w:val="000000"/>
          <w:spacing w:val="0"/>
          <w:w w:val="100"/>
          <w:position w:val="0"/>
          <w:sz w:val="24"/>
          <w:szCs w:val="24"/>
          <w:shd w:val="clear" w:color="auto" w:fill="auto"/>
          <w:lang w:val="cs-CZ" w:eastAsia="cs-CZ" w:bidi="cs-CZ"/>
        </w:rPr>
        <w:t>spotřebovanou el. energii. Zálohová faktura na el. energii bude vystavována měsíčně na předpoklad spotřebované el. energie za předpokládanou cenu el. energie. Nejpozději k 31.12. příslušného kalendářního roku provede pronajímatel vyúčtování záloh podle skutečné výše spotřeby el. energie odečtené pronajímatelem na instalovaném podružném elektroměru. Cena za el. energii bude stanovena na konci roku a to na základě skutečných nákladů na takto pořízenou el. energii.</w:t>
      </w:r>
    </w:p>
    <w:p>
      <w:pPr>
        <w:pStyle w:val="Style2"/>
        <w:keepNext w:val="0"/>
        <w:keepLines w:val="0"/>
        <w:widowControl w:val="0"/>
        <w:shd w:val="clear" w:color="auto" w:fill="auto"/>
        <w:bidi w:val="0"/>
        <w:spacing w:before="0" w:after="80" w:line="240" w:lineRule="auto"/>
        <w:ind w:left="0" w:right="0" w:firstLine="0"/>
        <w:jc w:val="both"/>
      </w:pPr>
      <w:r>
        <w:rPr>
          <w:rFonts w:ascii="Times New Roman" w:eastAsia="Times New Roman" w:hAnsi="Times New Roman" w:cs="Times New Roman"/>
          <w:b/>
          <w:bCs/>
          <w:i/>
          <w:iCs/>
          <w:color w:val="000000"/>
          <w:spacing w:val="0"/>
          <w:w w:val="100"/>
          <w:position w:val="0"/>
          <w:sz w:val="24"/>
          <w:szCs w:val="24"/>
          <w:shd w:val="clear" w:color="auto" w:fill="auto"/>
          <w:lang w:val="cs-CZ" w:eastAsia="cs-CZ" w:bidi="cs-CZ"/>
        </w:rPr>
        <w:t>spotřebu plynu</w:t>
      </w:r>
    </w:p>
    <w:p>
      <w:pPr>
        <w:pStyle w:val="Style2"/>
        <w:keepNext w:val="0"/>
        <w:keepLines w:val="0"/>
        <w:widowControl w:val="0"/>
        <w:shd w:val="clear" w:color="auto" w:fill="auto"/>
        <w:bidi w:val="0"/>
        <w:spacing w:before="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Vyúčtování spotřeby plynu dle poměru pronajatých m</w:t>
      </w:r>
      <w:r>
        <w:rPr>
          <w:rFonts w:ascii="Times New Roman" w:eastAsia="Times New Roman" w:hAnsi="Times New Roman" w:cs="Times New Roman"/>
          <w:color w:val="000000"/>
          <w:spacing w:val="0"/>
          <w:w w:val="100"/>
          <w:position w:val="0"/>
          <w:sz w:val="24"/>
          <w:szCs w:val="24"/>
          <w:shd w:val="clear" w:color="auto" w:fill="auto"/>
          <w:vertAlign w:val="superscript"/>
          <w:lang w:val="cs-CZ" w:eastAsia="cs-CZ" w:bidi="cs-CZ"/>
        </w:rPr>
        <w:t>2</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dle podružných plynoměrů osazených v Provozní budově a v Hale 1 - sklad.</w:t>
      </w:r>
    </w:p>
    <w:p>
      <w:pPr>
        <w:pStyle w:val="Style2"/>
        <w:keepNext w:val="0"/>
        <w:keepLines w:val="0"/>
        <w:widowControl w:val="0"/>
        <w:shd w:val="clear" w:color="auto" w:fill="auto"/>
        <w:bidi w:val="0"/>
        <w:spacing w:before="0" w:after="80" w:line="240" w:lineRule="auto"/>
        <w:ind w:left="0" w:right="0" w:firstLine="0"/>
        <w:jc w:val="both"/>
      </w:pPr>
      <w:r>
        <w:rPr>
          <w:rFonts w:ascii="Times New Roman" w:eastAsia="Times New Roman" w:hAnsi="Times New Roman" w:cs="Times New Roman"/>
          <w:b/>
          <w:bCs/>
          <w:i/>
          <w:iCs/>
          <w:color w:val="000000"/>
          <w:spacing w:val="0"/>
          <w:w w:val="100"/>
          <w:position w:val="0"/>
          <w:sz w:val="24"/>
          <w:szCs w:val="24"/>
          <w:shd w:val="clear" w:color="auto" w:fill="auto"/>
          <w:lang w:val="cs-CZ" w:eastAsia="cs-CZ" w:bidi="cs-CZ"/>
        </w:rPr>
        <w:t>spotřebu vody + stočné</w:t>
      </w:r>
    </w:p>
    <w:p>
      <w:pPr>
        <w:pStyle w:val="Style2"/>
        <w:keepNext w:val="0"/>
        <w:keepLines w:val="0"/>
        <w:widowControl w:val="0"/>
        <w:shd w:val="clear" w:color="auto" w:fill="auto"/>
        <w:bidi w:val="0"/>
        <w:spacing w:before="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Paušál ve výši 1038</w:t>
      </w:r>
      <w:r>
        <w:rPr>
          <w:rFonts w:ascii="Times New Roman" w:eastAsia="Times New Roman" w:hAnsi="Times New Roman" w:cs="Times New Roman"/>
          <w:color w:val="FF0000"/>
          <w:spacing w:val="0"/>
          <w:w w:val="100"/>
          <w:position w:val="0"/>
          <w:sz w:val="24"/>
          <w:szCs w:val="24"/>
          <w:shd w:val="clear" w:color="auto" w:fill="auto"/>
          <w:lang w:val="cs-CZ" w:eastAsia="cs-CZ" w:bidi="cs-CZ"/>
        </w:rPr>
        <w:t>,</w:t>
      </w:r>
      <w:r>
        <w:rPr>
          <w:rFonts w:ascii="Times New Roman" w:eastAsia="Times New Roman" w:hAnsi="Times New Roman" w:cs="Times New Roman"/>
          <w:color w:val="000000"/>
          <w:spacing w:val="0"/>
          <w:w w:val="100"/>
          <w:position w:val="0"/>
          <w:sz w:val="24"/>
          <w:szCs w:val="24"/>
          <w:shd w:val="clear" w:color="auto" w:fill="auto"/>
          <w:lang w:val="cs-CZ" w:eastAsia="cs-CZ" w:bidi="cs-CZ"/>
        </w:rPr>
        <w:t>- Kč/měsíc bez DPH za kanceláře a sociální zařízení v Provozní budově areálu závodu Chomutov.</w:t>
      </w:r>
    </w:p>
    <w:p>
      <w:pPr>
        <w:pStyle w:val="Style2"/>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Spotřebu vody ve skladovací hale č.1.03 dle odečtu na podružném vodoměru umístěném v tomto prostoru.</w:t>
      </w:r>
    </w:p>
    <w:p>
      <w:pPr>
        <w:pStyle w:val="Style2"/>
        <w:keepNext w:val="0"/>
        <w:keepLines w:val="0"/>
        <w:widowControl w:val="0"/>
        <w:numPr>
          <w:ilvl w:val="0"/>
          <w:numId w:val="7"/>
        </w:numPr>
        <w:shd w:val="clear" w:color="auto" w:fill="auto"/>
        <w:tabs>
          <w:tab w:pos="373" w:val="left"/>
        </w:tabs>
        <w:bidi w:val="0"/>
        <w:spacing w:before="0" w:line="240" w:lineRule="auto"/>
        <w:ind w:left="0" w:right="0" w:firstLine="0"/>
        <w:jc w:val="both"/>
      </w:pPr>
      <w:bookmarkStart w:id="23" w:name="bookmark23"/>
      <w:bookmarkEnd w:id="23"/>
      <w:r>
        <w:rPr>
          <w:rFonts w:ascii="Times New Roman" w:eastAsia="Times New Roman" w:hAnsi="Times New Roman" w:cs="Times New Roman"/>
          <w:color w:val="000000"/>
          <w:spacing w:val="0"/>
          <w:w w:val="100"/>
          <w:position w:val="0"/>
          <w:sz w:val="24"/>
          <w:szCs w:val="24"/>
          <w:shd w:val="clear" w:color="auto" w:fill="auto"/>
          <w:lang w:val="cs-CZ" w:eastAsia="cs-CZ" w:bidi="cs-CZ"/>
        </w:rPr>
        <w:t>průběhu kalendářního roku bude pronajímatel vystavovat nájemci zálohové faktury na spotřebovanou vodu. Zálohová faktura na vodné a stočné bude vystavována měsíčně na předpoklad spotřebované vody za předpokládanou cenu vodné + stočné. Nejpozději k 31.12. příslušného kalendářního roku provede pronajímatel vyúčtování záloh podle skutečné výše spotřeby vody odečtené pronajímatelem na instalovaném podružném vodoměru. Cena za vodné a stočné bude stanovena na konci roku a to na základě skutečných nákladů .</w:t>
      </w:r>
    </w:p>
    <w:p>
      <w:pPr>
        <w:pStyle w:val="Style2"/>
        <w:keepNext w:val="0"/>
        <w:keepLines w:val="0"/>
        <w:widowControl w:val="0"/>
        <w:shd w:val="clear" w:color="auto" w:fill="auto"/>
        <w:bidi w:val="0"/>
        <w:spacing w:before="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Poměrnou část nákladů na m</w:t>
      </w:r>
      <w:r>
        <w:rPr>
          <w:rFonts w:ascii="Times New Roman" w:eastAsia="Times New Roman" w:hAnsi="Times New Roman" w:cs="Times New Roman"/>
          <w:color w:val="000000"/>
          <w:spacing w:val="0"/>
          <w:w w:val="100"/>
          <w:position w:val="0"/>
          <w:sz w:val="24"/>
          <w:szCs w:val="24"/>
          <w:shd w:val="clear" w:color="auto" w:fill="auto"/>
          <w:vertAlign w:val="superscript"/>
          <w:lang w:val="cs-CZ" w:eastAsia="cs-CZ" w:bidi="cs-CZ"/>
        </w:rPr>
        <w:t>2</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(dle aktuální velikosti pronajatých vnitřních prostorů) za </w:t>
      </w:r>
      <w:r>
        <w:rPr>
          <w:rFonts w:ascii="Times New Roman" w:eastAsia="Times New Roman" w:hAnsi="Times New Roman" w:cs="Times New Roman"/>
          <w:b/>
          <w:bCs/>
          <w:i/>
          <w:iCs/>
          <w:color w:val="000000"/>
          <w:spacing w:val="0"/>
          <w:w w:val="100"/>
          <w:position w:val="0"/>
          <w:sz w:val="24"/>
          <w:szCs w:val="24"/>
          <w:shd w:val="clear" w:color="auto" w:fill="auto"/>
          <w:lang w:val="cs-CZ" w:eastAsia="cs-CZ" w:bidi="cs-CZ"/>
        </w:rPr>
        <w:t>ostrahu areálu</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 měsíčně - dle vyúčtování bezpečnostní agentury</w:t>
      </w:r>
    </w:p>
    <w:p>
      <w:pPr>
        <w:pStyle w:val="Style2"/>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Všechny platby budou nájemcem hrazeny na základě daňových dokladů vystavených pronajímatelem do 15-ti dnů ode dne uskutečnění zdanitelného plnění.</w:t>
      </w:r>
    </w:p>
    <w:p>
      <w:pPr>
        <w:pStyle w:val="Style2"/>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Zdanitelné plnění se bude považovat za uskutečněné:</w:t>
      </w:r>
    </w:p>
    <w:p>
      <w:pPr>
        <w:pStyle w:val="Style2"/>
        <w:keepNext w:val="0"/>
        <w:keepLines w:val="0"/>
        <w:widowControl w:val="0"/>
        <w:numPr>
          <w:ilvl w:val="0"/>
          <w:numId w:val="9"/>
        </w:numPr>
        <w:shd w:val="clear" w:color="auto" w:fill="auto"/>
        <w:tabs>
          <w:tab w:pos="277" w:val="left"/>
        </w:tabs>
        <w:bidi w:val="0"/>
        <w:spacing w:before="0" w:after="0" w:line="240" w:lineRule="auto"/>
        <w:ind w:left="0" w:right="0" w:firstLine="0"/>
        <w:jc w:val="both"/>
      </w:pPr>
      <w:bookmarkStart w:id="24" w:name="bookmark24"/>
      <w:bookmarkEnd w:id="24"/>
      <w:r>
        <w:rPr>
          <w:rFonts w:ascii="Times New Roman" w:eastAsia="Times New Roman" w:hAnsi="Times New Roman" w:cs="Times New Roman"/>
          <w:color w:val="000000"/>
          <w:spacing w:val="0"/>
          <w:w w:val="100"/>
          <w:position w:val="0"/>
          <w:sz w:val="24"/>
          <w:szCs w:val="24"/>
          <w:shd w:val="clear" w:color="auto" w:fill="auto"/>
          <w:lang w:val="cs-CZ" w:eastAsia="cs-CZ" w:bidi="cs-CZ"/>
        </w:rPr>
        <w:t>u nájemného za nebytové prostory - dnem vystavení daňového dokladu v 1. měsíci čtvrtletí</w:t>
      </w:r>
    </w:p>
    <w:p>
      <w:pPr>
        <w:pStyle w:val="Style2"/>
        <w:keepNext w:val="0"/>
        <w:keepLines w:val="0"/>
        <w:widowControl w:val="0"/>
        <w:shd w:val="clear" w:color="auto" w:fill="auto"/>
        <w:bidi w:val="0"/>
        <w:spacing w:before="0" w:after="0" w:line="240" w:lineRule="auto"/>
        <w:ind w:left="0" w:right="0" w:firstLine="30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a při změně pronajímaných prostor do 15 dnů od podepsání dodatku ke smlouvě</w:t>
      </w:r>
    </w:p>
    <w:p>
      <w:pPr>
        <w:pStyle w:val="Style2"/>
        <w:keepNext w:val="0"/>
        <w:keepLines w:val="0"/>
        <w:widowControl w:val="0"/>
        <w:numPr>
          <w:ilvl w:val="0"/>
          <w:numId w:val="9"/>
        </w:numPr>
        <w:shd w:val="clear" w:color="auto" w:fill="auto"/>
        <w:tabs>
          <w:tab w:pos="277" w:val="left"/>
        </w:tabs>
        <w:bidi w:val="0"/>
        <w:spacing w:before="0" w:after="0" w:line="240" w:lineRule="auto"/>
        <w:ind w:left="0" w:right="0" w:firstLine="0"/>
        <w:jc w:val="both"/>
      </w:pPr>
      <w:bookmarkStart w:id="25" w:name="bookmark25"/>
      <w:bookmarkEnd w:id="25"/>
      <w:r>
        <w:rPr>
          <w:rFonts w:ascii="Times New Roman" w:eastAsia="Times New Roman" w:hAnsi="Times New Roman" w:cs="Times New Roman"/>
          <w:color w:val="000000"/>
          <w:spacing w:val="0"/>
          <w:w w:val="100"/>
          <w:position w:val="0"/>
          <w:sz w:val="24"/>
          <w:szCs w:val="24"/>
          <w:shd w:val="clear" w:color="auto" w:fill="auto"/>
          <w:lang w:val="cs-CZ" w:eastAsia="cs-CZ" w:bidi="cs-CZ"/>
        </w:rPr>
        <w:t>u paušálních služeb – posledním dnem kalendářního měsíce,</w:t>
      </w:r>
    </w:p>
    <w:p>
      <w:pPr>
        <w:pStyle w:val="Style2"/>
        <w:keepNext w:val="0"/>
        <w:keepLines w:val="0"/>
        <w:widowControl w:val="0"/>
        <w:numPr>
          <w:ilvl w:val="0"/>
          <w:numId w:val="9"/>
        </w:numPr>
        <w:shd w:val="clear" w:color="auto" w:fill="auto"/>
        <w:tabs>
          <w:tab w:pos="277" w:val="left"/>
        </w:tabs>
        <w:bidi w:val="0"/>
        <w:spacing w:before="0" w:line="240" w:lineRule="auto"/>
        <w:ind w:left="0" w:right="0" w:firstLine="0"/>
        <w:jc w:val="both"/>
      </w:pPr>
      <w:bookmarkStart w:id="26" w:name="bookmark26"/>
      <w:bookmarkEnd w:id="26"/>
      <w:r>
        <w:rPr>
          <w:rFonts w:ascii="Times New Roman" w:eastAsia="Times New Roman" w:hAnsi="Times New Roman" w:cs="Times New Roman"/>
          <w:color w:val="000000"/>
          <w:spacing w:val="0"/>
          <w:w w:val="100"/>
          <w:position w:val="0"/>
          <w:sz w:val="24"/>
          <w:szCs w:val="24"/>
          <w:shd w:val="clear" w:color="auto" w:fill="auto"/>
          <w:lang w:val="cs-CZ" w:eastAsia="cs-CZ" w:bidi="cs-CZ"/>
        </w:rPr>
        <w:t>u ostatních služeb – dnem zjištění přeúčtované částky.</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K fakturovaným cenám bude připočtena DPH podle zákona č.235/2004 Sb. v platném znění. Včasnost úhrady nájemného a služeb je zajištěna smluvní pokutou ve výši 0,3% z dlužné částky za každý den prodlení, a to i pro případ, že by byla zaplacena třeba část nájemného nebo služeb.</w:t>
      </w:r>
    </w:p>
    <w:p>
      <w:pPr>
        <w:pStyle w:val="Style2"/>
        <w:keepNext w:val="0"/>
        <w:keepLines w:val="0"/>
        <w:widowControl w:val="0"/>
        <w:numPr>
          <w:ilvl w:val="0"/>
          <w:numId w:val="7"/>
        </w:numPr>
        <w:shd w:val="clear" w:color="auto" w:fill="auto"/>
        <w:tabs>
          <w:tab w:pos="373" w:val="left"/>
        </w:tabs>
        <w:bidi w:val="0"/>
        <w:spacing w:before="0" w:after="0" w:line="240" w:lineRule="auto"/>
        <w:ind w:left="0" w:right="0" w:firstLine="0"/>
        <w:jc w:val="left"/>
      </w:pPr>
      <w:bookmarkStart w:id="27" w:name="bookmark27"/>
      <w:bookmarkEnd w:id="27"/>
      <w:r>
        <w:rPr>
          <w:rFonts w:ascii="Times New Roman" w:eastAsia="Times New Roman" w:hAnsi="Times New Roman" w:cs="Times New Roman"/>
          <w:color w:val="000000"/>
          <w:spacing w:val="0"/>
          <w:w w:val="100"/>
          <w:position w:val="0"/>
          <w:sz w:val="24"/>
          <w:szCs w:val="24"/>
          <w:shd w:val="clear" w:color="auto" w:fill="auto"/>
          <w:lang w:val="cs-CZ" w:eastAsia="cs-CZ" w:bidi="cs-CZ"/>
        </w:rPr>
        <w:t>případě ukončení nájemního vztahu bude mezi oběma stranami provedeno finanční vyrovnání.</w:t>
      </w:r>
    </w:p>
    <w:p>
      <w:pPr>
        <w:pStyle w:val="Style2"/>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Zaplacením nájemného se rozumí připsání finanční částky na účet pronajímatele. Úhrada tedy bude prováděna bezhotovostním způsobem, převodem z účtu nájemce na účet pronajímatele na základě faktury – daňového dokladu vystaveného pronajímatelem.</w:t>
      </w:r>
    </w:p>
    <w:p>
      <w:pPr>
        <w:pStyle w:val="Style2"/>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se v případě pozdní úhrady nájemného a služeb zavazuje zaplatit smluvní pokutu ve výši 0,3 % z částky včas nezaplacené za každý den prodlení, a to i v případě, že by byla zaplacena třeba jen část nájemného nebo služeb.</w:t>
      </w:r>
    </w:p>
    <w:p>
      <w:pPr>
        <w:pStyle w:val="Style2"/>
        <w:keepNext w:val="0"/>
        <w:keepLines w:val="0"/>
        <w:widowControl w:val="0"/>
        <w:shd w:val="clear" w:color="auto" w:fill="auto"/>
        <w:bidi w:val="0"/>
        <w:spacing w:before="0" w:after="48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Výše úhrady nájemného bude každoročně upravována podle roční míry inflace za předcházející rok, měřené indexem spotřebitelských cen dle Českého statistického úřadu. Tato </w:t>
      </w:r>
      <w:r>
        <w:rPr>
          <w:rFonts w:ascii="Times New Roman" w:eastAsia="Times New Roman" w:hAnsi="Times New Roman" w:cs="Times New Roman"/>
          <w:color w:val="000000"/>
          <w:spacing w:val="0"/>
          <w:w w:val="100"/>
          <w:position w:val="0"/>
          <w:sz w:val="24"/>
          <w:szCs w:val="24"/>
          <w:shd w:val="clear" w:color="auto" w:fill="auto"/>
          <w:lang w:val="cs-CZ" w:eastAsia="cs-CZ" w:bidi="cs-CZ"/>
        </w:rPr>
        <w:t>změna bude realizována o plnou výši inflace, a to automaticky po vyhlášení indexu ČSÚ, a to zpětně vždy k 1.1. daného roku, v němž byl index vyhlášen.</w:t>
      </w:r>
    </w:p>
    <w:p>
      <w:pPr>
        <w:pStyle w:val="Style2"/>
        <w:keepNext w:val="0"/>
        <w:keepLines w:val="0"/>
        <w:widowControl w:val="0"/>
        <w:numPr>
          <w:ilvl w:val="0"/>
          <w:numId w:val="1"/>
        </w:numPr>
        <w:shd w:val="clear" w:color="auto" w:fill="auto"/>
        <w:tabs>
          <w:tab w:pos="558" w:val="left"/>
        </w:tabs>
        <w:bidi w:val="0"/>
        <w:spacing w:before="0" w:line="240" w:lineRule="auto"/>
        <w:ind w:left="0" w:right="0" w:firstLine="0"/>
        <w:jc w:val="center"/>
      </w:pPr>
      <w:bookmarkStart w:id="28" w:name="bookmark28"/>
      <w:bookmarkEnd w:id="28"/>
      <w:r>
        <w:rPr>
          <w:rFonts w:ascii="Times New Roman" w:eastAsia="Times New Roman" w:hAnsi="Times New Roman" w:cs="Times New Roman"/>
          <w:b/>
          <w:bCs/>
          <w:color w:val="000000"/>
          <w:spacing w:val="0"/>
          <w:w w:val="100"/>
          <w:position w:val="0"/>
          <w:sz w:val="24"/>
          <w:szCs w:val="24"/>
          <w:shd w:val="clear" w:color="auto" w:fill="auto"/>
          <w:lang w:val="cs-CZ" w:eastAsia="cs-CZ" w:bidi="cs-CZ"/>
        </w:rPr>
        <w:t>Doba nájmu</w:t>
      </w:r>
    </w:p>
    <w:p>
      <w:pPr>
        <w:pStyle w:val="Style2"/>
        <w:keepNext w:val="0"/>
        <w:keepLines w:val="0"/>
        <w:widowControl w:val="0"/>
        <w:numPr>
          <w:ilvl w:val="0"/>
          <w:numId w:val="11"/>
        </w:numPr>
        <w:shd w:val="clear" w:color="auto" w:fill="auto"/>
        <w:tabs>
          <w:tab w:pos="378" w:val="left"/>
        </w:tabs>
        <w:bidi w:val="0"/>
        <w:spacing w:before="0" w:line="240" w:lineRule="auto"/>
        <w:ind w:left="0" w:right="0" w:firstLine="0"/>
        <w:jc w:val="both"/>
      </w:pPr>
      <w:bookmarkStart w:id="29" w:name="bookmark29"/>
      <w:bookmarkEnd w:id="29"/>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Nájemní vztah se sjednává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na dobu určitou 5 let, tj. od 1.1.2025 do 31.12.2029</w:t>
      </w:r>
      <w:r>
        <w:rPr>
          <w:rFonts w:ascii="Times New Roman" w:eastAsia="Times New Roman" w:hAnsi="Times New Roman" w:cs="Times New Roman"/>
          <w:color w:val="000000"/>
          <w:spacing w:val="0"/>
          <w:w w:val="100"/>
          <w:position w:val="0"/>
          <w:sz w:val="24"/>
          <w:szCs w:val="24"/>
          <w:shd w:val="clear" w:color="auto" w:fill="auto"/>
          <w:lang w:val="cs-CZ" w:eastAsia="cs-CZ" w:bidi="cs-CZ"/>
        </w:rPr>
        <w:t>.</w:t>
      </w:r>
    </w:p>
    <w:p>
      <w:pPr>
        <w:pStyle w:val="Style2"/>
        <w:keepNext w:val="0"/>
        <w:keepLines w:val="0"/>
        <w:widowControl w:val="0"/>
        <w:numPr>
          <w:ilvl w:val="0"/>
          <w:numId w:val="11"/>
        </w:numPr>
        <w:shd w:val="clear" w:color="auto" w:fill="auto"/>
        <w:tabs>
          <w:tab w:pos="378" w:val="left"/>
        </w:tabs>
        <w:bidi w:val="0"/>
        <w:spacing w:before="0" w:line="240" w:lineRule="auto"/>
        <w:ind w:left="0" w:right="0" w:firstLine="0"/>
        <w:jc w:val="both"/>
      </w:pPr>
      <w:bookmarkStart w:id="30" w:name="bookmark30"/>
      <w:bookmarkEnd w:id="30"/>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může jednostranně vypovědět nájemní vztah v těchto případech:</w:t>
      </w:r>
    </w:p>
    <w:p>
      <w:pPr>
        <w:pStyle w:val="Style2"/>
        <w:keepNext w:val="0"/>
        <w:keepLines w:val="0"/>
        <w:widowControl w:val="0"/>
        <w:numPr>
          <w:ilvl w:val="0"/>
          <w:numId w:val="13"/>
        </w:numPr>
        <w:shd w:val="clear" w:color="auto" w:fill="auto"/>
        <w:tabs>
          <w:tab w:pos="647" w:val="left"/>
        </w:tabs>
        <w:bidi w:val="0"/>
        <w:spacing w:before="0" w:line="240" w:lineRule="auto"/>
        <w:ind w:left="0" w:right="0" w:firstLine="260"/>
        <w:jc w:val="both"/>
      </w:pPr>
      <w:bookmarkStart w:id="31" w:name="bookmark31"/>
      <w:bookmarkEnd w:id="31"/>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ztratí způsobilost k provozování předmětu své činnosti</w:t>
      </w:r>
    </w:p>
    <w:p>
      <w:pPr>
        <w:pStyle w:val="Style2"/>
        <w:keepNext w:val="0"/>
        <w:keepLines w:val="0"/>
        <w:widowControl w:val="0"/>
        <w:numPr>
          <w:ilvl w:val="0"/>
          <w:numId w:val="13"/>
        </w:numPr>
        <w:shd w:val="clear" w:color="auto" w:fill="auto"/>
        <w:tabs>
          <w:tab w:pos="662" w:val="left"/>
        </w:tabs>
        <w:bidi w:val="0"/>
        <w:spacing w:before="0" w:line="240" w:lineRule="auto"/>
        <w:ind w:left="0" w:right="0" w:firstLine="260"/>
        <w:jc w:val="both"/>
      </w:pPr>
      <w:bookmarkStart w:id="32" w:name="bookmark32"/>
      <w:bookmarkEnd w:id="32"/>
      <w:r>
        <w:rPr>
          <w:rFonts w:ascii="Times New Roman" w:eastAsia="Times New Roman" w:hAnsi="Times New Roman" w:cs="Times New Roman"/>
          <w:color w:val="000000"/>
          <w:spacing w:val="0"/>
          <w:w w:val="100"/>
          <w:position w:val="0"/>
          <w:sz w:val="24"/>
          <w:szCs w:val="24"/>
          <w:shd w:val="clear" w:color="auto" w:fill="auto"/>
          <w:lang w:val="cs-CZ" w:eastAsia="cs-CZ" w:bidi="cs-CZ"/>
        </w:rPr>
        <w:t>předmět nájmu se stane bez zavinění nájemce nezpůsobilý ke smluvenému užívání;</w:t>
      </w:r>
    </w:p>
    <w:p>
      <w:pPr>
        <w:pStyle w:val="Style2"/>
        <w:keepNext w:val="0"/>
        <w:keepLines w:val="0"/>
        <w:widowControl w:val="0"/>
        <w:numPr>
          <w:ilvl w:val="0"/>
          <w:numId w:val="13"/>
        </w:numPr>
        <w:shd w:val="clear" w:color="auto" w:fill="auto"/>
        <w:tabs>
          <w:tab w:pos="662" w:val="left"/>
        </w:tabs>
        <w:bidi w:val="0"/>
        <w:spacing w:before="0" w:line="240" w:lineRule="auto"/>
        <w:ind w:left="260" w:right="0" w:firstLine="20"/>
        <w:jc w:val="both"/>
      </w:pPr>
      <w:bookmarkStart w:id="33" w:name="bookmark33"/>
      <w:bookmarkEnd w:id="33"/>
      <w:r>
        <w:rPr>
          <w:rFonts w:ascii="Times New Roman" w:eastAsia="Times New Roman" w:hAnsi="Times New Roman" w:cs="Times New Roman"/>
          <w:color w:val="000000"/>
          <w:spacing w:val="0"/>
          <w:w w:val="100"/>
          <w:position w:val="0"/>
          <w:sz w:val="24"/>
          <w:szCs w:val="24"/>
          <w:shd w:val="clear" w:color="auto" w:fill="auto"/>
          <w:lang w:val="cs-CZ" w:eastAsia="cs-CZ" w:bidi="cs-CZ"/>
        </w:rPr>
        <w:t>pronajímatel opakovaně hrubě porušuje své povinnosti vyplývající z právních předpisů a z této smlouvy.</w:t>
      </w:r>
    </w:p>
    <w:p>
      <w:pPr>
        <w:pStyle w:val="Style2"/>
        <w:keepNext w:val="0"/>
        <w:keepLines w:val="0"/>
        <w:widowControl w:val="0"/>
        <w:numPr>
          <w:ilvl w:val="0"/>
          <w:numId w:val="11"/>
        </w:numPr>
        <w:shd w:val="clear" w:color="auto" w:fill="auto"/>
        <w:tabs>
          <w:tab w:pos="378" w:val="left"/>
        </w:tabs>
        <w:bidi w:val="0"/>
        <w:spacing w:before="0" w:line="240" w:lineRule="auto"/>
        <w:ind w:left="0" w:right="0" w:firstLine="0"/>
        <w:jc w:val="both"/>
      </w:pPr>
      <w:bookmarkStart w:id="34" w:name="bookmark34"/>
      <w:bookmarkEnd w:id="34"/>
      <w:r>
        <w:rPr>
          <w:rFonts w:ascii="Times New Roman" w:eastAsia="Times New Roman" w:hAnsi="Times New Roman" w:cs="Times New Roman"/>
          <w:color w:val="000000"/>
          <w:spacing w:val="0"/>
          <w:w w:val="100"/>
          <w:position w:val="0"/>
          <w:sz w:val="24"/>
          <w:szCs w:val="24"/>
          <w:shd w:val="clear" w:color="auto" w:fill="auto"/>
          <w:lang w:val="cs-CZ" w:eastAsia="cs-CZ" w:bidi="cs-CZ"/>
        </w:rPr>
        <w:t>Pronajímatel může jednostranně vypovědět nájemní vztah z těchto důvodů:</w:t>
      </w:r>
    </w:p>
    <w:p>
      <w:pPr>
        <w:pStyle w:val="Style2"/>
        <w:keepNext w:val="0"/>
        <w:keepLines w:val="0"/>
        <w:widowControl w:val="0"/>
        <w:numPr>
          <w:ilvl w:val="0"/>
          <w:numId w:val="15"/>
        </w:numPr>
        <w:shd w:val="clear" w:color="auto" w:fill="auto"/>
        <w:tabs>
          <w:tab w:pos="647" w:val="left"/>
        </w:tabs>
        <w:bidi w:val="0"/>
        <w:spacing w:before="0" w:line="240" w:lineRule="auto"/>
        <w:ind w:left="0" w:right="0" w:firstLine="260"/>
        <w:jc w:val="both"/>
      </w:pPr>
      <w:bookmarkStart w:id="35" w:name="bookmark35"/>
      <w:bookmarkEnd w:id="35"/>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užívá předmět nájmu v rozporu se smlouvou;</w:t>
      </w:r>
    </w:p>
    <w:p>
      <w:pPr>
        <w:pStyle w:val="Style2"/>
        <w:keepNext w:val="0"/>
        <w:keepLines w:val="0"/>
        <w:widowControl w:val="0"/>
        <w:numPr>
          <w:ilvl w:val="0"/>
          <w:numId w:val="15"/>
        </w:numPr>
        <w:shd w:val="clear" w:color="auto" w:fill="auto"/>
        <w:tabs>
          <w:tab w:pos="662" w:val="left"/>
        </w:tabs>
        <w:bidi w:val="0"/>
        <w:spacing w:before="0" w:line="240" w:lineRule="auto"/>
        <w:ind w:left="260" w:right="0" w:firstLine="20"/>
        <w:jc w:val="both"/>
      </w:pPr>
      <w:bookmarkStart w:id="36" w:name="bookmark36"/>
      <w:bookmarkEnd w:id="36"/>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je o více než jeden měsíc v prodlení s placením nájemného nebo úhrady za služby, jejichž poskytování je spojeno s nájmem;</w:t>
      </w:r>
    </w:p>
    <w:p>
      <w:pPr>
        <w:pStyle w:val="Style2"/>
        <w:keepNext w:val="0"/>
        <w:keepLines w:val="0"/>
        <w:widowControl w:val="0"/>
        <w:numPr>
          <w:ilvl w:val="0"/>
          <w:numId w:val="15"/>
        </w:numPr>
        <w:shd w:val="clear" w:color="auto" w:fill="auto"/>
        <w:tabs>
          <w:tab w:pos="662" w:val="left"/>
        </w:tabs>
        <w:bidi w:val="0"/>
        <w:spacing w:before="0" w:line="240" w:lineRule="auto"/>
        <w:ind w:left="260" w:right="0" w:firstLine="20"/>
        <w:jc w:val="both"/>
      </w:pPr>
      <w:bookmarkStart w:id="37" w:name="bookmark37"/>
      <w:bookmarkEnd w:id="37"/>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nebo osoby, které s ním užívají předmět nájmu, přes písemné upozornění hrubě porušují klid nebo pořádek;</w:t>
      </w:r>
    </w:p>
    <w:p>
      <w:pPr>
        <w:pStyle w:val="Style2"/>
        <w:keepNext w:val="0"/>
        <w:keepLines w:val="0"/>
        <w:widowControl w:val="0"/>
        <w:numPr>
          <w:ilvl w:val="0"/>
          <w:numId w:val="15"/>
        </w:numPr>
        <w:shd w:val="clear" w:color="auto" w:fill="auto"/>
        <w:tabs>
          <w:tab w:pos="662" w:val="left"/>
        </w:tabs>
        <w:bidi w:val="0"/>
        <w:spacing w:before="0" w:line="240" w:lineRule="auto"/>
        <w:ind w:left="260" w:right="0" w:firstLine="20"/>
        <w:jc w:val="both"/>
      </w:pPr>
      <w:bookmarkStart w:id="38" w:name="bookmark38"/>
      <w:bookmarkEnd w:id="38"/>
      <w:r>
        <w:rPr>
          <w:rFonts w:ascii="Times New Roman" w:eastAsia="Times New Roman" w:hAnsi="Times New Roman" w:cs="Times New Roman"/>
          <w:color w:val="000000"/>
          <w:spacing w:val="0"/>
          <w:w w:val="100"/>
          <w:position w:val="0"/>
          <w:sz w:val="24"/>
          <w:szCs w:val="24"/>
          <w:shd w:val="clear" w:color="auto" w:fill="auto"/>
          <w:lang w:val="cs-CZ" w:eastAsia="cs-CZ" w:bidi="cs-CZ"/>
        </w:rPr>
        <w:t>bylo rozhodnuto o odstranění stavby nebo o změnách stavby, jež brání užívání předmětu nájmu;</w:t>
      </w:r>
    </w:p>
    <w:p>
      <w:pPr>
        <w:pStyle w:val="Style2"/>
        <w:keepNext w:val="0"/>
        <w:keepLines w:val="0"/>
        <w:widowControl w:val="0"/>
        <w:numPr>
          <w:ilvl w:val="0"/>
          <w:numId w:val="15"/>
        </w:numPr>
        <w:shd w:val="clear" w:color="auto" w:fill="auto"/>
        <w:tabs>
          <w:tab w:pos="662" w:val="left"/>
        </w:tabs>
        <w:bidi w:val="0"/>
        <w:spacing w:before="0" w:line="240" w:lineRule="auto"/>
        <w:ind w:left="260" w:right="0" w:firstLine="20"/>
        <w:jc w:val="both"/>
      </w:pPr>
      <w:bookmarkStart w:id="39" w:name="bookmark39"/>
      <w:bookmarkEnd w:id="39"/>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přenechá předmět nájmu nebo jeho část do podnájmu bez předchozího písemného souhlasu pronajímatele;</w:t>
      </w:r>
    </w:p>
    <w:p>
      <w:pPr>
        <w:pStyle w:val="Style2"/>
        <w:keepNext w:val="0"/>
        <w:keepLines w:val="0"/>
        <w:widowControl w:val="0"/>
        <w:numPr>
          <w:ilvl w:val="0"/>
          <w:numId w:val="15"/>
        </w:numPr>
        <w:shd w:val="clear" w:color="auto" w:fill="auto"/>
        <w:tabs>
          <w:tab w:pos="647" w:val="left"/>
        </w:tabs>
        <w:bidi w:val="0"/>
        <w:spacing w:before="0" w:line="240" w:lineRule="auto"/>
        <w:ind w:left="260" w:right="0" w:firstLine="20"/>
        <w:jc w:val="both"/>
      </w:pPr>
      <w:bookmarkStart w:id="40" w:name="bookmark40"/>
      <w:bookmarkEnd w:id="40"/>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změnil v provozovně předmět podnikání bez předchozího souhlasu pronajímatele,</w:t>
      </w:r>
    </w:p>
    <w:p>
      <w:pPr>
        <w:pStyle w:val="Style2"/>
        <w:keepNext w:val="0"/>
        <w:keepLines w:val="0"/>
        <w:widowControl w:val="0"/>
        <w:numPr>
          <w:ilvl w:val="0"/>
          <w:numId w:val="15"/>
        </w:numPr>
        <w:shd w:val="clear" w:color="auto" w:fill="auto"/>
        <w:tabs>
          <w:tab w:pos="662" w:val="left"/>
        </w:tabs>
        <w:bidi w:val="0"/>
        <w:spacing w:before="0" w:line="240" w:lineRule="auto"/>
        <w:ind w:left="260" w:right="0" w:firstLine="20"/>
        <w:jc w:val="both"/>
      </w:pPr>
      <w:bookmarkStart w:id="41" w:name="bookmark41"/>
      <w:bookmarkEnd w:id="41"/>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opakovaně porušil své povinnosti stanovené touto smlouvou, zejména v čl. VII smlouvy.</w:t>
      </w:r>
    </w:p>
    <w:p>
      <w:pPr>
        <w:pStyle w:val="Style2"/>
        <w:keepNext w:val="0"/>
        <w:keepLines w:val="0"/>
        <w:widowControl w:val="0"/>
        <w:numPr>
          <w:ilvl w:val="0"/>
          <w:numId w:val="11"/>
        </w:numPr>
        <w:shd w:val="clear" w:color="auto" w:fill="auto"/>
        <w:tabs>
          <w:tab w:pos="378" w:val="left"/>
        </w:tabs>
        <w:bidi w:val="0"/>
        <w:spacing w:before="0" w:line="240" w:lineRule="auto"/>
        <w:ind w:left="260" w:right="0" w:hanging="260"/>
        <w:jc w:val="both"/>
      </w:pPr>
      <w:bookmarkStart w:id="42" w:name="bookmark42"/>
      <w:bookmarkEnd w:id="42"/>
      <w:r>
        <w:rPr>
          <w:rFonts w:ascii="Times New Roman" w:eastAsia="Times New Roman" w:hAnsi="Times New Roman" w:cs="Times New Roman"/>
          <w:color w:val="000000"/>
          <w:spacing w:val="0"/>
          <w:w w:val="100"/>
          <w:position w:val="0"/>
          <w:sz w:val="24"/>
          <w:szCs w:val="24"/>
          <w:shd w:val="clear" w:color="auto" w:fill="auto"/>
          <w:lang w:val="cs-CZ" w:eastAsia="cs-CZ" w:bidi="cs-CZ"/>
        </w:rPr>
        <w:t>Výpovědní doba je tříměsíční a počíná běžet první den měsíce následujícího po doručení výpovědi.</w:t>
      </w:r>
    </w:p>
    <w:p>
      <w:pPr>
        <w:pStyle w:val="Style2"/>
        <w:keepNext w:val="0"/>
        <w:keepLines w:val="0"/>
        <w:widowControl w:val="0"/>
        <w:numPr>
          <w:ilvl w:val="0"/>
          <w:numId w:val="11"/>
        </w:numPr>
        <w:shd w:val="clear" w:color="auto" w:fill="auto"/>
        <w:tabs>
          <w:tab w:pos="378" w:val="left"/>
        </w:tabs>
        <w:bidi w:val="0"/>
        <w:spacing w:before="0" w:line="240" w:lineRule="auto"/>
        <w:ind w:left="0" w:right="0" w:firstLine="0"/>
        <w:jc w:val="both"/>
      </w:pPr>
      <w:bookmarkStart w:id="43" w:name="bookmark43"/>
      <w:bookmarkEnd w:id="43"/>
      <w:r>
        <w:rPr>
          <w:rFonts w:ascii="Times New Roman" w:eastAsia="Times New Roman" w:hAnsi="Times New Roman" w:cs="Times New Roman"/>
          <w:color w:val="000000"/>
          <w:spacing w:val="0"/>
          <w:w w:val="100"/>
          <w:position w:val="0"/>
          <w:sz w:val="24"/>
          <w:szCs w:val="24"/>
          <w:shd w:val="clear" w:color="auto" w:fill="auto"/>
          <w:lang w:val="cs-CZ" w:eastAsia="cs-CZ" w:bidi="cs-CZ"/>
        </w:rPr>
        <w:t>Nájemní vztah lze ukončit dohodou stran kdykoliv.</w:t>
      </w:r>
    </w:p>
    <w:p>
      <w:pPr>
        <w:pStyle w:val="Style2"/>
        <w:keepNext w:val="0"/>
        <w:keepLines w:val="0"/>
        <w:widowControl w:val="0"/>
        <w:numPr>
          <w:ilvl w:val="0"/>
          <w:numId w:val="11"/>
        </w:numPr>
        <w:shd w:val="clear" w:color="auto" w:fill="auto"/>
        <w:tabs>
          <w:tab w:pos="378" w:val="left"/>
        </w:tabs>
        <w:bidi w:val="0"/>
        <w:spacing w:before="0" w:line="240" w:lineRule="auto"/>
        <w:ind w:left="260" w:right="0" w:hanging="260"/>
        <w:jc w:val="both"/>
      </w:pPr>
      <w:bookmarkStart w:id="44" w:name="bookmark44"/>
      <w:bookmarkEnd w:id="44"/>
      <w:r>
        <w:rPr>
          <w:rFonts w:ascii="Times New Roman" w:eastAsia="Times New Roman" w:hAnsi="Times New Roman" w:cs="Times New Roman"/>
          <w:color w:val="000000"/>
          <w:spacing w:val="0"/>
          <w:w w:val="100"/>
          <w:position w:val="0"/>
          <w:sz w:val="24"/>
          <w:szCs w:val="24"/>
          <w:shd w:val="clear" w:color="auto" w:fill="auto"/>
          <w:lang w:val="cs-CZ" w:eastAsia="cs-CZ" w:bidi="cs-CZ"/>
        </w:rPr>
        <w:t>Pronajímatel je oprávněn kdykoliv odstoupit od smlouvy, bude-li nájemce i po písemné výstraze pronajaté prostory a věci užívat takovým způsobem, že pronajímateli vzniká škoda nebo že mu bude hrozit značná škoda.</w:t>
      </w:r>
    </w:p>
    <w:p>
      <w:pPr>
        <w:pStyle w:val="Style2"/>
        <w:keepNext w:val="0"/>
        <w:keepLines w:val="0"/>
        <w:widowControl w:val="0"/>
        <w:numPr>
          <w:ilvl w:val="0"/>
          <w:numId w:val="11"/>
        </w:numPr>
        <w:shd w:val="clear" w:color="auto" w:fill="auto"/>
        <w:tabs>
          <w:tab w:pos="378" w:val="left"/>
        </w:tabs>
        <w:bidi w:val="0"/>
        <w:spacing w:before="0" w:line="240" w:lineRule="auto"/>
        <w:ind w:left="260" w:right="0" w:hanging="260"/>
        <w:jc w:val="both"/>
      </w:pPr>
      <w:bookmarkStart w:id="45" w:name="bookmark45"/>
      <w:bookmarkEnd w:id="45"/>
      <w:r>
        <w:rPr>
          <w:rFonts w:ascii="Times New Roman" w:eastAsia="Times New Roman" w:hAnsi="Times New Roman" w:cs="Times New Roman"/>
          <w:color w:val="000000"/>
          <w:spacing w:val="0"/>
          <w:w w:val="100"/>
          <w:position w:val="0"/>
          <w:sz w:val="24"/>
          <w:szCs w:val="24"/>
          <w:shd w:val="clear" w:color="auto" w:fill="auto"/>
          <w:lang w:val="cs-CZ" w:eastAsia="cs-CZ" w:bidi="cs-CZ"/>
        </w:rPr>
        <w:t>Předmět nájmu je nájemce povinen zcela vyklidit a uvolnit a předat pronajímateli nejpozději k poslednímu dni výpovědní lhůty nebo ke dni podle dohody, a to pod smluvní pokutou 1 000,- Kč denně za každý den při prodlení s vyklizením nebytových prostor a jejich předáním pronajímateli.</w:t>
      </w:r>
    </w:p>
    <w:p>
      <w:pPr>
        <w:pStyle w:val="Style2"/>
        <w:keepNext w:val="0"/>
        <w:keepLines w:val="0"/>
        <w:widowControl w:val="0"/>
        <w:numPr>
          <w:ilvl w:val="0"/>
          <w:numId w:val="11"/>
        </w:numPr>
        <w:shd w:val="clear" w:color="auto" w:fill="auto"/>
        <w:tabs>
          <w:tab w:pos="348" w:val="left"/>
        </w:tabs>
        <w:bidi w:val="0"/>
        <w:spacing w:before="0" w:line="240" w:lineRule="auto"/>
        <w:ind w:left="280" w:right="0" w:hanging="280"/>
        <w:jc w:val="both"/>
      </w:pPr>
      <w:bookmarkStart w:id="46" w:name="bookmark46"/>
      <w:bookmarkEnd w:id="46"/>
      <w:r>
        <w:rPr>
          <w:rFonts w:ascii="Times New Roman" w:eastAsia="Times New Roman" w:hAnsi="Times New Roman" w:cs="Times New Roman"/>
          <w:color w:val="000000"/>
          <w:spacing w:val="0"/>
          <w:w w:val="100"/>
          <w:position w:val="0"/>
          <w:sz w:val="24"/>
          <w:szCs w:val="24"/>
          <w:shd w:val="clear" w:color="auto" w:fill="auto"/>
          <w:lang w:val="cs-CZ" w:eastAsia="cs-CZ" w:bidi="cs-CZ"/>
        </w:rPr>
        <w:t>Uvolněním a vyklizením předmětu nájmu nájemcem se rozumí odstranění všech movitých věcí a zařízení vložených nájemcem tj. veškerá zařízení, nástroje, přístroje, materiál a nábytek, který nebyl součástí pronajatých prostor.</w:t>
      </w:r>
    </w:p>
    <w:p>
      <w:pPr>
        <w:pStyle w:val="Style2"/>
        <w:keepNext w:val="0"/>
        <w:keepLines w:val="0"/>
        <w:widowControl w:val="0"/>
        <w:numPr>
          <w:ilvl w:val="0"/>
          <w:numId w:val="11"/>
        </w:numPr>
        <w:shd w:val="clear" w:color="auto" w:fill="auto"/>
        <w:tabs>
          <w:tab w:pos="348" w:val="left"/>
        </w:tabs>
        <w:bidi w:val="0"/>
        <w:spacing w:before="0" w:line="240" w:lineRule="auto"/>
        <w:ind w:left="360" w:right="0" w:hanging="360"/>
        <w:jc w:val="both"/>
      </w:pPr>
      <w:bookmarkStart w:id="47" w:name="bookmark47"/>
      <w:bookmarkEnd w:id="47"/>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pokuta dle odst. 7 tohoto článku bude nájemcem uhrazena vedle nájemného a platby za služby.</w:t>
      </w:r>
    </w:p>
    <w:p>
      <w:pPr>
        <w:pStyle w:val="Style2"/>
        <w:keepNext w:val="0"/>
        <w:keepLines w:val="0"/>
        <w:widowControl w:val="0"/>
        <w:numPr>
          <w:ilvl w:val="0"/>
          <w:numId w:val="11"/>
        </w:numPr>
        <w:shd w:val="clear" w:color="auto" w:fill="auto"/>
        <w:tabs>
          <w:tab w:pos="468" w:val="left"/>
        </w:tabs>
        <w:bidi w:val="0"/>
        <w:spacing w:before="0" w:line="240" w:lineRule="auto"/>
        <w:ind w:left="0" w:right="0" w:firstLine="0"/>
        <w:jc w:val="both"/>
      </w:pPr>
      <w:bookmarkStart w:id="48" w:name="bookmark48"/>
      <w:bookmarkEnd w:id="48"/>
      <w:r>
        <w:rPr>
          <w:rFonts w:ascii="Times New Roman" w:eastAsia="Times New Roman" w:hAnsi="Times New Roman" w:cs="Times New Roman"/>
          <w:color w:val="000000"/>
          <w:spacing w:val="0"/>
          <w:w w:val="100"/>
          <w:position w:val="0"/>
          <w:sz w:val="24"/>
          <w:szCs w:val="24"/>
          <w:shd w:val="clear" w:color="auto" w:fill="auto"/>
          <w:lang w:val="cs-CZ" w:eastAsia="cs-CZ" w:bidi="cs-CZ"/>
        </w:rPr>
        <w:t>Předaný předmět nájmu bude uklizený.</w:t>
      </w:r>
    </w:p>
    <w:p>
      <w:pPr>
        <w:pStyle w:val="Style2"/>
        <w:keepNext w:val="0"/>
        <w:keepLines w:val="0"/>
        <w:widowControl w:val="0"/>
        <w:numPr>
          <w:ilvl w:val="0"/>
          <w:numId w:val="11"/>
        </w:numPr>
        <w:shd w:val="clear" w:color="auto" w:fill="auto"/>
        <w:tabs>
          <w:tab w:pos="468" w:val="left"/>
        </w:tabs>
        <w:bidi w:val="0"/>
        <w:spacing w:before="0" w:line="240" w:lineRule="auto"/>
        <w:ind w:left="360" w:right="0" w:hanging="360"/>
        <w:jc w:val="both"/>
      </w:pPr>
      <w:bookmarkStart w:id="49" w:name="bookmark49"/>
      <w:bookmarkEnd w:id="49"/>
      <w:r>
        <w:rPr>
          <w:rFonts w:ascii="Times New Roman" w:eastAsia="Times New Roman" w:hAnsi="Times New Roman" w:cs="Times New Roman"/>
          <w:color w:val="000000"/>
          <w:spacing w:val="0"/>
          <w:w w:val="100"/>
          <w:position w:val="0"/>
          <w:sz w:val="24"/>
          <w:szCs w:val="24"/>
          <w:shd w:val="clear" w:color="auto" w:fill="auto"/>
          <w:lang w:val="cs-CZ" w:eastAsia="cs-CZ" w:bidi="cs-CZ"/>
        </w:rPr>
        <w:t>V případě, že nájemce úklid před předáním nezajistí nebo zajistí nekvalitně, zavazuje se nájemce zaplatit smluvní pokutu za neuklizení ve výši 15 000 Kč.</w:t>
      </w:r>
    </w:p>
    <w:p>
      <w:pPr>
        <w:pStyle w:val="Style2"/>
        <w:keepNext w:val="0"/>
        <w:keepLines w:val="0"/>
        <w:widowControl w:val="0"/>
        <w:numPr>
          <w:ilvl w:val="0"/>
          <w:numId w:val="11"/>
        </w:numPr>
        <w:shd w:val="clear" w:color="auto" w:fill="auto"/>
        <w:tabs>
          <w:tab w:pos="468" w:val="left"/>
        </w:tabs>
        <w:bidi w:val="0"/>
        <w:spacing w:before="0" w:after="500" w:line="240" w:lineRule="auto"/>
        <w:ind w:left="360" w:right="0" w:hanging="360"/>
        <w:jc w:val="both"/>
      </w:pPr>
      <w:bookmarkStart w:id="50" w:name="bookmark50"/>
      <w:bookmarkEnd w:id="50"/>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si výslovně ujednaly vyloučení automatického znovu uzavření této smlouvy tak, že tato smlouva se znovu neuzavírá za podmínek ujednaných původně dle pravidel uvedených v ust. § 2230 odst. 1 obč. zák., užívá-li nájemce předmět nájmu i po uplynutí nájemní doby či ukončení nájemního vztahu a pronajímatel ho do jednoho měsíce nevyzval, aby mu předmět nájmu odevzdal.</w:t>
      </w:r>
    </w:p>
    <w:p>
      <w:pPr>
        <w:pStyle w:val="Style2"/>
        <w:keepNext w:val="0"/>
        <w:keepLines w:val="0"/>
        <w:widowControl w:val="0"/>
        <w:numPr>
          <w:ilvl w:val="0"/>
          <w:numId w:val="1"/>
        </w:numPr>
        <w:shd w:val="clear" w:color="auto" w:fill="auto"/>
        <w:tabs>
          <w:tab w:pos="588" w:val="left"/>
        </w:tabs>
        <w:bidi w:val="0"/>
        <w:spacing w:before="0" w:line="240" w:lineRule="auto"/>
        <w:ind w:left="0" w:right="0" w:firstLine="0"/>
        <w:jc w:val="center"/>
      </w:pPr>
      <w:bookmarkStart w:id="51" w:name="bookmark51"/>
      <w:bookmarkEnd w:id="51"/>
      <w:r>
        <w:rPr>
          <w:rFonts w:ascii="Times New Roman" w:eastAsia="Times New Roman" w:hAnsi="Times New Roman" w:cs="Times New Roman"/>
          <w:b/>
          <w:bCs/>
          <w:color w:val="000000"/>
          <w:spacing w:val="0"/>
          <w:w w:val="100"/>
          <w:position w:val="0"/>
          <w:sz w:val="24"/>
          <w:szCs w:val="24"/>
          <w:shd w:val="clear" w:color="auto" w:fill="auto"/>
          <w:lang w:val="cs-CZ" w:eastAsia="cs-CZ" w:bidi="cs-CZ"/>
        </w:rPr>
        <w:t>Způsob užívání předmětu nájmu</w:t>
      </w:r>
    </w:p>
    <w:p>
      <w:pPr>
        <w:pStyle w:val="Style2"/>
        <w:keepNext w:val="0"/>
        <w:keepLines w:val="0"/>
        <w:widowControl w:val="0"/>
        <w:numPr>
          <w:ilvl w:val="0"/>
          <w:numId w:val="17"/>
        </w:numPr>
        <w:shd w:val="clear" w:color="auto" w:fill="auto"/>
        <w:tabs>
          <w:tab w:pos="348" w:val="left"/>
        </w:tabs>
        <w:bidi w:val="0"/>
        <w:spacing w:before="0" w:line="240" w:lineRule="auto"/>
        <w:ind w:left="280" w:right="0" w:hanging="280"/>
        <w:jc w:val="both"/>
      </w:pPr>
      <w:bookmarkStart w:id="52" w:name="bookmark52"/>
      <w:bookmarkEnd w:id="52"/>
      <w:r>
        <w:rPr>
          <w:rFonts w:ascii="Times New Roman" w:eastAsia="Times New Roman" w:hAnsi="Times New Roman" w:cs="Times New Roman"/>
          <w:color w:val="000000"/>
          <w:spacing w:val="0"/>
          <w:w w:val="100"/>
          <w:position w:val="0"/>
          <w:sz w:val="24"/>
          <w:szCs w:val="24"/>
          <w:shd w:val="clear" w:color="auto" w:fill="auto"/>
          <w:lang w:val="cs-CZ" w:eastAsia="cs-CZ" w:bidi="cs-CZ"/>
        </w:rPr>
        <w:t>Pronajímatel se zavazuje předat prostory nájemci nejpozději ke dni zahájení nájmu. O předání prostor bude stranami sepsán předávací protokol, ve kterém bude zachycen stav prostor v okamžiku předání.</w:t>
      </w:r>
    </w:p>
    <w:p>
      <w:pPr>
        <w:pStyle w:val="Style2"/>
        <w:keepNext w:val="0"/>
        <w:keepLines w:val="0"/>
        <w:widowControl w:val="0"/>
        <w:numPr>
          <w:ilvl w:val="0"/>
          <w:numId w:val="17"/>
        </w:numPr>
        <w:shd w:val="clear" w:color="auto" w:fill="auto"/>
        <w:tabs>
          <w:tab w:pos="348" w:val="left"/>
        </w:tabs>
        <w:bidi w:val="0"/>
        <w:spacing w:before="0" w:line="240" w:lineRule="auto"/>
        <w:ind w:left="280" w:right="0" w:hanging="280"/>
        <w:jc w:val="both"/>
      </w:pPr>
      <w:bookmarkStart w:id="53" w:name="bookmark53"/>
      <w:bookmarkEnd w:id="53"/>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není oprávněn dát předmět nájmu do podnájmu třetí osobě bez předchozího písemného souhlasu pronajímatele; to platí, i pokud jde o část předmětu nájmu, jeho součást či příslušenství. Nájemce není oprávněn přenechat předmět nájmu k užívání jinému subjektu, a to ani formou sdružení s jiným subjektem či jinou formou spolupráce bez souhlasu pronajímatele.</w:t>
      </w:r>
    </w:p>
    <w:p>
      <w:pPr>
        <w:pStyle w:val="Style2"/>
        <w:keepNext w:val="0"/>
        <w:keepLines w:val="0"/>
        <w:widowControl w:val="0"/>
        <w:numPr>
          <w:ilvl w:val="0"/>
          <w:numId w:val="17"/>
        </w:numPr>
        <w:shd w:val="clear" w:color="auto" w:fill="auto"/>
        <w:tabs>
          <w:tab w:pos="348" w:val="left"/>
        </w:tabs>
        <w:bidi w:val="0"/>
        <w:spacing w:before="0" w:line="240" w:lineRule="auto"/>
        <w:ind w:left="280" w:right="0" w:hanging="280"/>
        <w:jc w:val="both"/>
      </w:pPr>
      <w:bookmarkStart w:id="54" w:name="bookmark54"/>
      <w:bookmarkEnd w:id="54"/>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může upravovat předmět nájmu pouze se souhlasem pronajímatele. Běžnou údržbu a drobné opravy předmětu nájmu nájemce zajišťuje na své náklady. Pro účely této smlouvy se za drobnou opravu považuje oprava, která jednorázově nepřesahuje finanční částku 10.000,- Kč bez DPH. Není přípustné opravy sčítat. Nutnost oprav nad uvedený rozsah je nájemce povinen bez zbytečného odkladu písemně oznámit pronajímateli a ten je povinen, podle svých možností, je v co nejkratší době provést.</w:t>
      </w:r>
    </w:p>
    <w:p>
      <w:pPr>
        <w:pStyle w:val="Style2"/>
        <w:keepNext w:val="0"/>
        <w:keepLines w:val="0"/>
        <w:widowControl w:val="0"/>
        <w:numPr>
          <w:ilvl w:val="0"/>
          <w:numId w:val="17"/>
        </w:numPr>
        <w:shd w:val="clear" w:color="auto" w:fill="auto"/>
        <w:tabs>
          <w:tab w:pos="348" w:val="left"/>
        </w:tabs>
        <w:bidi w:val="0"/>
        <w:spacing w:before="0" w:line="240" w:lineRule="auto"/>
        <w:ind w:left="280" w:right="0" w:hanging="280"/>
        <w:jc w:val="both"/>
      </w:pPr>
      <w:bookmarkStart w:id="55" w:name="bookmark55"/>
      <w:bookmarkEnd w:id="55"/>
      <w:r>
        <w:rPr>
          <w:rFonts w:ascii="Times New Roman" w:eastAsia="Times New Roman" w:hAnsi="Times New Roman" w:cs="Times New Roman"/>
          <w:color w:val="000000"/>
          <w:spacing w:val="0"/>
          <w:w w:val="100"/>
          <w:position w:val="0"/>
          <w:sz w:val="24"/>
          <w:szCs w:val="24"/>
          <w:shd w:val="clear" w:color="auto" w:fill="auto"/>
          <w:lang w:val="cs-CZ" w:eastAsia="cs-CZ" w:bidi="cs-CZ"/>
        </w:rPr>
        <w:t>Rovněž položení jakékoliv podlahové krytiny nesmí být provedeno bez souhlasu pronajímatele.</w:t>
      </w:r>
    </w:p>
    <w:p>
      <w:pPr>
        <w:pStyle w:val="Style2"/>
        <w:keepNext w:val="0"/>
        <w:keepLines w:val="0"/>
        <w:widowControl w:val="0"/>
        <w:numPr>
          <w:ilvl w:val="0"/>
          <w:numId w:val="17"/>
        </w:numPr>
        <w:shd w:val="clear" w:color="auto" w:fill="auto"/>
        <w:tabs>
          <w:tab w:pos="348" w:val="left"/>
        </w:tabs>
        <w:bidi w:val="0"/>
        <w:spacing w:before="0" w:line="240" w:lineRule="auto"/>
        <w:ind w:left="0" w:right="0" w:firstLine="0"/>
        <w:jc w:val="both"/>
      </w:pPr>
      <w:bookmarkStart w:id="56" w:name="bookmark56"/>
      <w:bookmarkEnd w:id="56"/>
      <w:r>
        <w:rPr>
          <w:rFonts w:ascii="Times New Roman" w:eastAsia="Times New Roman" w:hAnsi="Times New Roman" w:cs="Times New Roman"/>
          <w:color w:val="000000"/>
          <w:spacing w:val="0"/>
          <w:w w:val="100"/>
          <w:position w:val="0"/>
          <w:sz w:val="24"/>
          <w:szCs w:val="24"/>
          <w:shd w:val="clear" w:color="auto" w:fill="auto"/>
          <w:lang w:val="cs-CZ" w:eastAsia="cs-CZ" w:bidi="cs-CZ"/>
        </w:rPr>
        <w:t>Jakákoliv manipulace s hlavicemi nesoudobé regulace na radiátorech je zakázána.</w:t>
      </w:r>
    </w:p>
    <w:p>
      <w:pPr>
        <w:pStyle w:val="Style2"/>
        <w:keepNext w:val="0"/>
        <w:keepLines w:val="0"/>
        <w:widowControl w:val="0"/>
        <w:numPr>
          <w:ilvl w:val="0"/>
          <w:numId w:val="17"/>
        </w:numPr>
        <w:shd w:val="clear" w:color="auto" w:fill="auto"/>
        <w:tabs>
          <w:tab w:pos="348" w:val="left"/>
        </w:tabs>
        <w:bidi w:val="0"/>
        <w:spacing w:before="0" w:line="240" w:lineRule="auto"/>
        <w:ind w:left="280" w:right="0" w:hanging="280"/>
        <w:jc w:val="both"/>
      </w:pPr>
      <w:bookmarkStart w:id="57" w:name="bookmark57"/>
      <w:bookmarkEnd w:id="57"/>
      <w:r>
        <w:rPr>
          <w:rFonts w:ascii="Times New Roman" w:eastAsia="Times New Roman" w:hAnsi="Times New Roman" w:cs="Times New Roman"/>
          <w:color w:val="000000"/>
          <w:spacing w:val="0"/>
          <w:w w:val="100"/>
          <w:position w:val="0"/>
          <w:sz w:val="24"/>
          <w:szCs w:val="24"/>
          <w:shd w:val="clear" w:color="auto" w:fill="auto"/>
          <w:lang w:val="cs-CZ" w:eastAsia="cs-CZ" w:bidi="cs-CZ"/>
        </w:rPr>
        <w:t>V případě způsobení škody na zařízení nese odpovědnost nájemce a je povinen škodu ihned nahlásit. Úpravu do původního stavu zajistí pronajímatel na náklady nájemce.</w:t>
      </w:r>
    </w:p>
    <w:p>
      <w:pPr>
        <w:pStyle w:val="Style2"/>
        <w:keepNext w:val="0"/>
        <w:keepLines w:val="0"/>
        <w:widowControl w:val="0"/>
        <w:numPr>
          <w:ilvl w:val="0"/>
          <w:numId w:val="17"/>
        </w:numPr>
        <w:shd w:val="clear" w:color="auto" w:fill="auto"/>
        <w:tabs>
          <w:tab w:pos="348" w:val="left"/>
        </w:tabs>
        <w:bidi w:val="0"/>
        <w:spacing w:before="0" w:line="240" w:lineRule="auto"/>
        <w:ind w:left="280" w:right="0" w:hanging="280"/>
        <w:jc w:val="both"/>
      </w:pPr>
      <w:bookmarkStart w:id="58" w:name="bookmark58"/>
      <w:bookmarkEnd w:id="58"/>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je povinen umožnit pronajímateli, či osobám z jejich strany k tomu pověřeným, provádění ostatních oprav v předmětu nájmu a kontrolu stavu předmětu nájmu. Nájemce je dále povinen oznamovat pronajímateli neprodleně veškeré mu známé škody vzniklé na pronajatém majetku a potřebu případných oprav. Při porušení této povinnosti je nájemce povinen nahradit škodu, která by pronajímateli v důsledku tohoto vznikla.</w:t>
      </w:r>
    </w:p>
    <w:p>
      <w:pPr>
        <w:pStyle w:val="Style2"/>
        <w:keepNext w:val="0"/>
        <w:keepLines w:val="0"/>
        <w:widowControl w:val="0"/>
        <w:numPr>
          <w:ilvl w:val="0"/>
          <w:numId w:val="17"/>
        </w:numPr>
        <w:shd w:val="clear" w:color="auto" w:fill="auto"/>
        <w:tabs>
          <w:tab w:pos="362" w:val="left"/>
        </w:tabs>
        <w:bidi w:val="0"/>
        <w:spacing w:before="0" w:line="240" w:lineRule="auto"/>
        <w:ind w:left="300" w:right="0" w:hanging="300"/>
        <w:jc w:val="both"/>
      </w:pPr>
      <w:bookmarkStart w:id="59" w:name="bookmark59"/>
      <w:bookmarkEnd w:id="59"/>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je povinen chovat se tak, aby on sám a jeho obchodní partneři nezpůsobili škodu na majetku, se kterým má pronajímatel právo hospodařit. Za takové škody nese odpovědnost nájemce a je povinen bezodkladně je odstranit uvedením do původního stavu. Není-li to možné, úpravu do původního stavu zajistí pronajímatel na náklady nájemce.</w:t>
      </w:r>
    </w:p>
    <w:p>
      <w:pPr>
        <w:pStyle w:val="Style2"/>
        <w:keepNext w:val="0"/>
        <w:keepLines w:val="0"/>
        <w:widowControl w:val="0"/>
        <w:numPr>
          <w:ilvl w:val="0"/>
          <w:numId w:val="17"/>
        </w:numPr>
        <w:shd w:val="clear" w:color="auto" w:fill="auto"/>
        <w:tabs>
          <w:tab w:pos="362" w:val="left"/>
        </w:tabs>
        <w:bidi w:val="0"/>
        <w:spacing w:before="0" w:line="240" w:lineRule="auto"/>
        <w:ind w:left="300" w:right="0" w:hanging="300"/>
        <w:jc w:val="both"/>
      </w:pPr>
      <w:bookmarkStart w:id="60" w:name="bookmark60"/>
      <w:bookmarkEnd w:id="60"/>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je povinen si svůj majetek nechat pojistit a zajistit si jeho ostrahu, zejména v době, kdy není střežen objekt pronajímatelem (jeho smluvním partnerem). Při vstupu do budovy v mimopracovní dobu, kdy střežení objektu zajišťuje bezpečnostní agentura, je povinen se řídit pokyny agentury .</w:t>
      </w:r>
    </w:p>
    <w:p>
      <w:pPr>
        <w:pStyle w:val="Style2"/>
        <w:keepNext w:val="0"/>
        <w:keepLines w:val="0"/>
        <w:widowControl w:val="0"/>
        <w:numPr>
          <w:ilvl w:val="0"/>
          <w:numId w:val="17"/>
        </w:numPr>
        <w:shd w:val="clear" w:color="auto" w:fill="auto"/>
        <w:tabs>
          <w:tab w:pos="438" w:val="left"/>
        </w:tabs>
        <w:bidi w:val="0"/>
        <w:spacing w:before="0" w:line="240" w:lineRule="auto"/>
        <w:ind w:left="0" w:right="0" w:firstLine="0"/>
        <w:jc w:val="both"/>
      </w:pPr>
      <w:bookmarkStart w:id="61" w:name="bookmark61"/>
      <w:bookmarkEnd w:id="61"/>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neodpovídá za opotřebení předmětu nájmu při jeho běžném užívání a opotřebení.</w:t>
      </w:r>
    </w:p>
    <w:p>
      <w:pPr>
        <w:pStyle w:val="Style2"/>
        <w:keepNext w:val="0"/>
        <w:keepLines w:val="0"/>
        <w:widowControl w:val="0"/>
        <w:numPr>
          <w:ilvl w:val="0"/>
          <w:numId w:val="17"/>
        </w:numPr>
        <w:shd w:val="clear" w:color="auto" w:fill="auto"/>
        <w:tabs>
          <w:tab w:pos="438" w:val="left"/>
        </w:tabs>
        <w:bidi w:val="0"/>
        <w:spacing w:before="0" w:line="240" w:lineRule="auto"/>
        <w:ind w:left="440" w:right="0" w:hanging="440"/>
        <w:jc w:val="both"/>
      </w:pPr>
      <w:bookmarkStart w:id="62" w:name="bookmark62"/>
      <w:bookmarkEnd w:id="62"/>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se zavazuje, že po celou dobu trvání nájemního vztahu bude mít uzavřenu pojistnou smlouvu týkající se odpovědnosti za škody způsobené vlastní podnikatelskou činností, tedy tou činností, kterou provozuje v předmětu nájmu v souladu s touto nájemní smlouvou v minimální výši 10 000 000,- Kč . Nájemce se zavazuje doložit platnost této pojistné smlouvy , a to 1 x ročně, vždy k 31.1.daného roku. Porušení tohoto ustanovení je důvodem k výpovědi ze strany pronajímatele. Nájemce je oprávněn umístit na objektu, v němž se nachází předmět nájmu, resp. na jeho vstupních dveřích, informační tabuli přiměřené velikosti o své firmě či provozu.</w:t>
      </w:r>
    </w:p>
    <w:p>
      <w:pPr>
        <w:pStyle w:val="Style2"/>
        <w:keepNext w:val="0"/>
        <w:keepLines w:val="0"/>
        <w:widowControl w:val="0"/>
        <w:numPr>
          <w:ilvl w:val="0"/>
          <w:numId w:val="17"/>
        </w:numPr>
        <w:shd w:val="clear" w:color="auto" w:fill="auto"/>
        <w:tabs>
          <w:tab w:pos="438" w:val="left"/>
        </w:tabs>
        <w:bidi w:val="0"/>
        <w:spacing w:before="0" w:line="240" w:lineRule="auto"/>
        <w:ind w:left="440" w:right="0" w:hanging="440"/>
        <w:jc w:val="both"/>
      </w:pPr>
      <w:bookmarkStart w:id="63" w:name="bookmark63"/>
      <w:bookmarkEnd w:id="63"/>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je povinen dodržovat všechny povinnosti stanovené předpisy požární ochrany, bezpečnosti práce. Nájemce se zavazuje dodržovat Místní dopravně provozní bezpečnostní předpis areálu závodu Chomutov. Nájemce odpovídá za obchodní partnery a osoby vstupující do objektu z důvodu vyplývajícího z jeho činnosti. Nájemce je odpovědný za škody vzniklé v důsledku nedodržení těchto předpisů. Je povinen strpět kontrolu prováděnou za tímto účelem, ať ji provádí pronajímatel nebo oprávněný odborný orgán.</w:t>
      </w:r>
    </w:p>
    <w:p>
      <w:pPr>
        <w:pStyle w:val="Style17"/>
        <w:keepNext/>
        <w:keepLines/>
        <w:widowControl w:val="0"/>
        <w:numPr>
          <w:ilvl w:val="0"/>
          <w:numId w:val="17"/>
        </w:numPr>
        <w:shd w:val="clear" w:color="auto" w:fill="auto"/>
        <w:tabs>
          <w:tab w:pos="438" w:val="left"/>
        </w:tabs>
        <w:bidi w:val="0"/>
        <w:spacing w:before="0" w:line="240" w:lineRule="auto"/>
        <w:ind w:right="0"/>
        <w:jc w:val="both"/>
      </w:pPr>
      <w:bookmarkStart w:id="64" w:name="bookmark64"/>
      <w:bookmarkStart w:id="65" w:name="bookmark65"/>
      <w:bookmarkStart w:id="66" w:name="bookmark66"/>
      <w:bookmarkStart w:id="67" w:name="bookmark67"/>
      <w:bookmarkEnd w:id="66"/>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je povinen počínat si v pronajatých prostorách v souladu s "Přílohou BOZP a PO nájemní smlouvě" která je přílohou a je nedílnou součástí této smlouvy.</w:t>
      </w:r>
      <w:bookmarkEnd w:id="64"/>
      <w:bookmarkEnd w:id="65"/>
      <w:bookmarkEnd w:id="67"/>
    </w:p>
    <w:p>
      <w:pPr>
        <w:pStyle w:val="Style2"/>
        <w:keepNext w:val="0"/>
        <w:keepLines w:val="0"/>
        <w:widowControl w:val="0"/>
        <w:numPr>
          <w:ilvl w:val="0"/>
          <w:numId w:val="17"/>
        </w:numPr>
        <w:shd w:val="clear" w:color="auto" w:fill="auto"/>
        <w:tabs>
          <w:tab w:pos="438" w:val="left"/>
        </w:tabs>
        <w:bidi w:val="0"/>
        <w:spacing w:before="0" w:line="240" w:lineRule="auto"/>
        <w:ind w:left="440" w:right="0" w:hanging="440"/>
        <w:jc w:val="both"/>
      </w:pPr>
      <w:bookmarkStart w:id="68" w:name="bookmark68"/>
      <w:bookmarkEnd w:id="68"/>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nesmí používat okna ani jiné prostory (např. dveře) bez souhlasu pronajímatele jako reklamní plochu k nabídce svých služeb nebo jiné značení.</w:t>
      </w:r>
    </w:p>
    <w:p>
      <w:pPr>
        <w:pStyle w:val="Style2"/>
        <w:keepNext w:val="0"/>
        <w:keepLines w:val="0"/>
        <w:widowControl w:val="0"/>
        <w:numPr>
          <w:ilvl w:val="0"/>
          <w:numId w:val="17"/>
        </w:numPr>
        <w:shd w:val="clear" w:color="auto" w:fill="auto"/>
        <w:tabs>
          <w:tab w:pos="438" w:val="left"/>
        </w:tabs>
        <w:bidi w:val="0"/>
        <w:spacing w:before="0" w:line="240" w:lineRule="auto"/>
        <w:ind w:left="0" w:right="0" w:firstLine="0"/>
        <w:jc w:val="both"/>
      </w:pPr>
      <w:bookmarkStart w:id="69" w:name="bookmark69"/>
      <w:bookmarkEnd w:id="69"/>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nesmí používat přímotopy ani žádná jiná topná tělesa.</w:t>
      </w:r>
    </w:p>
    <w:p>
      <w:pPr>
        <w:pStyle w:val="Style2"/>
        <w:keepNext w:val="0"/>
        <w:keepLines w:val="0"/>
        <w:widowControl w:val="0"/>
        <w:numPr>
          <w:ilvl w:val="0"/>
          <w:numId w:val="17"/>
        </w:numPr>
        <w:shd w:val="clear" w:color="auto" w:fill="auto"/>
        <w:tabs>
          <w:tab w:pos="438" w:val="left"/>
        </w:tabs>
        <w:bidi w:val="0"/>
        <w:spacing w:before="0" w:line="240" w:lineRule="auto"/>
        <w:ind w:left="440" w:right="0" w:hanging="440"/>
        <w:jc w:val="both"/>
      </w:pPr>
      <w:bookmarkStart w:id="70" w:name="bookmark70"/>
      <w:bookmarkEnd w:id="70"/>
      <w:r>
        <w:rPr>
          <w:rFonts w:ascii="Times New Roman" w:eastAsia="Times New Roman" w:hAnsi="Times New Roman" w:cs="Times New Roman"/>
          <w:color w:val="000000"/>
          <w:spacing w:val="0"/>
          <w:w w:val="100"/>
          <w:position w:val="0"/>
          <w:sz w:val="24"/>
          <w:szCs w:val="24"/>
          <w:shd w:val="clear" w:color="auto" w:fill="auto"/>
          <w:lang w:val="cs-CZ" w:eastAsia="cs-CZ" w:bidi="cs-CZ"/>
        </w:rPr>
        <w:t>Pronajímatel nezajišťuje ochranu majetku v pronajatých prostorech a v případě násilného vniknutí cizí osoby okny, ani jejich úklid.</w:t>
      </w:r>
    </w:p>
    <w:p>
      <w:pPr>
        <w:pStyle w:val="Style2"/>
        <w:keepNext w:val="0"/>
        <w:keepLines w:val="0"/>
        <w:widowControl w:val="0"/>
        <w:numPr>
          <w:ilvl w:val="0"/>
          <w:numId w:val="17"/>
        </w:numPr>
        <w:shd w:val="clear" w:color="auto" w:fill="auto"/>
        <w:tabs>
          <w:tab w:pos="438" w:val="left"/>
        </w:tabs>
        <w:bidi w:val="0"/>
        <w:spacing w:before="0" w:line="240" w:lineRule="auto"/>
        <w:ind w:left="440" w:right="0" w:hanging="440"/>
        <w:jc w:val="both"/>
      </w:pPr>
      <w:bookmarkStart w:id="71" w:name="bookmark71"/>
      <w:bookmarkEnd w:id="71"/>
      <w:r>
        <w:rPr>
          <w:rFonts w:ascii="Times New Roman" w:eastAsia="Times New Roman" w:hAnsi="Times New Roman" w:cs="Times New Roman"/>
          <w:color w:val="000000"/>
          <w:spacing w:val="0"/>
          <w:w w:val="100"/>
          <w:position w:val="0"/>
          <w:sz w:val="24"/>
          <w:szCs w:val="24"/>
          <w:shd w:val="clear" w:color="auto" w:fill="auto"/>
          <w:lang w:val="cs-CZ" w:eastAsia="cs-CZ" w:bidi="cs-CZ"/>
        </w:rPr>
        <w:t>Pronajímatel se zavazuje, že veškeré elektrické rozvaděče umístěné v pronajímaných prostorech budou přístupné. Budou dodrženy minimální vzdálenosti před elektrickým rozvaděčem dle platných norem ( ČSN 33 2000-4-481 , ČSN 33 2000-1 a pod. ). Minimální volný prostor před rozvaděčem je 0,8 m. Prostor okolo rozvaděče musí umožnit otevření dveří rozvaděče minimálně na 95 stupňů.</w:t>
      </w:r>
    </w:p>
    <w:p>
      <w:pPr>
        <w:pStyle w:val="Style2"/>
        <w:keepNext w:val="0"/>
        <w:keepLines w:val="0"/>
        <w:widowControl w:val="0"/>
        <w:numPr>
          <w:ilvl w:val="0"/>
          <w:numId w:val="17"/>
        </w:numPr>
        <w:shd w:val="clear" w:color="auto" w:fill="auto"/>
        <w:tabs>
          <w:tab w:pos="438" w:val="left"/>
        </w:tabs>
        <w:bidi w:val="0"/>
        <w:spacing w:before="0" w:line="240" w:lineRule="auto"/>
        <w:ind w:left="440" w:right="0" w:hanging="440"/>
        <w:jc w:val="both"/>
      </w:pPr>
      <w:bookmarkStart w:id="72" w:name="bookmark72"/>
      <w:bookmarkEnd w:id="72"/>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Manipulace a nakládání s odpady všech druhů a kategorií vzniklých při provádění prací v prostorách, objektech a na zařízeních, které jsou předmětem nájemní smlouvy je nájemce povinen provádět v souladu se zákonem o odpadech č. 541/2020 Sb. v plném znění a dalších souvisejících předpisů a nařízení. Nájemce je povinen odpad třídit do vlastních nádob a roztříděný ukládat na určená místa dle pokynů pronajímatele . V případě nedodržení výše uvedených podmínek je pronajímatel oprávněn účtovat nájemci náklady vzniklé pronajímateli následným nakládáním a likvidací odpadů </w:t>
      </w:r>
      <w:r>
        <w:rPr>
          <w:rFonts w:ascii="Times New Roman" w:eastAsia="Times New Roman" w:hAnsi="Times New Roman" w:cs="Times New Roman"/>
          <w:color w:val="000000"/>
          <w:spacing w:val="0"/>
          <w:w w:val="100"/>
          <w:position w:val="0"/>
          <w:sz w:val="24"/>
          <w:szCs w:val="24"/>
          <w:shd w:val="clear" w:color="auto" w:fill="auto"/>
          <w:lang w:val="cs-CZ" w:eastAsia="cs-CZ" w:bidi="cs-CZ"/>
        </w:rPr>
        <w:t>vzniklých při plnění nájemní smlouvy ze strany pronajímatele. Nájemce se současně zavazuje uhradit pronajímateli škodu vzniklou v důsledku nedodržení těchto podmínek.</w:t>
      </w:r>
    </w:p>
    <w:p>
      <w:pPr>
        <w:pStyle w:val="Style2"/>
        <w:keepNext w:val="0"/>
        <w:keepLines w:val="0"/>
        <w:widowControl w:val="0"/>
        <w:numPr>
          <w:ilvl w:val="0"/>
          <w:numId w:val="1"/>
        </w:numPr>
        <w:shd w:val="clear" w:color="auto" w:fill="auto"/>
        <w:tabs>
          <w:tab w:pos="668" w:val="left"/>
        </w:tabs>
        <w:bidi w:val="0"/>
        <w:spacing w:before="0" w:line="240" w:lineRule="auto"/>
        <w:ind w:left="0" w:right="0" w:firstLine="0"/>
        <w:jc w:val="center"/>
      </w:pPr>
      <w:bookmarkStart w:id="73" w:name="bookmark73"/>
      <w:bookmarkEnd w:id="73"/>
      <w:r>
        <w:rPr>
          <w:rFonts w:ascii="Times New Roman" w:eastAsia="Times New Roman" w:hAnsi="Times New Roman" w:cs="Times New Roman"/>
          <w:b/>
          <w:bCs/>
          <w:color w:val="000000"/>
          <w:spacing w:val="0"/>
          <w:w w:val="100"/>
          <w:position w:val="0"/>
          <w:sz w:val="24"/>
          <w:szCs w:val="24"/>
          <w:shd w:val="clear" w:color="auto" w:fill="auto"/>
          <w:lang w:val="cs-CZ" w:eastAsia="cs-CZ" w:bidi="cs-CZ"/>
        </w:rPr>
        <w:t>Compliance doložka</w:t>
      </w:r>
    </w:p>
    <w:p>
      <w:pPr>
        <w:pStyle w:val="Style2"/>
        <w:keepNext w:val="0"/>
        <w:keepLines w:val="0"/>
        <w:widowControl w:val="0"/>
        <w:numPr>
          <w:ilvl w:val="0"/>
          <w:numId w:val="19"/>
        </w:numPr>
        <w:shd w:val="clear" w:color="auto" w:fill="auto"/>
        <w:tabs>
          <w:tab w:pos="424" w:val="left"/>
        </w:tabs>
        <w:bidi w:val="0"/>
        <w:spacing w:before="0" w:line="240" w:lineRule="auto"/>
        <w:ind w:left="440" w:right="0" w:hanging="440"/>
        <w:jc w:val="both"/>
      </w:pPr>
      <w:bookmarkStart w:id="74" w:name="bookmark74"/>
      <w:bookmarkEnd w:id="74"/>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19"/>
        </w:numPr>
        <w:shd w:val="clear" w:color="auto" w:fill="auto"/>
        <w:tabs>
          <w:tab w:pos="424" w:val="left"/>
        </w:tabs>
        <w:bidi w:val="0"/>
        <w:spacing w:before="0" w:line="240" w:lineRule="auto"/>
        <w:ind w:left="440" w:right="0" w:hanging="440"/>
        <w:jc w:val="both"/>
      </w:pPr>
      <w:bookmarkStart w:id="75" w:name="bookmark75"/>
      <w:bookmarkEnd w:id="75"/>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19"/>
        </w:numPr>
        <w:shd w:val="clear" w:color="auto" w:fill="auto"/>
        <w:tabs>
          <w:tab w:pos="424" w:val="left"/>
        </w:tabs>
        <w:bidi w:val="0"/>
        <w:spacing w:before="0" w:after="0" w:line="240" w:lineRule="auto"/>
        <w:ind w:left="0" w:right="0" w:firstLine="0"/>
        <w:jc w:val="both"/>
      </w:pPr>
      <w:bookmarkStart w:id="76" w:name="bookmark76"/>
      <w:bookmarkEnd w:id="76"/>
      <w:r>
        <w:rPr>
          <w:rFonts w:ascii="Times New Roman" w:eastAsia="Times New Roman" w:hAnsi="Times New Roman" w:cs="Times New Roman"/>
          <w:color w:val="000000"/>
          <w:spacing w:val="0"/>
          <w:w w:val="100"/>
          <w:position w:val="0"/>
          <w:sz w:val="24"/>
          <w:szCs w:val="24"/>
          <w:shd w:val="clear" w:color="auto" w:fill="auto"/>
          <w:lang w:val="cs-CZ" w:eastAsia="cs-CZ" w:bidi="cs-CZ"/>
        </w:rPr>
        <w:t>Nájemce prohlašuje, že se seznámil se zásadami, hodnotami a cíli Compliance programu</w:t>
      </w:r>
    </w:p>
    <w:p>
      <w:pPr>
        <w:pStyle w:val="Style2"/>
        <w:keepNext w:val="0"/>
        <w:keepLines w:val="0"/>
        <w:widowControl w:val="0"/>
        <w:shd w:val="clear" w:color="auto" w:fill="auto"/>
        <w:tabs>
          <w:tab w:pos="3349" w:val="left"/>
          <w:tab w:pos="6128" w:val="left"/>
          <w:tab w:pos="8701" w:val="left"/>
        </w:tabs>
        <w:bidi w:val="0"/>
        <w:spacing w:before="0" w:after="0" w:line="240" w:lineRule="auto"/>
        <w:ind w:left="0" w:right="0" w:firstLine="4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Povodí</w:t>
        <w:tab/>
        <w:t>Ohře,</w:t>
        <w:tab/>
        <w:t>s.p.</w:t>
        <w:tab/>
        <w:t>(viz</w:t>
      </w:r>
    </w:p>
    <w:p>
      <w:pPr>
        <w:pStyle w:val="Style2"/>
        <w:keepNext w:val="0"/>
        <w:keepLines w:val="0"/>
        <w:widowControl w:val="0"/>
        <w:shd w:val="clear" w:color="auto" w:fill="auto"/>
        <w:bidi w:val="0"/>
        <w:spacing w:before="0" w:line="240" w:lineRule="auto"/>
        <w:ind w:left="440" w:right="0" w:firstLine="0"/>
        <w:jc w:val="both"/>
      </w:pPr>
      <w:r>
        <w:fldChar w:fldCharType="begin"/>
      </w:r>
      <w:r>
        <w:rPr/>
        <w:instrText> HYPERLINK "http://www.poh.cz/protikorupcni-a-compliance-program/d-1346/p1=1458" </w:instrText>
      </w:r>
      <w:r>
        <w:fldChar w:fldCharType="separate"/>
      </w:r>
      <w:r>
        <w:rPr>
          <w:rFonts w:ascii="Times New Roman" w:eastAsia="Times New Roman" w:hAnsi="Times New Roman" w:cs="Times New Roman"/>
          <w:color w:val="000000"/>
          <w:spacing w:val="0"/>
          <w:w w:val="100"/>
          <w:position w:val="0"/>
          <w:sz w:val="24"/>
          <w:szCs w:val="24"/>
          <w:shd w:val="clear" w:color="auto" w:fill="auto"/>
          <w:lang w:val="cs-CZ" w:eastAsia="cs-CZ" w:bidi="cs-CZ"/>
        </w:rPr>
        <w:t>http://www.poh.cz/protikorupcni-a-compliance-program/d-1346/p1=1458</w:t>
      </w:r>
      <w:r>
        <w:fldChar w:fldCharType="end"/>
      </w:r>
      <w:r>
        <w:rPr>
          <w:rFonts w:ascii="Times New Roman" w:eastAsia="Times New Roman" w:hAnsi="Times New Roman" w:cs="Times New Roman"/>
          <w:color w:val="000000"/>
          <w:spacing w:val="0"/>
          <w:w w:val="100"/>
          <w:position w:val="0"/>
          <w:sz w:val="24"/>
          <w:szCs w:val="24"/>
          <w:shd w:val="clear" w:color="auto" w:fill="auto"/>
          <w:lang w:val="cs-CZ" w:eastAsia="cs-CZ" w:bidi="cs-CZ"/>
        </w:rPr>
        <w:t>), dále s Etickým kodexem Povodí Ohře, státní podnik a Protikorupčním programem Povodí Ohře, státní podnik. Nájemce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19"/>
        </w:numPr>
        <w:shd w:val="clear" w:color="auto" w:fill="auto"/>
        <w:tabs>
          <w:tab w:pos="424" w:val="left"/>
        </w:tabs>
        <w:bidi w:val="0"/>
        <w:spacing w:before="0" w:after="480" w:line="240" w:lineRule="auto"/>
        <w:ind w:left="440" w:right="0" w:hanging="440"/>
        <w:jc w:val="both"/>
      </w:pPr>
      <w:bookmarkStart w:id="77" w:name="bookmark77"/>
      <w:bookmarkEnd w:id="77"/>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1"/>
        </w:numPr>
        <w:shd w:val="clear" w:color="auto" w:fill="auto"/>
        <w:tabs>
          <w:tab w:pos="485" w:val="left"/>
        </w:tabs>
        <w:bidi w:val="0"/>
        <w:spacing w:before="0" w:line="240" w:lineRule="auto"/>
        <w:ind w:left="0" w:right="0" w:firstLine="0"/>
        <w:jc w:val="center"/>
      </w:pPr>
      <w:bookmarkStart w:id="78" w:name="bookmark78"/>
      <w:bookmarkEnd w:id="78"/>
      <w:r>
        <w:rPr>
          <w:rFonts w:ascii="Times New Roman" w:eastAsia="Times New Roman" w:hAnsi="Times New Roman" w:cs="Times New Roman"/>
          <w:b/>
          <w:bCs/>
          <w:color w:val="000000"/>
          <w:spacing w:val="0"/>
          <w:w w:val="100"/>
          <w:position w:val="0"/>
          <w:sz w:val="24"/>
          <w:szCs w:val="24"/>
          <w:shd w:val="clear" w:color="auto" w:fill="auto"/>
          <w:lang w:val="cs-CZ" w:eastAsia="cs-CZ" w:bidi="cs-CZ"/>
        </w:rPr>
        <w:t>Ochrana a zpracování osobních údajů</w:t>
      </w:r>
    </w:p>
    <w:p>
      <w:pPr>
        <w:pStyle w:val="Style2"/>
        <w:keepNext w:val="0"/>
        <w:keepLines w:val="0"/>
        <w:widowControl w:val="0"/>
        <w:shd w:val="clear" w:color="auto" w:fill="auto"/>
        <w:bidi w:val="0"/>
        <w:spacing w:before="0" w:after="48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rFonts w:ascii="Times New Roman" w:eastAsia="Times New Roman" w:hAnsi="Times New Roman" w:cs="Times New Roman"/>
          <w:color w:val="000000"/>
          <w:spacing w:val="0"/>
          <w:w w:val="100"/>
          <w:position w:val="0"/>
          <w:sz w:val="24"/>
          <w:szCs w:val="24"/>
          <w:shd w:val="clear" w:color="auto" w:fill="auto"/>
          <w:lang w:val="cs-CZ" w:eastAsia="cs-CZ" w:bidi="cs-CZ"/>
        </w:rPr>
        <w:t>http://www.poh.cz/informace-o-zpracovani-osobnich-udaju/d- 1369/p1=1459</w:t>
      </w:r>
      <w:r>
        <w:fldChar w:fldCharType="end"/>
      </w:r>
    </w:p>
    <w:p>
      <w:pPr>
        <w:pStyle w:val="Style2"/>
        <w:keepNext w:val="0"/>
        <w:keepLines w:val="0"/>
        <w:widowControl w:val="0"/>
        <w:numPr>
          <w:ilvl w:val="0"/>
          <w:numId w:val="1"/>
        </w:numPr>
        <w:shd w:val="clear" w:color="auto" w:fill="auto"/>
        <w:tabs>
          <w:tab w:pos="424" w:val="left"/>
        </w:tabs>
        <w:bidi w:val="0"/>
        <w:spacing w:before="0" w:line="240" w:lineRule="auto"/>
        <w:ind w:left="0" w:right="0" w:firstLine="0"/>
        <w:jc w:val="center"/>
      </w:pPr>
      <w:bookmarkStart w:id="79" w:name="bookmark79"/>
      <w:bookmarkEnd w:id="79"/>
      <w:r>
        <w:rPr>
          <w:rFonts w:ascii="Times New Roman" w:eastAsia="Times New Roman" w:hAnsi="Times New Roman" w:cs="Times New Roman"/>
          <w:b/>
          <w:bCs/>
          <w:color w:val="000000"/>
          <w:spacing w:val="0"/>
          <w:w w:val="100"/>
          <w:position w:val="0"/>
          <w:sz w:val="24"/>
          <w:szCs w:val="24"/>
          <w:shd w:val="clear" w:color="auto" w:fill="auto"/>
          <w:lang w:val="cs-CZ" w:eastAsia="cs-CZ" w:bidi="cs-CZ"/>
        </w:rPr>
        <w:t>závěrečná ustanovení</w:t>
      </w:r>
    </w:p>
    <w:p>
      <w:pPr>
        <w:pStyle w:val="Style2"/>
        <w:keepNext w:val="0"/>
        <w:keepLines w:val="0"/>
        <w:widowControl w:val="0"/>
        <w:numPr>
          <w:ilvl w:val="0"/>
          <w:numId w:val="21"/>
        </w:numPr>
        <w:shd w:val="clear" w:color="auto" w:fill="auto"/>
        <w:tabs>
          <w:tab w:pos="424" w:val="left"/>
        </w:tabs>
        <w:bidi w:val="0"/>
        <w:spacing w:before="0" w:line="240" w:lineRule="auto"/>
        <w:ind w:left="440" w:right="0" w:hanging="440"/>
        <w:jc w:val="both"/>
      </w:pPr>
      <w:bookmarkStart w:id="80" w:name="bookmark80"/>
      <w:bookmarkEnd w:id="80"/>
      <w:r>
        <w:rPr>
          <w:rFonts w:ascii="Times New Roman" w:eastAsia="Times New Roman" w:hAnsi="Times New Roman" w:cs="Times New Roman"/>
          <w:color w:val="000000"/>
          <w:spacing w:val="0"/>
          <w:w w:val="100"/>
          <w:position w:val="0"/>
          <w:sz w:val="24"/>
          <w:szCs w:val="24"/>
          <w:shd w:val="clear" w:color="auto" w:fill="auto"/>
          <w:lang w:val="cs-CZ" w:eastAsia="cs-CZ" w:bidi="cs-CZ"/>
        </w:rPr>
        <w:t>Práva a povinnosti neupravené touto smlouvou se řídí občanským zákoníkem a právními předpisy souvisejícími, vše v platném a účinném znění.</w:t>
      </w:r>
    </w:p>
    <w:p>
      <w:pPr>
        <w:pStyle w:val="Style2"/>
        <w:keepNext w:val="0"/>
        <w:keepLines w:val="0"/>
        <w:widowControl w:val="0"/>
        <w:numPr>
          <w:ilvl w:val="0"/>
          <w:numId w:val="21"/>
        </w:numPr>
        <w:shd w:val="clear" w:color="auto" w:fill="auto"/>
        <w:tabs>
          <w:tab w:pos="424" w:val="left"/>
        </w:tabs>
        <w:bidi w:val="0"/>
        <w:spacing w:before="0" w:line="240" w:lineRule="auto"/>
        <w:ind w:left="440" w:right="0" w:hanging="440"/>
        <w:jc w:val="both"/>
      </w:pPr>
      <w:bookmarkStart w:id="81" w:name="bookmark81"/>
      <w:bookmarkEnd w:id="81"/>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w:t>
      </w:r>
      <w:r>
        <w:rPr>
          <w:rFonts w:ascii="Times New Roman" w:eastAsia="Times New Roman" w:hAnsi="Times New Roman" w:cs="Times New Roman"/>
          <w:color w:val="000000"/>
          <w:spacing w:val="0"/>
          <w:w w:val="100"/>
          <w:position w:val="0"/>
          <w:sz w:val="24"/>
          <w:szCs w:val="24"/>
          <w:shd w:val="clear" w:color="auto" w:fill="auto"/>
          <w:lang w:val="cs-CZ" w:eastAsia="cs-CZ" w:bidi="cs-CZ"/>
        </w:rPr>
        <w:t>podnik, který má právo tuto smlouvu zveřejnit rovněž v pochybnostech o tom, zda tato smlouva zveřejnění podléhá či nikoliv.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1"/>
        </w:numPr>
        <w:shd w:val="clear" w:color="auto" w:fill="auto"/>
        <w:tabs>
          <w:tab w:pos="427" w:val="left"/>
        </w:tabs>
        <w:bidi w:val="0"/>
        <w:spacing w:before="0" w:line="240" w:lineRule="auto"/>
        <w:ind w:left="440" w:right="0" w:hanging="440"/>
        <w:jc w:val="left"/>
      </w:pPr>
      <w:bookmarkStart w:id="82" w:name="bookmark82"/>
      <w:bookmarkEnd w:id="82"/>
      <w:r>
        <w:rPr>
          <w:rFonts w:ascii="Times New Roman" w:eastAsia="Times New Roman" w:hAnsi="Times New Roman" w:cs="Times New Roman"/>
          <w:color w:val="000000"/>
          <w:spacing w:val="0"/>
          <w:w w:val="100"/>
          <w:position w:val="0"/>
          <w:sz w:val="24"/>
          <w:szCs w:val="24"/>
          <w:shd w:val="clear" w:color="auto" w:fill="auto"/>
          <w:lang w:val="cs-CZ" w:eastAsia="cs-CZ" w:bidi="cs-CZ"/>
        </w:rPr>
        <w:t>Změny a doplňky této smlouvy je možné činit pouze po dohodě smluvních stran formou písemných dodatků.</w:t>
      </w:r>
    </w:p>
    <w:p>
      <w:pPr>
        <w:pStyle w:val="Style2"/>
        <w:keepNext w:val="0"/>
        <w:keepLines w:val="0"/>
        <w:widowControl w:val="0"/>
        <w:numPr>
          <w:ilvl w:val="0"/>
          <w:numId w:val="21"/>
        </w:numPr>
        <w:shd w:val="clear" w:color="auto" w:fill="auto"/>
        <w:tabs>
          <w:tab w:pos="427" w:val="left"/>
        </w:tabs>
        <w:bidi w:val="0"/>
        <w:spacing w:before="0" w:line="240" w:lineRule="auto"/>
        <w:ind w:left="440" w:right="0" w:hanging="440"/>
        <w:jc w:val="left"/>
      </w:pPr>
      <w:bookmarkStart w:id="83" w:name="bookmark83"/>
      <w:bookmarkEnd w:id="83"/>
      <w:r>
        <w:rPr>
          <w:rFonts w:ascii="Times New Roman" w:eastAsia="Times New Roman" w:hAnsi="Times New Roman" w:cs="Times New Roman"/>
          <w:color w:val="000000"/>
          <w:spacing w:val="0"/>
          <w:w w:val="100"/>
          <w:position w:val="0"/>
          <w:sz w:val="24"/>
          <w:szCs w:val="24"/>
          <w:shd w:val="clear" w:color="auto" w:fill="auto"/>
          <w:lang w:val="cs-CZ" w:eastAsia="cs-CZ" w:bidi="cs-CZ"/>
        </w:rPr>
        <w:t>Tato smlouva byla vypracována ve čtyřech vyhotoveních, z nichž každý z účastníků obdrží dvě vyhotovení</w:t>
      </w:r>
    </w:p>
    <w:p>
      <w:pPr>
        <w:pStyle w:val="Style2"/>
        <w:keepNext w:val="0"/>
        <w:keepLines w:val="0"/>
        <w:widowControl w:val="0"/>
        <w:numPr>
          <w:ilvl w:val="0"/>
          <w:numId w:val="21"/>
        </w:numPr>
        <w:shd w:val="clear" w:color="auto" w:fill="auto"/>
        <w:tabs>
          <w:tab w:pos="427" w:val="left"/>
        </w:tabs>
        <w:bidi w:val="0"/>
        <w:spacing w:before="0" w:line="240" w:lineRule="auto"/>
        <w:ind w:left="440" w:right="0" w:hanging="440"/>
        <w:jc w:val="left"/>
      </w:pPr>
      <w:bookmarkStart w:id="84" w:name="bookmark84"/>
      <w:bookmarkEnd w:id="84"/>
      <w:r>
        <w:rPr>
          <w:rFonts w:ascii="Times New Roman" w:eastAsia="Times New Roman" w:hAnsi="Times New Roman" w:cs="Times New Roman"/>
          <w:color w:val="000000"/>
          <w:spacing w:val="0"/>
          <w:w w:val="100"/>
          <w:position w:val="0"/>
          <w:sz w:val="24"/>
          <w:szCs w:val="24"/>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2"/>
        <w:keepNext w:val="0"/>
        <w:keepLines w:val="0"/>
        <w:widowControl w:val="0"/>
        <w:numPr>
          <w:ilvl w:val="0"/>
          <w:numId w:val="21"/>
        </w:numPr>
        <w:shd w:val="clear" w:color="auto" w:fill="auto"/>
        <w:tabs>
          <w:tab w:pos="427" w:val="left"/>
        </w:tabs>
        <w:bidi w:val="0"/>
        <w:spacing w:before="0" w:line="240" w:lineRule="auto"/>
        <w:ind w:left="0" w:right="0" w:firstLine="0"/>
        <w:jc w:val="left"/>
      </w:pPr>
      <w:bookmarkStart w:id="85" w:name="bookmark85"/>
      <w:bookmarkEnd w:id="85"/>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1"/>
        </w:numPr>
        <w:shd w:val="clear" w:color="auto" w:fill="auto"/>
        <w:tabs>
          <w:tab w:pos="427" w:val="left"/>
        </w:tabs>
        <w:bidi w:val="0"/>
        <w:spacing w:before="0" w:after="500" w:line="240" w:lineRule="auto"/>
        <w:ind w:left="440" w:right="0" w:hanging="440"/>
        <w:jc w:val="left"/>
      </w:pPr>
      <w:bookmarkStart w:id="86" w:name="bookmark86"/>
      <w:bookmarkEnd w:id="86"/>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prohlašují, že tato smlouva odpovídá jejich pravé a svobodné vůli, seznámily se s jejím obsahem a na důkaz svého souhlasu ji podepisují.</w:t>
      </w:r>
    </w:p>
    <w:p>
      <w:pPr>
        <w:pStyle w:val="Style2"/>
        <w:keepNext w:val="0"/>
        <w:keepLines w:val="0"/>
        <w:widowControl w:val="0"/>
        <w:shd w:val="clear" w:color="auto" w:fill="auto"/>
        <w:bidi w:val="0"/>
        <w:spacing w:before="0" w:after="1880" w:line="240" w:lineRule="auto"/>
        <w:ind w:left="840" w:right="0" w:hanging="84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Příloha : Příloha BOZP a PO k nájemní smlouvě Půdorys Hala 1 – sklad Půdorys Provozní budova Snímek zpevněné plochy</w:t>
      </w:r>
    </w:p>
    <w:p>
      <w:pPr>
        <w:pStyle w:val="Style2"/>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V Chomutově dne :</w:t>
      </w:r>
    </w:p>
    <w:sectPr>
      <w:footnotePr>
        <w:pos w:val="pageBottom"/>
        <w:numFmt w:val="decimal"/>
        <w:numRestart w:val="continuous"/>
      </w:footnotePr>
      <w:type w:val="continuous"/>
      <w:pgSz w:w="11909" w:h="16838"/>
      <w:pgMar w:top="1070" w:left="1392" w:right="1386" w:bottom="1027"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3750310</wp:posOffset>
              </wp:positionH>
              <wp:positionV relativeFrom="page">
                <wp:posOffset>10173970</wp:posOffset>
              </wp:positionV>
              <wp:extent cx="64135" cy="170815"/>
              <wp:wrapNone/>
              <wp:docPr id="3" name="Shape 3"/>
              <a:graphic xmlns:a="http://schemas.openxmlformats.org/drawingml/2006/main">
                <a:graphicData uri="http://schemas.microsoft.com/office/word/2010/wordprocessingShape">
                  <wps:wsp>
                    <wps:cNvSpPr txBox="1"/>
                    <wps:spPr>
                      <a:xfrm>
                        <a:ext cx="64135" cy="1708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29" type="#_x0000_t202" style="position:absolute;margin-left:295.30000000000001pt;margin-top:801.10000000000002pt;width:5.0499999999999998pt;height:13.450000000000001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3506470</wp:posOffset>
              </wp:positionH>
              <wp:positionV relativeFrom="page">
                <wp:posOffset>310515</wp:posOffset>
              </wp:positionV>
              <wp:extent cx="3130550" cy="170815"/>
              <wp:wrapNone/>
              <wp:docPr id="1" name="Shape 1"/>
              <a:graphic xmlns:a="http://schemas.openxmlformats.org/drawingml/2006/main">
                <a:graphicData uri="http://schemas.microsoft.com/office/word/2010/wordprocessingShape">
                  <wps:wsp>
                    <wps:cNvSpPr txBox="1"/>
                    <wps:spPr>
                      <a:xfrm>
                        <a:ext cx="3130550" cy="1708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Smlouva o nájmu prostor sloužících k podnikání č.1310/2024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76.10000000000002pt;margin-top:24.449999999999999pt;width:246.5pt;height:13.450000000000001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Smlouva o nájmu prostor sloužících k podnikání č.1310/2024</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bullet"/>
      <w:lvlText w:val="V"/>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u w:val="none"/>
    </w:rPr>
  </w:style>
  <w:style w:type="character" w:customStyle="1" w:styleId="CharStyle9">
    <w:name w:val="Char Style 9"/>
    <w:basedOn w:val="DefaultParagraphFont"/>
    <w:link w:val="Style8"/>
    <w:rPr>
      <w:b w:val="0"/>
      <w:bCs w:val="0"/>
      <w:i w:val="0"/>
      <w:iCs w:val="0"/>
      <w:smallCaps w:val="0"/>
      <w:strike w:val="0"/>
      <w:sz w:val="20"/>
      <w:szCs w:val="20"/>
      <w:u w:val="none"/>
    </w:rPr>
  </w:style>
  <w:style w:type="character" w:customStyle="1" w:styleId="CharStyle12">
    <w:name w:val="Char Style 12"/>
    <w:basedOn w:val="DefaultParagraphFont"/>
    <w:link w:val="Style11"/>
    <w:rPr>
      <w:b/>
      <w:bCs/>
      <w:i w:val="0"/>
      <w:iCs w:val="0"/>
      <w:smallCaps w:val="0"/>
      <w:strike w:val="0"/>
      <w:u w:val="none"/>
    </w:rPr>
  </w:style>
  <w:style w:type="character" w:customStyle="1" w:styleId="CharStyle14">
    <w:name w:val="Char Style 14"/>
    <w:basedOn w:val="DefaultParagraphFont"/>
    <w:link w:val="Style13"/>
    <w:rPr>
      <w:b w:val="0"/>
      <w:bCs w:val="0"/>
      <w:i w:val="0"/>
      <w:iCs w:val="0"/>
      <w:smallCaps w:val="0"/>
      <w:strike w:val="0"/>
      <w:u w:val="none"/>
    </w:rPr>
  </w:style>
  <w:style w:type="character" w:customStyle="1" w:styleId="CharStyle18">
    <w:name w:val="Char Style 18"/>
    <w:basedOn w:val="DefaultParagraphFont"/>
    <w:link w:val="Style17"/>
    <w:rPr>
      <w:b w:val="0"/>
      <w:bCs w:val="0"/>
      <w:i w:val="0"/>
      <w:iCs w:val="0"/>
      <w:smallCaps w:val="0"/>
      <w:strike w:val="0"/>
      <w:u w:val="none"/>
    </w:rPr>
  </w:style>
  <w:style w:type="paragraph" w:customStyle="1" w:styleId="Style2">
    <w:name w:val="Style 2"/>
    <w:basedOn w:val="Normal"/>
    <w:link w:val="CharStyle3"/>
    <w:pPr>
      <w:widowControl w:val="0"/>
      <w:shd w:val="clear" w:color="auto" w:fill="FFFFFF"/>
      <w:spacing w:after="220"/>
    </w:pPr>
    <w:rPr>
      <w:b w:val="0"/>
      <w:bCs w:val="0"/>
      <w:i w:val="0"/>
      <w:iCs w:val="0"/>
      <w:smallCaps w:val="0"/>
      <w:strike w:val="0"/>
      <w:u w:val="none"/>
    </w:rPr>
  </w:style>
  <w:style w:type="paragraph" w:customStyle="1" w:styleId="Style8">
    <w:name w:val="Style 8"/>
    <w:basedOn w:val="Normal"/>
    <w:link w:val="CharStyle9"/>
    <w:pPr>
      <w:widowControl w:val="0"/>
      <w:shd w:val="clear" w:color="auto" w:fill="FFFFFF"/>
    </w:pPr>
    <w:rPr>
      <w:b w:val="0"/>
      <w:bCs w:val="0"/>
      <w:i w:val="0"/>
      <w:iCs w:val="0"/>
      <w:smallCaps w:val="0"/>
      <w:strike w:val="0"/>
      <w:sz w:val="20"/>
      <w:szCs w:val="20"/>
      <w:u w:val="none"/>
    </w:rPr>
  </w:style>
  <w:style w:type="paragraph" w:customStyle="1" w:styleId="Style11">
    <w:name w:val="Style 11"/>
    <w:basedOn w:val="Normal"/>
    <w:link w:val="CharStyle12"/>
    <w:pPr>
      <w:widowControl w:val="0"/>
      <w:shd w:val="clear" w:color="auto" w:fill="FFFFFF"/>
      <w:spacing w:after="190"/>
      <w:jc w:val="center"/>
      <w:outlineLvl w:val="1"/>
    </w:pPr>
    <w:rPr>
      <w:b/>
      <w:bCs/>
      <w:i w:val="0"/>
      <w:iCs w:val="0"/>
      <w:smallCaps w:val="0"/>
      <w:strike w:val="0"/>
      <w:u w:val="none"/>
    </w:rPr>
  </w:style>
  <w:style w:type="paragraph" w:customStyle="1" w:styleId="Style13">
    <w:name w:val="Style 13"/>
    <w:basedOn w:val="Normal"/>
    <w:link w:val="CharStyle14"/>
    <w:pPr>
      <w:widowControl w:val="0"/>
      <w:shd w:val="clear" w:color="auto" w:fill="FFFFFF"/>
      <w:spacing w:after="220"/>
    </w:pPr>
    <w:rPr>
      <w:b w:val="0"/>
      <w:bCs w:val="0"/>
      <w:i w:val="0"/>
      <w:iCs w:val="0"/>
      <w:smallCaps w:val="0"/>
      <w:strike w:val="0"/>
      <w:u w:val="none"/>
    </w:rPr>
  </w:style>
  <w:style w:type="paragraph" w:customStyle="1" w:styleId="Style17">
    <w:name w:val="Style 17"/>
    <w:basedOn w:val="Normal"/>
    <w:link w:val="CharStyle18"/>
    <w:pPr>
      <w:widowControl w:val="0"/>
      <w:shd w:val="clear" w:color="auto" w:fill="FFFFFF"/>
      <w:spacing w:after="220"/>
      <w:ind w:left="440" w:hanging="440"/>
      <w:outlineLvl w:val="0"/>
    </w:pPr>
    <w:rPr>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Smlouva o uzavření budoucí smlouvy o nájmu nebytových prostor</dc:title>
  <dc:subject/>
  <dc:creator>PO</dc:creator>
  <cp:keywords/>
</cp:coreProperties>
</file>