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92"/>
        <w:ind w:left="1306" w:right="10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5230700030</w:t>
      </w:r>
    </w:p>
    <w:p>
      <w:pPr>
        <w:spacing w:line="425" w:lineRule="exact" w:before="0"/>
        <w:ind w:left="1306" w:right="1039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0"/>
        <w:ind w:left="1306" w:right="1039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7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republiky v rámci Národního plánu obnovy</w:t>
      </w:r>
    </w:p>
    <w:p>
      <w:pPr>
        <w:pStyle w:val="BodyText"/>
        <w:spacing w:before="1"/>
        <w:ind w:left="0"/>
        <w:rPr>
          <w:sz w:val="40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Heading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line="265" w:lineRule="exact"/>
        <w:jc w:val="left"/>
      </w:pPr>
      <w:r>
        <w:rPr/>
        <w:t>ENERKOM</w:t>
      </w:r>
      <w:r>
        <w:rPr>
          <w:spacing w:val="-14"/>
        </w:rPr>
        <w:t> </w:t>
      </w:r>
      <w:r>
        <w:rPr/>
        <w:t>Podlipansko,</w:t>
      </w:r>
      <w:r>
        <w:rPr>
          <w:spacing w:val="-12"/>
        </w:rPr>
        <w:t> </w:t>
      </w:r>
      <w:r>
        <w:rPr>
          <w:spacing w:val="-4"/>
        </w:rPr>
        <w:t>z.s.</w:t>
      </w:r>
    </w:p>
    <w:p>
      <w:pPr>
        <w:pStyle w:val="BodyText"/>
        <w:spacing w:before="1"/>
        <w:ind w:left="382"/>
      </w:pPr>
      <w:r>
        <w:rPr>
          <w:spacing w:val="-2"/>
        </w:rPr>
        <w:t>spolek</w:t>
      </w:r>
    </w:p>
    <w:p>
      <w:pPr>
        <w:pStyle w:val="BodyText"/>
        <w:tabs>
          <w:tab w:pos="3262" w:val="left" w:leader="none"/>
        </w:tabs>
        <w:ind w:left="382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Chvalovická</w:t>
      </w:r>
      <w:r>
        <w:rPr>
          <w:spacing w:val="-7"/>
        </w:rPr>
        <w:t> </w:t>
      </w:r>
      <w:r>
        <w:rPr/>
        <w:t>1076,</w:t>
      </w:r>
      <w:r>
        <w:rPr>
          <w:spacing w:val="-6"/>
        </w:rPr>
        <w:t> </w:t>
      </w:r>
      <w:r>
        <w:rPr/>
        <w:t>289</w:t>
      </w:r>
      <w:r>
        <w:rPr>
          <w:spacing w:val="-3"/>
        </w:rPr>
        <w:t> </w:t>
      </w:r>
      <w:r>
        <w:rPr/>
        <w:t>11</w:t>
      </w:r>
      <w:r>
        <w:rPr>
          <w:spacing w:val="-5"/>
        </w:rPr>
        <w:t> </w:t>
      </w:r>
      <w:r>
        <w:rPr>
          <w:spacing w:val="-2"/>
        </w:rPr>
        <w:t>Pečky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17963320</w:t>
      </w:r>
    </w:p>
    <w:p>
      <w:pPr>
        <w:pStyle w:val="BodyText"/>
        <w:tabs>
          <w:tab w:pos="3262" w:val="left" w:leader="none"/>
        </w:tabs>
        <w:spacing w:before="1"/>
        <w:ind w:left="3217" w:right="509" w:hanging="2835"/>
      </w:pPr>
      <w:r>
        <w:rPr>
          <w:spacing w:val="-2"/>
        </w:rPr>
        <w:t>zastoupený:</w:t>
      </w:r>
      <w:r>
        <w:rPr/>
        <w:tab/>
        <w:tab/>
        <w:t>MAS</w:t>
      </w:r>
      <w:r>
        <w:rPr>
          <w:spacing w:val="-5"/>
        </w:rPr>
        <w:t> </w:t>
      </w:r>
      <w:r>
        <w:rPr/>
        <w:t>Podlipansko,</w:t>
      </w:r>
      <w:r>
        <w:rPr>
          <w:spacing w:val="-5"/>
        </w:rPr>
        <w:t> </w:t>
      </w:r>
      <w:r>
        <w:rPr/>
        <w:t>o.p.s.,</w:t>
      </w:r>
      <w:r>
        <w:rPr>
          <w:spacing w:val="-5"/>
        </w:rPr>
        <w:t> </w:t>
      </w:r>
      <w:r>
        <w:rPr/>
        <w:t>IČO:</w:t>
      </w:r>
      <w:r>
        <w:rPr>
          <w:spacing w:val="-4"/>
        </w:rPr>
        <w:t> </w:t>
      </w:r>
      <w:hyperlink r:id="rId7">
        <w:r>
          <w:rPr/>
          <w:t>274</w:t>
        </w:r>
        <w:r>
          <w:rPr>
            <w:spacing w:val="-3"/>
          </w:rPr>
          <w:t> </w:t>
        </w:r>
        <w:r>
          <w:rPr/>
          <w:t>08</w:t>
        </w:r>
        <w:r>
          <w:rPr>
            <w:spacing w:val="-3"/>
          </w:rPr>
          <w:t> </w:t>
        </w:r>
        <w:r>
          <w:rPr/>
          <w:t>507,</w:t>
        </w:r>
      </w:hyperlink>
      <w:r>
        <w:rPr>
          <w:spacing w:val="-5"/>
        </w:rPr>
        <w:t> </w:t>
      </w:r>
      <w:r>
        <w:rPr/>
        <w:t>předsedou</w:t>
      </w:r>
      <w:r>
        <w:rPr>
          <w:spacing w:val="-4"/>
        </w:rPr>
        <w:t> </w:t>
      </w:r>
      <w:r>
        <w:rPr/>
        <w:t>výboru,</w:t>
      </w:r>
      <w:r>
        <w:rPr>
          <w:spacing w:val="-4"/>
        </w:rPr>
        <w:t> </w:t>
      </w:r>
      <w:r>
        <w:rPr/>
        <w:t>který</w:t>
      </w:r>
      <w:r>
        <w:rPr>
          <w:spacing w:val="-5"/>
        </w:rPr>
        <w:t> </w:t>
      </w:r>
      <w:r>
        <w:rPr/>
        <w:t>při výkonu funkce zastupuje Ing. Markéta P o š í k o v á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10"/>
        </w:rPr>
        <w:t> </w:t>
      </w:r>
      <w:r>
        <w:rPr/>
        <w:t>spořitelna,</w:t>
      </w:r>
      <w:r>
        <w:rPr>
          <w:spacing w:val="-12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6451192379/0800</w:t>
      </w:r>
    </w:p>
    <w:p>
      <w:pPr>
        <w:pStyle w:val="BodyText"/>
        <w:ind w:left="38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1306" w:right="1038"/>
      </w:pPr>
      <w:r>
        <w:rPr>
          <w:spacing w:val="-5"/>
        </w:rPr>
        <w:t>I.</w:t>
      </w:r>
    </w:p>
    <w:p>
      <w:pPr>
        <w:pStyle w:val="Heading2"/>
        <w:ind w:left="1303" w:right="1039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5230700030 o poskytnutí finančních prostředků ze Státního fondu životního prostředí ČR ze dne 19.</w:t>
      </w:r>
      <w:r>
        <w:rPr>
          <w:spacing w:val="-2"/>
        </w:rPr>
        <w:t> </w:t>
      </w:r>
      <w:r>
        <w:rPr/>
        <w:t>11.</w:t>
      </w:r>
      <w:r>
        <w:rPr>
          <w:spacing w:val="-1"/>
        </w:rPr>
        <w:t> </w:t>
      </w:r>
      <w:r>
        <w:rPr/>
        <w:t>2024 a Směrnice Ministerstva životního prostředí č. 6/2024 o poskytování finančních prostředků ze Státního fondu životního prostředí České republiky (dále jen „Směrnice MŽP“) a Směrnicí 9/2023 o realizaci Národního plánu obnovy (dále jen „Směrnice MŽP NPO“, platné ke dni podání žádosti.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20" w:after="0"/>
        <w:ind w:left="741" w:right="117" w:hanging="36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pro oživení a odolnosti.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4"/>
          <w:sz w:val="20"/>
        </w:rPr>
        <w:t> </w:t>
      </w:r>
      <w:r>
        <w:rPr>
          <w:sz w:val="20"/>
        </w:rPr>
        <w:t>podpory</w:t>
      </w:r>
      <w:r>
        <w:rPr>
          <w:spacing w:val="4"/>
          <w:sz w:val="20"/>
        </w:rPr>
        <w:t> </w:t>
      </w:r>
      <w:r>
        <w:rPr>
          <w:sz w:val="20"/>
        </w:rPr>
        <w:t>potvrzuje,</w:t>
      </w:r>
      <w:r>
        <w:rPr>
          <w:spacing w:val="4"/>
          <w:sz w:val="20"/>
        </w:rPr>
        <w:t> </w:t>
      </w:r>
      <w:r>
        <w:rPr>
          <w:sz w:val="20"/>
        </w:rPr>
        <w:t>že</w:t>
      </w:r>
      <w:r>
        <w:rPr>
          <w:spacing w:val="5"/>
          <w:sz w:val="20"/>
        </w:rPr>
        <w:t> </w:t>
      </w:r>
      <w:r>
        <w:rPr>
          <w:sz w:val="20"/>
        </w:rPr>
        <w:t>se</w:t>
      </w:r>
      <w:r>
        <w:rPr>
          <w:spacing w:val="5"/>
          <w:sz w:val="20"/>
        </w:rPr>
        <w:t> </w:t>
      </w:r>
      <w:r>
        <w:rPr>
          <w:sz w:val="20"/>
        </w:rPr>
        <w:t>seznámil</w:t>
      </w:r>
      <w:r>
        <w:rPr>
          <w:spacing w:val="5"/>
          <w:sz w:val="20"/>
        </w:rPr>
        <w:t> </w:t>
      </w:r>
      <w:r>
        <w:rPr>
          <w:sz w:val="20"/>
        </w:rPr>
        <w:t>se</w:t>
      </w:r>
      <w:r>
        <w:rPr>
          <w:spacing w:val="5"/>
          <w:sz w:val="20"/>
        </w:rPr>
        <w:t> </w:t>
      </w:r>
      <w:r>
        <w:rPr>
          <w:sz w:val="20"/>
        </w:rPr>
        <w:t>Směrnicí</w:t>
      </w:r>
      <w:r>
        <w:rPr>
          <w:spacing w:val="4"/>
          <w:sz w:val="20"/>
        </w:rPr>
        <w:t> </w:t>
      </w:r>
      <w:r>
        <w:rPr>
          <w:sz w:val="20"/>
        </w:rPr>
        <w:t>MŽP,</w:t>
      </w:r>
      <w:r>
        <w:rPr>
          <w:spacing w:val="6"/>
          <w:sz w:val="20"/>
        </w:rPr>
        <w:t> </w:t>
      </w:r>
      <w:r>
        <w:rPr>
          <w:sz w:val="20"/>
        </w:rPr>
        <w:t>Směrnicí</w:t>
      </w:r>
      <w:r>
        <w:rPr>
          <w:spacing w:val="4"/>
          <w:sz w:val="20"/>
        </w:rPr>
        <w:t> </w:t>
      </w:r>
      <w:r>
        <w:rPr>
          <w:sz w:val="20"/>
        </w:rPr>
        <w:t>MŽP</w:t>
      </w:r>
      <w:r>
        <w:rPr>
          <w:spacing w:val="5"/>
          <w:sz w:val="20"/>
        </w:rPr>
        <w:t> </w:t>
      </w:r>
      <w:r>
        <w:rPr>
          <w:sz w:val="20"/>
        </w:rPr>
        <w:t>NPO</w:t>
      </w:r>
      <w:r>
        <w:rPr>
          <w:spacing w:val="6"/>
          <w:sz w:val="20"/>
        </w:rPr>
        <w:t> </w:t>
      </w:r>
      <w:r>
        <w:rPr>
          <w:sz w:val="20"/>
        </w:rPr>
        <w:t>(včetně</w:t>
      </w:r>
      <w:r>
        <w:rPr>
          <w:spacing w:val="5"/>
          <w:sz w:val="20"/>
        </w:rPr>
        <w:t> </w:t>
      </w:r>
      <w:r>
        <w:rPr>
          <w:sz w:val="20"/>
        </w:rPr>
        <w:t>příloh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těchto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1437" w:top="1400" w:bottom="1620" w:left="1320" w:right="1020"/>
          <w:pgNumType w:start="1"/>
        </w:sectPr>
      </w:pPr>
    </w:p>
    <w:p>
      <w:pPr>
        <w:pStyle w:val="BodyText"/>
        <w:spacing w:before="89"/>
        <w:ind w:right="113"/>
        <w:jc w:val="both"/>
      </w:pPr>
      <w:r>
        <w:rPr/>
        <w:t>směrnic) a Výzvou č. 7/2023 k</w:t>
      </w:r>
      <w:r>
        <w:rPr>
          <w:spacing w:val="-4"/>
        </w:rPr>
        <w:t> </w:t>
      </w:r>
      <w:r>
        <w:rPr/>
        <w:t>předkládání žádostí o poskytnutí podpory v rámci Národního programu Životní prostředí, (dále jen „Výzva“), a že náležitosti akce odpovídají podmínkám stanoveným Směrnicí MŽP, Směrnicí MŽP NPO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1"/>
        <w:ind w:left="2710"/>
        <w:jc w:val="left"/>
      </w:pPr>
      <w:r>
        <w:rPr/>
        <w:t>„Energetické</w:t>
      </w:r>
      <w:r>
        <w:rPr>
          <w:spacing w:val="-13"/>
        </w:rPr>
        <w:t> </w:t>
      </w:r>
      <w:r>
        <w:rPr/>
        <w:t>společenství</w:t>
      </w:r>
      <w:r>
        <w:rPr>
          <w:spacing w:val="-12"/>
        </w:rPr>
        <w:t> </w:t>
      </w:r>
      <w:r>
        <w:rPr/>
        <w:t>ENERKOM</w:t>
      </w:r>
      <w:r>
        <w:rPr>
          <w:spacing w:val="-13"/>
        </w:rPr>
        <w:t> </w:t>
      </w:r>
      <w:r>
        <w:rPr>
          <w:spacing w:val="-2"/>
        </w:rPr>
        <w:t>Podlipansko“</w:t>
      </w:r>
    </w:p>
    <w:p>
      <w:pPr>
        <w:pStyle w:val="BodyText"/>
        <w:spacing w:before="120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4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3"/>
        </w:rPr>
        <w:t> </w:t>
      </w:r>
      <w:r>
        <w:rPr/>
        <w:t>„akce“).</w:t>
      </w:r>
      <w:r>
        <w:rPr>
          <w:spacing w:val="-4"/>
        </w:rPr>
        <w:t> </w:t>
      </w:r>
      <w:r>
        <w:rPr/>
        <w:t>Akce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neinvestiční.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65" w:lineRule="exact" w:before="121" w:after="0"/>
        <w:ind w:left="665" w:right="113" w:hanging="666"/>
        <w:jc w:val="right"/>
        <w:rPr>
          <w:sz w:val="20"/>
        </w:rPr>
      </w:pPr>
      <w:r>
        <w:rPr>
          <w:sz w:val="20"/>
        </w:rPr>
        <w:t>Podpora</w:t>
      </w:r>
      <w:r>
        <w:rPr>
          <w:spacing w:val="20"/>
          <w:sz w:val="20"/>
        </w:rPr>
        <w:t> </w:t>
      </w:r>
      <w:r>
        <w:rPr>
          <w:sz w:val="20"/>
        </w:rPr>
        <w:t>je</w:t>
      </w:r>
      <w:r>
        <w:rPr>
          <w:spacing w:val="20"/>
          <w:sz w:val="20"/>
        </w:rPr>
        <w:t> </w:t>
      </w:r>
      <w:r>
        <w:rPr>
          <w:sz w:val="20"/>
        </w:rPr>
        <w:t>poskytována</w:t>
      </w:r>
      <w:r>
        <w:rPr>
          <w:spacing w:val="21"/>
          <w:sz w:val="20"/>
        </w:rPr>
        <w:t> </w:t>
      </w:r>
      <w:r>
        <w:rPr>
          <w:sz w:val="20"/>
        </w:rPr>
        <w:t>v</w:t>
      </w:r>
      <w:r>
        <w:rPr>
          <w:spacing w:val="22"/>
          <w:sz w:val="20"/>
        </w:rPr>
        <w:t> </w:t>
      </w:r>
      <w:r>
        <w:rPr>
          <w:sz w:val="20"/>
        </w:rPr>
        <w:t>souladu</w:t>
      </w:r>
      <w:r>
        <w:rPr>
          <w:spacing w:val="23"/>
          <w:sz w:val="20"/>
        </w:rPr>
        <w:t> </w:t>
      </w:r>
      <w:r>
        <w:rPr>
          <w:sz w:val="20"/>
        </w:rPr>
        <w:t>s</w:t>
      </w:r>
      <w:r>
        <w:rPr>
          <w:spacing w:val="19"/>
          <w:sz w:val="20"/>
        </w:rPr>
        <w:t> </w:t>
      </w:r>
      <w:r>
        <w:rPr>
          <w:sz w:val="20"/>
        </w:rPr>
        <w:t>"Nařízením</w:t>
      </w:r>
      <w:r>
        <w:rPr>
          <w:spacing w:val="21"/>
          <w:sz w:val="20"/>
        </w:rPr>
        <w:t> </w:t>
      </w:r>
      <w:r>
        <w:rPr>
          <w:sz w:val="20"/>
        </w:rPr>
        <w:t>Komise</w:t>
      </w:r>
      <w:r>
        <w:rPr>
          <w:spacing w:val="20"/>
          <w:sz w:val="20"/>
        </w:rPr>
        <w:t> </w:t>
      </w:r>
      <w:r>
        <w:rPr>
          <w:sz w:val="20"/>
        </w:rPr>
        <w:t>(EU)</w:t>
      </w:r>
      <w:r>
        <w:rPr>
          <w:spacing w:val="22"/>
          <w:sz w:val="20"/>
        </w:rPr>
        <w:t> </w:t>
      </w:r>
      <w:r>
        <w:rPr>
          <w:sz w:val="20"/>
        </w:rPr>
        <w:t>č.</w:t>
      </w:r>
      <w:r>
        <w:rPr>
          <w:spacing w:val="21"/>
          <w:sz w:val="20"/>
        </w:rPr>
        <w:t> </w:t>
      </w:r>
      <w:r>
        <w:rPr>
          <w:sz w:val="20"/>
        </w:rPr>
        <w:t>2023/2831</w:t>
      </w:r>
      <w:r>
        <w:rPr>
          <w:spacing w:val="22"/>
          <w:sz w:val="20"/>
        </w:rPr>
        <w:t> </w:t>
      </w:r>
      <w:r>
        <w:rPr>
          <w:sz w:val="20"/>
        </w:rPr>
        <w:t>ze</w:t>
      </w:r>
      <w:r>
        <w:rPr>
          <w:spacing w:val="19"/>
          <w:sz w:val="20"/>
        </w:rPr>
        <w:t> </w:t>
      </w:r>
      <w:r>
        <w:rPr>
          <w:sz w:val="20"/>
        </w:rPr>
        <w:t>dne</w:t>
      </w:r>
      <w:r>
        <w:rPr>
          <w:spacing w:val="20"/>
          <w:sz w:val="20"/>
        </w:rPr>
        <w:t> </w:t>
      </w:r>
      <w:r>
        <w:rPr>
          <w:sz w:val="20"/>
        </w:rPr>
        <w:t>13.</w:t>
      </w:r>
      <w:r>
        <w:rPr>
          <w:spacing w:val="5"/>
          <w:sz w:val="20"/>
        </w:rPr>
        <w:t> </w:t>
      </w:r>
      <w:r>
        <w:rPr>
          <w:sz w:val="20"/>
        </w:rPr>
        <w:t>prosince</w:t>
      </w:r>
      <w:r>
        <w:rPr>
          <w:spacing w:val="20"/>
          <w:sz w:val="20"/>
        </w:rPr>
        <w:t> </w:t>
      </w:r>
      <w:r>
        <w:rPr>
          <w:spacing w:val="-4"/>
          <w:sz w:val="20"/>
        </w:rPr>
        <w:t>2023</w:t>
      </w:r>
    </w:p>
    <w:p>
      <w:pPr>
        <w:pStyle w:val="BodyText"/>
        <w:spacing w:line="265" w:lineRule="exact"/>
        <w:ind w:left="0" w:right="123"/>
        <w:jc w:val="right"/>
      </w:pPr>
      <w:r>
        <w:rPr/>
        <w:t>o</w:t>
      </w:r>
      <w:r>
        <w:rPr>
          <w:spacing w:val="-3"/>
        </w:rPr>
        <w:t> </w:t>
      </w:r>
      <w:r>
        <w:rPr/>
        <w:t>použití</w:t>
      </w:r>
      <w:r>
        <w:rPr>
          <w:spacing w:val="8"/>
        </w:rPr>
        <w:t> </w:t>
      </w:r>
      <w:r>
        <w:rPr/>
        <w:t>článků</w:t>
      </w:r>
      <w:r>
        <w:rPr>
          <w:spacing w:val="9"/>
        </w:rPr>
        <w:t> </w:t>
      </w:r>
      <w:r>
        <w:rPr/>
        <w:t>107</w:t>
      </w:r>
      <w:r>
        <w:rPr>
          <w:spacing w:val="10"/>
        </w:rPr>
        <w:t> </w:t>
      </w:r>
      <w:r>
        <w:rPr/>
        <w:t>a</w:t>
      </w:r>
      <w:r>
        <w:rPr>
          <w:spacing w:val="11"/>
        </w:rPr>
        <w:t> </w:t>
      </w:r>
      <w:r>
        <w:rPr/>
        <w:t>108</w:t>
      </w:r>
      <w:r>
        <w:rPr>
          <w:spacing w:val="9"/>
        </w:rPr>
        <w:t> </w:t>
      </w:r>
      <w:r>
        <w:rPr/>
        <w:t>Smlouvy</w:t>
      </w:r>
      <w:r>
        <w:rPr>
          <w:spacing w:val="10"/>
        </w:rPr>
        <w:t> </w:t>
      </w:r>
      <w:r>
        <w:rPr/>
        <w:t>o</w:t>
      </w:r>
      <w:r>
        <w:rPr>
          <w:spacing w:val="10"/>
        </w:rPr>
        <w:t> </w:t>
      </w:r>
      <w:r>
        <w:rPr/>
        <w:t>fungování</w:t>
      </w:r>
      <w:r>
        <w:rPr>
          <w:spacing w:val="9"/>
        </w:rPr>
        <w:t> </w:t>
      </w:r>
      <w:r>
        <w:rPr/>
        <w:t>Evropské</w:t>
      </w:r>
      <w:r>
        <w:rPr>
          <w:spacing w:val="10"/>
        </w:rPr>
        <w:t> </w:t>
      </w:r>
      <w:r>
        <w:rPr/>
        <w:t>unie</w:t>
      </w:r>
      <w:r>
        <w:rPr>
          <w:spacing w:val="9"/>
        </w:rPr>
        <w:t> </w:t>
      </w:r>
      <w:r>
        <w:rPr/>
        <w:t>na</w:t>
      </w:r>
      <w:r>
        <w:rPr>
          <w:spacing w:val="9"/>
        </w:rPr>
        <w:t> </w:t>
      </w:r>
      <w:r>
        <w:rPr/>
        <w:t>podporu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minimis",</w:t>
      </w:r>
      <w:r>
        <w:rPr>
          <w:spacing w:val="10"/>
        </w:rPr>
        <w:t> </w:t>
      </w:r>
      <w:r>
        <w:rPr>
          <w:spacing w:val="-2"/>
        </w:rPr>
        <w:t>zveřejněným</w:t>
      </w:r>
    </w:p>
    <w:p>
      <w:pPr>
        <w:pStyle w:val="BodyText"/>
      </w:pPr>
      <w:r>
        <w:rPr/>
        <w:t>v</w:t>
      </w:r>
      <w:r>
        <w:rPr>
          <w:spacing w:val="-4"/>
        </w:rPr>
        <w:t> </w:t>
      </w:r>
      <w:r>
        <w:rPr/>
        <w:t>Úředním</w:t>
      </w:r>
      <w:r>
        <w:rPr>
          <w:spacing w:val="-2"/>
        </w:rPr>
        <w:t> </w:t>
      </w:r>
      <w:r>
        <w:rPr/>
        <w:t>věstníku</w:t>
      </w:r>
      <w:r>
        <w:rPr>
          <w:spacing w:val="-4"/>
        </w:rPr>
        <w:t> </w:t>
      </w:r>
      <w:r>
        <w:rPr/>
        <w:t>EU</w:t>
      </w:r>
      <w:r>
        <w:rPr>
          <w:spacing w:val="-4"/>
        </w:rPr>
        <w:t> </w:t>
      </w:r>
      <w:r>
        <w:rPr/>
        <w:t>dne</w:t>
      </w:r>
      <w:r>
        <w:rPr>
          <w:spacing w:val="-5"/>
        </w:rPr>
        <w:t> </w:t>
      </w:r>
      <w:r>
        <w:rPr/>
        <w:t>15.</w:t>
      </w:r>
      <w:r>
        <w:rPr>
          <w:spacing w:val="-4"/>
        </w:rPr>
        <w:t> </w:t>
      </w:r>
      <w:r>
        <w:rPr/>
        <w:t>12.</w:t>
      </w:r>
      <w:r>
        <w:rPr>
          <w:spacing w:val="-4"/>
        </w:rPr>
        <w:t> </w:t>
      </w:r>
      <w:r>
        <w:rPr>
          <w:spacing w:val="-2"/>
        </w:rPr>
        <w:t>2023.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76"/>
        <w:ind w:left="1306" w:right="1038"/>
      </w:pPr>
      <w:r>
        <w:rPr>
          <w:spacing w:val="-5"/>
        </w:rPr>
        <w:t>II.</w:t>
      </w:r>
    </w:p>
    <w:p>
      <w:pPr>
        <w:pStyle w:val="Heading2"/>
        <w:ind w:left="1304" w:right="1039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3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0" w:after="0"/>
        <w:ind w:left="665" w:right="109" w:hanging="284"/>
        <w:jc w:val="left"/>
        <w:rPr>
          <w:sz w:val="20"/>
        </w:rPr>
      </w:pPr>
      <w:r>
        <w:rPr>
          <w:sz w:val="20"/>
        </w:rPr>
        <w:t>Fond se zavazuje poskytnout příjemci podpory podporu formou dotace ve výši </w:t>
      </w:r>
      <w:r>
        <w:rPr>
          <w:b/>
          <w:sz w:val="20"/>
        </w:rPr>
        <w:t>2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160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000,00 Kč </w:t>
      </w:r>
      <w:r>
        <w:rPr>
          <w:sz w:val="20"/>
        </w:rPr>
        <w:t>(slovy: dva miliony</w:t>
      </w:r>
      <w:r>
        <w:rPr>
          <w:spacing w:val="40"/>
          <w:sz w:val="20"/>
        </w:rPr>
        <w:t> </w:t>
      </w:r>
      <w:r>
        <w:rPr>
          <w:sz w:val="20"/>
        </w:rPr>
        <w:t>jedno sto šedesát</w:t>
      </w:r>
      <w:r>
        <w:rPr>
          <w:spacing w:val="40"/>
          <w:sz w:val="20"/>
        </w:rPr>
        <w:t> </w:t>
      </w:r>
      <w:r>
        <w:rPr>
          <w:sz w:val="20"/>
        </w:rPr>
        <w:t>tisíc korun českých), která bude vyplacena ve dvou částech:</w:t>
      </w:r>
    </w:p>
    <w:p>
      <w:pPr>
        <w:pStyle w:val="ListParagraph"/>
        <w:numPr>
          <w:ilvl w:val="1"/>
          <w:numId w:val="2"/>
        </w:numPr>
        <w:tabs>
          <w:tab w:pos="1102" w:val="left" w:leader="none"/>
        </w:tabs>
        <w:spacing w:line="240" w:lineRule="auto" w:before="122" w:after="0"/>
        <w:ind w:left="1101" w:right="118" w:hanging="360"/>
        <w:jc w:val="left"/>
        <w:rPr>
          <w:sz w:val="20"/>
        </w:rPr>
      </w:pPr>
      <w:r>
        <w:rPr>
          <w:sz w:val="20"/>
        </w:rPr>
        <w:t>jednorázová záloha (ex ante platba bez nutnosti podávat žádost o platbu) proplácená po nabytí</w:t>
      </w:r>
      <w:r>
        <w:rPr>
          <w:spacing w:val="40"/>
          <w:sz w:val="20"/>
        </w:rPr>
        <w:t> </w:t>
      </w:r>
      <w:r>
        <w:rPr>
          <w:sz w:val="20"/>
        </w:rPr>
        <w:t>účinnosti této Smlouvy ve výši 60 % celkové dotace a</w:t>
      </w:r>
    </w:p>
    <w:p>
      <w:pPr>
        <w:pStyle w:val="ListParagraph"/>
        <w:numPr>
          <w:ilvl w:val="1"/>
          <w:numId w:val="2"/>
        </w:numPr>
        <w:tabs>
          <w:tab w:pos="1102" w:val="left" w:leader="none"/>
        </w:tabs>
        <w:spacing w:line="240" w:lineRule="auto" w:before="120" w:after="0"/>
        <w:ind w:left="1101" w:right="108" w:hanging="360"/>
        <w:jc w:val="left"/>
        <w:rPr>
          <w:sz w:val="20"/>
        </w:rPr>
      </w:pPr>
      <w:r>
        <w:rPr>
          <w:sz w:val="20"/>
        </w:rPr>
        <w:t>následné</w:t>
      </w:r>
      <w:r>
        <w:rPr>
          <w:spacing w:val="36"/>
          <w:sz w:val="20"/>
        </w:rPr>
        <w:t> </w:t>
      </w:r>
      <w:r>
        <w:rPr>
          <w:sz w:val="20"/>
        </w:rPr>
        <w:t>vyúčtování</w:t>
      </w:r>
      <w:r>
        <w:rPr>
          <w:spacing w:val="36"/>
          <w:sz w:val="20"/>
        </w:rPr>
        <w:t> </w:t>
      </w:r>
      <w:r>
        <w:rPr>
          <w:sz w:val="20"/>
        </w:rPr>
        <w:t>(ex</w:t>
      </w:r>
      <w:r>
        <w:rPr>
          <w:spacing w:val="37"/>
          <w:sz w:val="20"/>
        </w:rPr>
        <w:t> </w:t>
      </w:r>
      <w:r>
        <w:rPr>
          <w:sz w:val="20"/>
        </w:rPr>
        <w:t>post</w:t>
      </w:r>
      <w:r>
        <w:rPr>
          <w:spacing w:val="36"/>
          <w:sz w:val="20"/>
        </w:rPr>
        <w:t> </w:t>
      </w:r>
      <w:r>
        <w:rPr>
          <w:sz w:val="20"/>
        </w:rPr>
        <w:t>platba,</w:t>
      </w:r>
      <w:r>
        <w:rPr>
          <w:spacing w:val="37"/>
          <w:sz w:val="20"/>
        </w:rPr>
        <w:t> </w:t>
      </w:r>
      <w:r>
        <w:rPr>
          <w:sz w:val="20"/>
        </w:rPr>
        <w:t>tj.</w:t>
      </w:r>
      <w:r>
        <w:rPr>
          <w:spacing w:val="36"/>
          <w:sz w:val="20"/>
        </w:rPr>
        <w:t> </w:t>
      </w:r>
      <w:r>
        <w:rPr>
          <w:sz w:val="20"/>
        </w:rPr>
        <w:t>doplatek)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proplaceno</w:t>
      </w:r>
      <w:r>
        <w:rPr>
          <w:spacing w:val="39"/>
          <w:sz w:val="20"/>
        </w:rPr>
        <w:t> </w:t>
      </w:r>
      <w:r>
        <w:rPr>
          <w:sz w:val="20"/>
        </w:rPr>
        <w:t>na</w:t>
      </w:r>
      <w:r>
        <w:rPr>
          <w:spacing w:val="36"/>
          <w:sz w:val="20"/>
        </w:rPr>
        <w:t> </w:t>
      </w:r>
      <w:r>
        <w:rPr>
          <w:sz w:val="20"/>
        </w:rPr>
        <w:t>základě</w:t>
      </w:r>
      <w:r>
        <w:rPr>
          <w:spacing w:val="36"/>
          <w:sz w:val="20"/>
        </w:rPr>
        <w:t> </w:t>
      </w:r>
      <w:r>
        <w:rPr>
          <w:sz w:val="20"/>
        </w:rPr>
        <w:t>doložení</w:t>
      </w:r>
      <w:r>
        <w:rPr>
          <w:spacing w:val="37"/>
          <w:sz w:val="20"/>
        </w:rPr>
        <w:t> </w:t>
      </w:r>
      <w:r>
        <w:rPr>
          <w:sz w:val="20"/>
        </w:rPr>
        <w:t>všech relevantních</w:t>
      </w:r>
      <w:r>
        <w:rPr>
          <w:spacing w:val="-14"/>
          <w:sz w:val="20"/>
        </w:rPr>
        <w:t> </w:t>
      </w:r>
      <w:r>
        <w:rPr>
          <w:sz w:val="20"/>
        </w:rPr>
        <w:t>podkladů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části</w:t>
      </w:r>
      <w:r>
        <w:rPr>
          <w:spacing w:val="-13"/>
          <w:sz w:val="20"/>
        </w:rPr>
        <w:t> </w:t>
      </w:r>
      <w:r>
        <w:rPr>
          <w:sz w:val="20"/>
        </w:rPr>
        <w:t>2.1</w:t>
      </w:r>
      <w:r>
        <w:rPr>
          <w:spacing w:val="-14"/>
          <w:sz w:val="20"/>
        </w:rPr>
        <w:t> </w:t>
      </w:r>
      <w:r>
        <w:rPr>
          <w:sz w:val="20"/>
        </w:rPr>
        <w:t>Výzvy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po</w:t>
      </w:r>
      <w:r>
        <w:rPr>
          <w:spacing w:val="-14"/>
          <w:sz w:val="20"/>
        </w:rPr>
        <w:t> </w:t>
      </w:r>
      <w:r>
        <w:rPr>
          <w:sz w:val="20"/>
        </w:rPr>
        <w:t>ukončení</w:t>
      </w:r>
      <w:r>
        <w:rPr>
          <w:spacing w:val="-14"/>
          <w:sz w:val="20"/>
        </w:rPr>
        <w:t> </w:t>
      </w:r>
      <w:r>
        <w:rPr>
          <w:sz w:val="20"/>
        </w:rPr>
        <w:t>všech</w:t>
      </w:r>
      <w:r>
        <w:rPr>
          <w:spacing w:val="-13"/>
          <w:sz w:val="20"/>
        </w:rPr>
        <w:t> </w:t>
      </w:r>
      <w:r>
        <w:rPr>
          <w:sz w:val="20"/>
        </w:rPr>
        <w:t>souvisejících</w:t>
      </w:r>
      <w:r>
        <w:rPr>
          <w:spacing w:val="-14"/>
          <w:sz w:val="20"/>
        </w:rPr>
        <w:t> </w:t>
      </w:r>
      <w:r>
        <w:rPr>
          <w:sz w:val="20"/>
        </w:rPr>
        <w:t>aktivit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části</w:t>
      </w:r>
      <w:r>
        <w:rPr>
          <w:spacing w:val="-13"/>
          <w:sz w:val="20"/>
        </w:rPr>
        <w:t> </w:t>
      </w:r>
      <w:r>
        <w:rPr>
          <w:sz w:val="20"/>
        </w:rPr>
        <w:t>2.2</w:t>
      </w:r>
      <w:r>
        <w:rPr>
          <w:spacing w:val="-14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65" w:lineRule="exact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4"/>
          <w:sz w:val="20"/>
        </w:rPr>
        <w:t> </w:t>
      </w:r>
      <w:r>
        <w:rPr>
          <w:sz w:val="20"/>
        </w:rPr>
        <w:t>je</w:t>
      </w:r>
      <w:r>
        <w:rPr>
          <w:spacing w:val="14"/>
          <w:sz w:val="20"/>
        </w:rPr>
        <w:t> </w:t>
      </w:r>
      <w:r>
        <w:rPr>
          <w:sz w:val="20"/>
        </w:rPr>
        <w:t>poskytována</w:t>
      </w:r>
      <w:r>
        <w:rPr>
          <w:spacing w:val="15"/>
          <w:sz w:val="20"/>
        </w:rPr>
        <w:t> </w:t>
      </w:r>
      <w:r>
        <w:rPr>
          <w:sz w:val="20"/>
        </w:rPr>
        <w:t>formou</w:t>
      </w:r>
      <w:r>
        <w:rPr>
          <w:spacing w:val="15"/>
          <w:sz w:val="20"/>
        </w:rPr>
        <w:t> </w:t>
      </w:r>
      <w:r>
        <w:rPr>
          <w:sz w:val="20"/>
        </w:rPr>
        <w:t>dotace</w:t>
      </w:r>
      <w:r>
        <w:rPr>
          <w:spacing w:val="13"/>
          <w:sz w:val="20"/>
        </w:rPr>
        <w:t> </w:t>
      </w:r>
      <w:r>
        <w:rPr>
          <w:sz w:val="20"/>
        </w:rPr>
        <w:t>podle</w:t>
      </w:r>
      <w:r>
        <w:rPr>
          <w:spacing w:val="15"/>
          <w:sz w:val="20"/>
        </w:rPr>
        <w:t> </w:t>
      </w:r>
      <w:r>
        <w:rPr>
          <w:sz w:val="20"/>
        </w:rPr>
        <w:t>typu</w:t>
      </w:r>
      <w:r>
        <w:rPr>
          <w:spacing w:val="16"/>
          <w:sz w:val="20"/>
        </w:rPr>
        <w:t> </w:t>
      </w:r>
      <w:r>
        <w:rPr>
          <w:sz w:val="20"/>
        </w:rPr>
        <w:t>energetického</w:t>
      </w:r>
      <w:r>
        <w:rPr>
          <w:spacing w:val="15"/>
          <w:sz w:val="20"/>
        </w:rPr>
        <w:t> </w:t>
      </w:r>
      <w:r>
        <w:rPr>
          <w:sz w:val="20"/>
        </w:rPr>
        <w:t>společenství</w:t>
      </w:r>
      <w:r>
        <w:rPr>
          <w:spacing w:val="14"/>
          <w:sz w:val="20"/>
        </w:rPr>
        <w:t> </w:t>
      </w:r>
      <w:r>
        <w:rPr>
          <w:sz w:val="20"/>
        </w:rPr>
        <w:t>tak,</w:t>
      </w:r>
      <w:r>
        <w:rPr>
          <w:spacing w:val="15"/>
          <w:sz w:val="20"/>
        </w:rPr>
        <w:t> </w:t>
      </w:r>
      <w:r>
        <w:rPr>
          <w:sz w:val="20"/>
        </w:rPr>
        <w:t>jak</w:t>
      </w:r>
      <w:r>
        <w:rPr>
          <w:spacing w:val="14"/>
          <w:sz w:val="20"/>
        </w:rPr>
        <w:t> </w:t>
      </w:r>
      <w:r>
        <w:rPr>
          <w:sz w:val="20"/>
        </w:rPr>
        <w:t>je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definováno</w:t>
      </w:r>
    </w:p>
    <w:p>
      <w:pPr>
        <w:pStyle w:val="BodyText"/>
        <w:spacing w:line="265" w:lineRule="exact"/>
      </w:pPr>
      <w:r>
        <w:rPr/>
        <w:t>v</w:t>
      </w:r>
      <w:r>
        <w:rPr>
          <w:spacing w:val="-2"/>
        </w:rPr>
        <w:t> </w:t>
      </w:r>
      <w:r>
        <w:rPr/>
        <w:t>bodě</w:t>
      </w:r>
      <w:r>
        <w:rPr>
          <w:spacing w:val="-3"/>
        </w:rPr>
        <w:t> </w:t>
      </w:r>
      <w:r>
        <w:rPr/>
        <w:t>4</w:t>
      </w:r>
      <w:r>
        <w:rPr>
          <w:spacing w:val="-1"/>
        </w:rPr>
        <w:t> </w:t>
      </w:r>
      <w:r>
        <w:rPr>
          <w:spacing w:val="-2"/>
        </w:rPr>
        <w:t>Výzvy.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8" w:hanging="284"/>
        <w:jc w:val="left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80"/>
          <w:sz w:val="20"/>
        </w:rPr>
        <w:t> </w:t>
      </w:r>
      <w:r>
        <w:rPr>
          <w:sz w:val="20"/>
        </w:rPr>
        <w:t>vynaložených výdajů, které vznikly a byly uhrazeny v období od 1. ledna 2022.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Při</w:t>
      </w:r>
      <w:r>
        <w:rPr>
          <w:spacing w:val="5"/>
          <w:sz w:val="20"/>
        </w:rPr>
        <w:t> </w:t>
      </w:r>
      <w:r>
        <w:rPr>
          <w:w w:val="95"/>
          <w:sz w:val="20"/>
        </w:rPr>
        <w:t>určování</w:t>
      </w:r>
      <w:r>
        <w:rPr>
          <w:spacing w:val="7"/>
          <w:sz w:val="20"/>
        </w:rPr>
        <w:t> </w:t>
      </w:r>
      <w:r>
        <w:rPr>
          <w:w w:val="95"/>
          <w:sz w:val="20"/>
        </w:rPr>
        <w:t>způsobilých</w:t>
      </w:r>
      <w:r>
        <w:rPr>
          <w:spacing w:val="6"/>
          <w:sz w:val="20"/>
        </w:rPr>
        <w:t> </w:t>
      </w:r>
      <w:r>
        <w:rPr>
          <w:w w:val="95"/>
          <w:sz w:val="20"/>
        </w:rPr>
        <w:t>výdajů</w:t>
      </w:r>
      <w:r>
        <w:rPr>
          <w:spacing w:val="6"/>
          <w:sz w:val="20"/>
        </w:rPr>
        <w:t> </w:t>
      </w:r>
      <w:r>
        <w:rPr>
          <w:w w:val="95"/>
          <w:sz w:val="20"/>
        </w:rPr>
        <w:t>akce</w:t>
      </w:r>
      <w:r>
        <w:rPr>
          <w:spacing w:val="7"/>
          <w:sz w:val="20"/>
        </w:rPr>
        <w:t> </w:t>
      </w:r>
      <w:r>
        <w:rPr>
          <w:w w:val="95"/>
          <w:sz w:val="20"/>
        </w:rPr>
        <w:t>a</w:t>
      </w:r>
      <w:r>
        <w:rPr>
          <w:spacing w:val="4"/>
          <w:sz w:val="20"/>
        </w:rPr>
        <w:t> </w:t>
      </w:r>
      <w:r>
        <w:rPr>
          <w:w w:val="95"/>
          <w:sz w:val="20"/>
        </w:rPr>
        <w:t>z</w:t>
      </w:r>
      <w:r>
        <w:rPr>
          <w:spacing w:val="8"/>
          <w:sz w:val="20"/>
        </w:rPr>
        <w:t> </w:t>
      </w:r>
      <w:r>
        <w:rPr>
          <w:w w:val="95"/>
          <w:sz w:val="20"/>
        </w:rPr>
        <w:t>nich</w:t>
      </w:r>
      <w:r>
        <w:rPr>
          <w:spacing w:val="5"/>
          <w:sz w:val="20"/>
        </w:rPr>
        <w:t> </w:t>
      </w:r>
      <w:r>
        <w:rPr>
          <w:w w:val="95"/>
          <w:sz w:val="20"/>
        </w:rPr>
        <w:t>odvozené</w:t>
      </w:r>
      <w:r>
        <w:rPr>
          <w:spacing w:val="4"/>
          <w:sz w:val="20"/>
        </w:rPr>
        <w:t> </w:t>
      </w:r>
      <w:r>
        <w:rPr>
          <w:w w:val="95"/>
          <w:sz w:val="20"/>
        </w:rPr>
        <w:t>výše</w:t>
      </w:r>
      <w:r>
        <w:rPr>
          <w:spacing w:val="8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4"/>
          <w:sz w:val="20"/>
        </w:rPr>
        <w:t> </w:t>
      </w:r>
      <w:r>
        <w:rPr>
          <w:w w:val="95"/>
          <w:sz w:val="20"/>
        </w:rPr>
        <w:t>se</w:t>
      </w:r>
      <w:r>
        <w:rPr>
          <w:spacing w:val="4"/>
          <w:sz w:val="20"/>
        </w:rPr>
        <w:t> </w:t>
      </w:r>
      <w:r>
        <w:rPr>
          <w:w w:val="95"/>
          <w:sz w:val="20"/>
        </w:rPr>
        <w:t>bude</w:t>
      </w:r>
      <w:r>
        <w:rPr>
          <w:spacing w:val="4"/>
          <w:sz w:val="20"/>
        </w:rPr>
        <w:t> </w:t>
      </w:r>
      <w:r>
        <w:rPr>
          <w:w w:val="95"/>
          <w:sz w:val="20"/>
        </w:rPr>
        <w:t>vycházet</w:t>
      </w:r>
      <w:r>
        <w:rPr>
          <w:spacing w:val="5"/>
          <w:sz w:val="20"/>
        </w:rPr>
        <w:t> </w:t>
      </w:r>
      <w:r>
        <w:rPr>
          <w:w w:val="95"/>
          <w:sz w:val="20"/>
        </w:rPr>
        <w:t>ze</w:t>
      </w:r>
      <w:r>
        <w:rPr>
          <w:spacing w:val="7"/>
          <w:sz w:val="20"/>
        </w:rPr>
        <w:t> </w:t>
      </w:r>
      <w:r>
        <w:rPr>
          <w:w w:val="95"/>
          <w:sz w:val="20"/>
        </w:rPr>
        <w:t>znění</w:t>
      </w:r>
      <w:r>
        <w:rPr>
          <w:spacing w:val="9"/>
          <w:sz w:val="20"/>
        </w:rPr>
        <w:t> </w:t>
      </w:r>
      <w:r>
        <w:rPr>
          <w:w w:val="95"/>
          <w:sz w:val="20"/>
        </w:rPr>
        <w:t>článku</w:t>
      </w:r>
      <w:r>
        <w:rPr>
          <w:spacing w:val="26"/>
          <w:sz w:val="20"/>
        </w:rPr>
        <w:t> </w:t>
      </w:r>
      <w:r>
        <w:rPr>
          <w:spacing w:val="-5"/>
          <w:w w:val="95"/>
          <w:sz w:val="20"/>
        </w:rPr>
        <w:t>14</w:t>
      </w:r>
    </w:p>
    <w:p>
      <w:pPr>
        <w:pStyle w:val="BodyText"/>
      </w:pPr>
      <w:r>
        <w:rPr>
          <w:spacing w:val="-2"/>
        </w:rPr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1303"/>
      </w:pPr>
      <w:r>
        <w:rPr>
          <w:spacing w:val="-4"/>
        </w:rPr>
        <w:t>III.</w:t>
      </w:r>
    </w:p>
    <w:p>
      <w:pPr>
        <w:pStyle w:val="Heading2"/>
        <w:ind w:left="1303" w:right="1039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poskytne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5"/>
          <w:sz w:val="20"/>
        </w:rPr>
        <w:t> </w:t>
      </w:r>
      <w:r>
        <w:rPr>
          <w:sz w:val="20"/>
        </w:rPr>
        <w:t>postupem</w:t>
      </w:r>
      <w:r>
        <w:rPr>
          <w:spacing w:val="-6"/>
          <w:sz w:val="20"/>
        </w:rPr>
        <w:t> </w:t>
      </w:r>
      <w:r>
        <w:rPr>
          <w:sz w:val="20"/>
        </w:rPr>
        <w:t>stanoveným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6"/>
          <w:sz w:val="20"/>
        </w:rPr>
        <w:t> </w:t>
      </w:r>
      <w:r>
        <w:rPr>
          <w:sz w:val="20"/>
        </w:rPr>
        <w:t>Smlouvou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části</w:t>
      </w:r>
      <w:r>
        <w:rPr>
          <w:spacing w:val="-4"/>
          <w:sz w:val="20"/>
        </w:rPr>
        <w:t> </w:t>
      </w:r>
      <w:r>
        <w:rPr>
          <w:sz w:val="20"/>
        </w:rPr>
        <w:t>II,</w:t>
      </w:r>
      <w:r>
        <w:rPr>
          <w:spacing w:val="-7"/>
          <w:sz w:val="20"/>
        </w:rPr>
        <w:t> </w:t>
      </w:r>
      <w:r>
        <w:rPr>
          <w:sz w:val="20"/>
        </w:rPr>
        <w:t>bod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1).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7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121"/>
        <w:ind w:right="111"/>
        <w:jc w:val="both"/>
      </w:pPr>
      <w:r>
        <w:rPr/>
        <w:t>Zálohovou</w:t>
      </w:r>
      <w:r>
        <w:rPr>
          <w:spacing w:val="-13"/>
        </w:rPr>
        <w:t> </w:t>
      </w:r>
      <w:r>
        <w:rPr/>
        <w:t>(ex-ante)</w:t>
      </w:r>
      <w:r>
        <w:rPr>
          <w:spacing w:val="-13"/>
        </w:rPr>
        <w:t> </w:t>
      </w:r>
      <w:r>
        <w:rPr/>
        <w:t>platbu</w:t>
      </w:r>
      <w:r>
        <w:rPr>
          <w:spacing w:val="-10"/>
        </w:rPr>
        <w:t> </w:t>
      </w:r>
      <w:r>
        <w:rPr/>
        <w:t>Fond</w:t>
      </w:r>
      <w:r>
        <w:rPr>
          <w:spacing w:val="-12"/>
        </w:rPr>
        <w:t> </w:t>
      </w:r>
      <w:r>
        <w:rPr/>
        <w:t>příjemci</w:t>
      </w:r>
      <w:r>
        <w:rPr>
          <w:spacing w:val="-10"/>
        </w:rPr>
        <w:t> </w:t>
      </w:r>
      <w:r>
        <w:rPr/>
        <w:t>poskytne</w:t>
      </w:r>
      <w:r>
        <w:rPr>
          <w:spacing w:val="-14"/>
        </w:rPr>
        <w:t> </w:t>
      </w:r>
      <w:r>
        <w:rPr/>
        <w:t>formou</w:t>
      </w:r>
      <w:r>
        <w:rPr>
          <w:spacing w:val="-13"/>
        </w:rPr>
        <w:t> </w:t>
      </w:r>
      <w:r>
        <w:rPr/>
        <w:t>převodu</w:t>
      </w:r>
      <w:r>
        <w:rPr>
          <w:spacing w:val="-12"/>
        </w:rPr>
        <w:t> </w:t>
      </w:r>
      <w:r>
        <w:rPr/>
        <w:t>bez</w:t>
      </w:r>
      <w:r>
        <w:rPr>
          <w:spacing w:val="-12"/>
        </w:rPr>
        <w:t> </w:t>
      </w:r>
      <w:r>
        <w:rPr/>
        <w:t>žádosti</w:t>
      </w:r>
      <w:r>
        <w:rPr>
          <w:spacing w:val="-13"/>
        </w:rPr>
        <w:t> </w:t>
      </w:r>
      <w:r>
        <w:rPr/>
        <w:t>o</w:t>
      </w:r>
      <w:r>
        <w:rPr>
          <w:spacing w:val="-7"/>
        </w:rPr>
        <w:t> </w:t>
      </w:r>
      <w:r>
        <w:rPr/>
        <w:t>platbu</w:t>
      </w:r>
      <w:r>
        <w:rPr>
          <w:spacing w:val="-9"/>
        </w:rPr>
        <w:t> </w:t>
      </w:r>
      <w:r>
        <w:rPr/>
        <w:t>v</w:t>
      </w:r>
      <w:r>
        <w:rPr>
          <w:spacing w:val="-12"/>
        </w:rPr>
        <w:t> </w:t>
      </w:r>
      <w:r>
        <w:rPr/>
        <w:t>poměru</w:t>
      </w:r>
      <w:r>
        <w:rPr>
          <w:spacing w:val="-12"/>
        </w:rPr>
        <w:t> </w:t>
      </w:r>
      <w:r>
        <w:rPr/>
        <w:t>60</w:t>
      </w:r>
      <w:r>
        <w:rPr>
          <w:spacing w:val="-2"/>
        </w:rPr>
        <w:t> </w:t>
      </w:r>
      <w:r>
        <w:rPr/>
        <w:t>% z celkové dotace, a to ve výši 1 296</w:t>
      </w:r>
      <w:r>
        <w:rPr>
          <w:spacing w:val="-1"/>
        </w:rPr>
        <w:t> </w:t>
      </w:r>
      <w:r>
        <w:rPr/>
        <w:t>000,00Kč (tj. 60</w:t>
      </w:r>
      <w:r>
        <w:rPr>
          <w:spacing w:val="-1"/>
        </w:rPr>
        <w:t> </w:t>
      </w:r>
      <w:r>
        <w:rPr/>
        <w:t>% z</w:t>
      </w:r>
      <w:r>
        <w:rPr>
          <w:spacing w:val="-1"/>
        </w:rPr>
        <w:t> </w:t>
      </w:r>
      <w:r>
        <w:rPr/>
        <w:t>celkové dotace). Následný doplatek bude proplacen po ukončení všech souvisejících aktivit dle části 2.2 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7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10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8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437" w:top="1400" w:bottom="1660" w:left="1320" w:right="1020"/>
        </w:sectPr>
      </w:pPr>
    </w:p>
    <w:p>
      <w:pPr>
        <w:pStyle w:val="BodyText"/>
        <w:spacing w:before="89"/>
        <w:ind w:right="112"/>
        <w:jc w:val="both"/>
      </w:pPr>
      <w:r>
        <w:rPr/>
        <w:t>platí i pro případ, že příjemce podpory v průběhu realizace akce nehradí z vlastních zdrojů plně výdaje akce přesahující základ pro stanovení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02"/>
        <w:jc w:val="left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ind w:left="690" w:right="395"/>
        <w:jc w:val="center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0" w:hanging="284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6"/>
          <w:sz w:val="20"/>
        </w:rPr>
        <w:t> </w:t>
      </w:r>
      <w:r>
        <w:rPr>
          <w:sz w:val="20"/>
        </w:rPr>
        <w:t>doplatku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obsahovat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-6"/>
          <w:sz w:val="20"/>
        </w:rPr>
        <w:t> </w:t>
      </w:r>
      <w:r>
        <w:rPr>
          <w:sz w:val="20"/>
        </w:rPr>
        <w:t>definované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11.3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předložením</w:t>
      </w:r>
      <w:r>
        <w:rPr>
          <w:spacing w:val="-9"/>
          <w:sz w:val="20"/>
        </w:rPr>
        <w:t> </w:t>
      </w:r>
      <w:r>
        <w:rPr>
          <w:sz w:val="20"/>
        </w:rPr>
        <w:t>účetních</w:t>
      </w:r>
      <w:r>
        <w:rPr>
          <w:spacing w:val="-11"/>
          <w:sz w:val="20"/>
        </w:rPr>
        <w:t> </w:t>
      </w:r>
      <w:r>
        <w:rPr>
          <w:sz w:val="20"/>
        </w:rPr>
        <w:t>dokladů,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1"/>
          <w:sz w:val="20"/>
        </w:rPr>
        <w:t> </w:t>
      </w:r>
      <w:r>
        <w:rPr>
          <w:sz w:val="20"/>
        </w:rPr>
        <w:t>kopií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mj. potvrzuje,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předložené</w:t>
      </w:r>
      <w:r>
        <w:rPr>
          <w:spacing w:val="-12"/>
          <w:sz w:val="20"/>
        </w:rPr>
        <w:t> </w:t>
      </w:r>
      <w:r>
        <w:rPr>
          <w:sz w:val="20"/>
        </w:rPr>
        <w:t>faktury</w:t>
      </w:r>
      <w:r>
        <w:rPr>
          <w:spacing w:val="-12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skutečným,</w:t>
      </w:r>
      <w:r>
        <w:rPr>
          <w:spacing w:val="-10"/>
          <w:sz w:val="20"/>
        </w:rPr>
        <w:t> </w:t>
      </w:r>
      <w:r>
        <w:rPr>
          <w:sz w:val="20"/>
        </w:rPr>
        <w:t>účelně</w:t>
      </w:r>
      <w:r>
        <w:rPr>
          <w:spacing w:val="-12"/>
          <w:sz w:val="20"/>
        </w:rPr>
        <w:t> </w:t>
      </w:r>
      <w:r>
        <w:rPr>
          <w:sz w:val="20"/>
        </w:rPr>
        <w:t>vynaloženým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způsobilým</w:t>
      </w:r>
      <w:r>
        <w:rPr>
          <w:spacing w:val="-11"/>
          <w:sz w:val="20"/>
        </w:rPr>
        <w:t> </w:t>
      </w:r>
      <w:r>
        <w:rPr>
          <w:sz w:val="20"/>
        </w:rPr>
        <w:t>výdajům</w:t>
      </w:r>
      <w:r>
        <w:rPr>
          <w:spacing w:val="-1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Fondu</w:t>
      </w:r>
      <w:r>
        <w:rPr>
          <w:spacing w:val="-9"/>
          <w:sz w:val="20"/>
        </w:rPr>
        <w:t> </w:t>
      </w:r>
      <w:r>
        <w:rPr>
          <w:sz w:val="20"/>
        </w:rPr>
        <w:t>mohou</w:t>
      </w:r>
      <w:r>
        <w:rPr>
          <w:spacing w:val="-8"/>
          <w:sz w:val="20"/>
        </w:rPr>
        <w:t> </w:t>
      </w:r>
      <w:r>
        <w:rPr>
          <w:sz w:val="20"/>
        </w:rPr>
        <w:t>být</w:t>
      </w:r>
      <w:r>
        <w:rPr>
          <w:spacing w:val="-9"/>
          <w:sz w:val="20"/>
        </w:rPr>
        <w:t> </w:t>
      </w:r>
      <w:r>
        <w:rPr>
          <w:sz w:val="20"/>
        </w:rPr>
        <w:t>předloženy</w:t>
      </w:r>
      <w:r>
        <w:rPr>
          <w:spacing w:val="-9"/>
          <w:sz w:val="20"/>
        </w:rPr>
        <w:t> </w:t>
      </w:r>
      <w:r>
        <w:rPr>
          <w:sz w:val="20"/>
        </w:rPr>
        <w:t>faktury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8"/>
          <w:sz w:val="20"/>
        </w:rPr>
        <w:t> </w:t>
      </w:r>
      <w:r>
        <w:rPr>
          <w:sz w:val="20"/>
        </w:rPr>
        <w:t>uhrazené.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akceptuje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9"/>
          <w:sz w:val="20"/>
        </w:rPr>
        <w:t> </w:t>
      </w:r>
      <w:r>
        <w:rPr>
          <w:sz w:val="20"/>
        </w:rPr>
        <w:t>uhrazených</w:t>
      </w:r>
      <w:r>
        <w:rPr>
          <w:spacing w:val="-8"/>
          <w:sz w:val="20"/>
        </w:rPr>
        <w:t> </w:t>
      </w:r>
      <w:r>
        <w:rPr>
          <w:sz w:val="20"/>
        </w:rPr>
        <w:t>faktur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z </w:t>
      </w:r>
      <w:r>
        <w:rPr>
          <w:spacing w:val="-4"/>
          <w:sz w:val="20"/>
        </w:rPr>
        <w:t>roku</w:t>
      </w:r>
    </w:p>
    <w:p>
      <w:pPr>
        <w:pStyle w:val="BodyText"/>
        <w:jc w:val="both"/>
      </w:pPr>
      <w:r>
        <w:rPr/>
        <w:t>předcházejícího</w:t>
      </w:r>
      <w:r>
        <w:rPr>
          <w:spacing w:val="-9"/>
        </w:rPr>
        <w:t> </w:t>
      </w:r>
      <w:r>
        <w:rPr/>
        <w:t>uvolnění</w:t>
      </w:r>
      <w:r>
        <w:rPr>
          <w:spacing w:val="-10"/>
        </w:rPr>
        <w:t> </w:t>
      </w:r>
      <w:r>
        <w:rPr/>
        <w:t>podpory,</w:t>
      </w:r>
      <w:r>
        <w:rPr>
          <w:spacing w:val="-9"/>
        </w:rPr>
        <w:t> </w:t>
      </w:r>
      <w:r>
        <w:rPr/>
        <w:t>pokud</w:t>
      </w:r>
      <w:r>
        <w:rPr>
          <w:spacing w:val="-9"/>
        </w:rPr>
        <w:t> </w:t>
      </w:r>
      <w:r>
        <w:rPr/>
        <w:t>fakturace</w:t>
      </w:r>
      <w:r>
        <w:rPr>
          <w:spacing w:val="-10"/>
        </w:rPr>
        <w:t> </w:t>
      </w:r>
      <w:r>
        <w:rPr/>
        <w:t>odpovídá</w:t>
      </w:r>
      <w:r>
        <w:rPr>
          <w:spacing w:val="-9"/>
        </w:rPr>
        <w:t> </w:t>
      </w:r>
      <w:r>
        <w:rPr/>
        <w:t>termínům</w:t>
      </w:r>
      <w:r>
        <w:rPr>
          <w:spacing w:val="-8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9" w:hanging="284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splnit.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8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BodyText"/>
        <w:spacing w:before="7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708" w:footer="1437" w:top="1400" w:bottom="1620" w:left="132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8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99"/>
        <w:ind w:left="2640" w:right="4677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ind w:left="270" w:right="2308"/>
      </w:pPr>
      <w:r>
        <w:rPr/>
        <w:t>Základní</w:t>
      </w:r>
      <w:r>
        <w:rPr>
          <w:spacing w:val="-6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type w:val="continuous"/>
          <w:pgSz w:w="12240" w:h="15840"/>
          <w:pgMar w:header="708" w:footer="1437" w:top="1400" w:bottom="1620" w:left="1320" w:right="1020"/>
          <w:cols w:num="2" w:equalWidth="0">
            <w:col w:w="2266" w:space="40"/>
            <w:col w:w="7594"/>
          </w:cols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se zavazuje splnit účel akce tím, že akce Energetické společenství ENERKOM Podlipansko bude provedena v souladu s Výzvou, žádostí o 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MŽP,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NPO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předmět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plnit</w:t>
      </w:r>
      <w:r>
        <w:rPr>
          <w:spacing w:val="-2"/>
          <w:sz w:val="20"/>
        </w:rPr>
        <w:t> </w:t>
      </w:r>
      <w:r>
        <w:rPr>
          <w:sz w:val="20"/>
        </w:rPr>
        <w:t>svoji</w:t>
      </w:r>
      <w:r>
        <w:rPr>
          <w:spacing w:val="-6"/>
          <w:sz w:val="20"/>
        </w:rPr>
        <w:t> </w:t>
      </w:r>
      <w:r>
        <w:rPr>
          <w:sz w:val="20"/>
        </w:rPr>
        <w:t>funkci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1"/>
          <w:sz w:val="20"/>
        </w:rPr>
        <w:t> </w:t>
      </w:r>
      <w:r>
        <w:rPr>
          <w:sz w:val="20"/>
        </w:rPr>
        <w:t>5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ode</w:t>
      </w:r>
      <w:r>
        <w:rPr>
          <w:spacing w:val="-6"/>
          <w:sz w:val="20"/>
        </w:rPr>
        <w:t> </w:t>
      </w:r>
      <w:r>
        <w:rPr>
          <w:sz w:val="20"/>
        </w:rPr>
        <w:t>dne</w:t>
      </w:r>
      <w:r>
        <w:rPr>
          <w:spacing w:val="-5"/>
          <w:sz w:val="20"/>
        </w:rPr>
        <w:t> </w:t>
      </w:r>
      <w:r>
        <w:rPr>
          <w:sz w:val="20"/>
        </w:rPr>
        <w:t>vydání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rozhodnutí,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09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</w:t>
      </w:r>
      <w:r>
        <w:rPr>
          <w:spacing w:val="-13"/>
          <w:sz w:val="20"/>
        </w:rPr>
        <w:t> </w:t>
      </w:r>
      <w:r>
        <w:rPr>
          <w:sz w:val="20"/>
        </w:rPr>
        <w:t>daňové</w:t>
      </w:r>
      <w:r>
        <w:rPr>
          <w:spacing w:val="-14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586/1992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daních</w:t>
      </w:r>
      <w:r>
        <w:rPr>
          <w:spacing w:val="-13"/>
          <w:sz w:val="20"/>
        </w:rPr>
        <w:t> </w:t>
      </w:r>
      <w:r>
        <w:rPr>
          <w:sz w:val="20"/>
        </w:rPr>
        <w:t>z příjmů,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</w:t>
      </w:r>
      <w:r>
        <w:rPr>
          <w:spacing w:val="-12"/>
          <w:sz w:val="20"/>
        </w:rPr>
        <w:t> </w:t>
      </w:r>
      <w:r>
        <w:rPr>
          <w:sz w:val="20"/>
        </w:rPr>
        <w:t>znění)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pokynů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13"/>
          <w:sz w:val="20"/>
        </w:rPr>
        <w:t> </w:t>
      </w:r>
      <w:r>
        <w:rPr>
          <w:sz w:val="20"/>
        </w:rPr>
        <w:t>9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</w:p>
    <w:p>
      <w:pPr>
        <w:pStyle w:val="BodyText"/>
        <w:spacing w:before="1"/>
        <w:ind w:left="741"/>
        <w:jc w:val="both"/>
      </w:pPr>
      <w:r>
        <w:rPr/>
        <w:t>e)</w:t>
      </w:r>
      <w:r>
        <w:rPr>
          <w:spacing w:val="-4"/>
        </w:rPr>
        <w:t> </w:t>
      </w:r>
      <w:r>
        <w:rPr>
          <w:spacing w:val="-2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3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</w:t>
      </w:r>
      <w:r>
        <w:rPr>
          <w:spacing w:val="-4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 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</w:t>
      </w:r>
      <w:r>
        <w:rPr>
          <w:spacing w:val="-3"/>
          <w:sz w:val="20"/>
        </w:rPr>
        <w:t> </w:t>
      </w:r>
      <w:r>
        <w:rPr>
          <w:sz w:val="20"/>
        </w:rPr>
        <w:t>kontrolou</w:t>
      </w:r>
      <w:r>
        <w:rPr>
          <w:spacing w:val="-3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4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708" w:footer="1437" w:top="1400" w:bottom="162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89" w:after="0"/>
        <w:ind w:left="741" w:right="118" w:hanging="360"/>
        <w:jc w:val="both"/>
        <w:rPr>
          <w:sz w:val="20"/>
        </w:rPr>
      </w:pPr>
      <w:r>
        <w:rPr>
          <w:sz w:val="20"/>
        </w:rPr>
        <w:t>realizací projektu nedojde k významnému poškození environmentálních cílů v souladu s článkem 17, nařízení Evropského parlamentu a Rady (EU) 2020/852 ze dne 18. června 2020 o zřízení rámce pro usnadnění udržitelných investic a o změně nařízení (EU) 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7"/>
          <w:sz w:val="20"/>
        </w:rPr>
        <w:t> </w:t>
      </w:r>
      <w:r>
        <w:rPr>
          <w:sz w:val="20"/>
        </w:rPr>
        <w:t>provádět</w:t>
      </w:r>
      <w:r>
        <w:rPr>
          <w:spacing w:val="-7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16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20"/>
        <w:jc w:val="both"/>
      </w:pPr>
      <w:r>
        <w:rPr/>
        <w:t>c)</w:t>
      </w:r>
      <w:r>
        <w:rPr>
          <w:spacing w:val="65"/>
        </w:rPr>
        <w:t> </w:t>
      </w:r>
      <w:r>
        <w:rPr/>
        <w:t>se</w:t>
      </w:r>
      <w:r>
        <w:rPr>
          <w:spacing w:val="-6"/>
        </w:rPr>
        <w:t> </w:t>
      </w:r>
      <w:r>
        <w:rPr/>
        <w:t>zavazuje</w:t>
      </w:r>
      <w:r>
        <w:rPr>
          <w:spacing w:val="-5"/>
        </w:rPr>
        <w:t> </w:t>
      </w:r>
      <w:r>
        <w:rPr/>
        <w:t>dodržet</w:t>
      </w:r>
      <w:r>
        <w:rPr>
          <w:spacing w:val="-5"/>
        </w:rPr>
        <w:t> </w:t>
      </w:r>
      <w:r>
        <w:rPr/>
        <w:t>lhůty</w:t>
      </w:r>
      <w:r>
        <w:rPr>
          <w:spacing w:val="-5"/>
        </w:rPr>
        <w:t> </w:t>
      </w:r>
      <w:r>
        <w:rPr/>
        <w:t>realizace</w:t>
      </w:r>
      <w:r>
        <w:rPr>
          <w:spacing w:val="-5"/>
        </w:rPr>
        <w:t> </w:t>
      </w:r>
      <w:r>
        <w:rPr>
          <w:spacing w:val="-2"/>
        </w:rPr>
        <w:t>takto: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8" w:hanging="360"/>
        <w:jc w:val="both"/>
        <w:rPr>
          <w:sz w:val="20"/>
        </w:rPr>
      </w:pPr>
      <w:r>
        <w:rPr>
          <w:sz w:val="20"/>
        </w:rPr>
        <w:t>termín dokončení akce do konce 10/2025 a o dodržení tohoto termínu Fond bez zbytečného odkladu informovat. Přitom se konstatuje, že akce byla zahájena v 07/2024.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18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09" w:hanging="284"/>
        <w:jc w:val="both"/>
        <w:rPr>
          <w:sz w:val="20"/>
        </w:rPr>
      </w:pPr>
      <w:r>
        <w:rPr>
          <w:sz w:val="20"/>
        </w:rPr>
        <w:t>umožnit osobám pověřeným Fondem, případně jiným oprávněným kontrolním orgánům, provádět věcnou,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účetní</w:t>
      </w:r>
      <w:r>
        <w:rPr>
          <w:spacing w:val="-2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5"/>
          <w:sz w:val="20"/>
        </w:rPr>
        <w:t> </w:t>
      </w:r>
      <w:r>
        <w:rPr>
          <w:sz w:val="20"/>
        </w:rPr>
        <w:t>souvisejících</w:t>
      </w:r>
      <w:r>
        <w:rPr>
          <w:spacing w:val="-4"/>
          <w:sz w:val="20"/>
        </w:rPr>
        <w:t> </w:t>
      </w:r>
      <w:r>
        <w:rPr>
          <w:sz w:val="20"/>
        </w:rPr>
        <w:t>dokumentů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 i po jejím dokončení po dobu 3 let, a to v takovém rozsahu (i pokud jde o poskytnutí příslušných dokladů), aby mohly být objasněny všechny okolnosti, týkající se této Smlouvy podle v</w:t>
      </w:r>
      <w:r>
        <w:rPr>
          <w:spacing w:val="-2"/>
          <w:sz w:val="20"/>
        </w:rPr>
        <w:t> </w:t>
      </w:r>
      <w:r>
        <w:rPr>
          <w:sz w:val="20"/>
        </w:rPr>
        <w:t>čl. 12 písm. i)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8" w:hanging="293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 realizace akce bez zbytečného odkladu informovat poskytovatele dotace o změnách předmětných</w:t>
      </w:r>
      <w:r>
        <w:rPr>
          <w:spacing w:val="-14"/>
          <w:sz w:val="20"/>
        </w:rPr>
        <w:t> </w:t>
      </w:r>
      <w:r>
        <w:rPr>
          <w:sz w:val="20"/>
        </w:rPr>
        <w:t>údajů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skutečných</w:t>
      </w:r>
      <w:r>
        <w:rPr>
          <w:spacing w:val="-14"/>
          <w:sz w:val="20"/>
        </w:rPr>
        <w:t> </w:t>
      </w:r>
      <w:r>
        <w:rPr>
          <w:sz w:val="20"/>
        </w:rPr>
        <w:t>majitelích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případě</w:t>
      </w:r>
      <w:r>
        <w:rPr>
          <w:spacing w:val="-12"/>
          <w:sz w:val="20"/>
        </w:rPr>
        <w:t> </w:t>
      </w:r>
      <w:r>
        <w:rPr>
          <w:sz w:val="20"/>
        </w:rPr>
        <w:t>takové</w:t>
      </w:r>
      <w:r>
        <w:rPr>
          <w:spacing w:val="-14"/>
          <w:sz w:val="20"/>
        </w:rPr>
        <w:t> </w:t>
      </w:r>
      <w:r>
        <w:rPr>
          <w:sz w:val="20"/>
        </w:rPr>
        <w:t>změny</w:t>
      </w:r>
      <w:r>
        <w:rPr>
          <w:spacing w:val="-13"/>
          <w:sz w:val="20"/>
        </w:rPr>
        <w:t> </w:t>
      </w:r>
      <w:r>
        <w:rPr>
          <w:sz w:val="20"/>
        </w:rPr>
        <w:t>předložit</w:t>
      </w:r>
      <w:r>
        <w:rPr>
          <w:spacing w:val="-14"/>
          <w:sz w:val="20"/>
        </w:rPr>
        <w:t> </w:t>
      </w:r>
      <w:r>
        <w:rPr>
          <w:sz w:val="20"/>
        </w:rPr>
        <w:t>nově</w:t>
      </w:r>
      <w:r>
        <w:rPr>
          <w:spacing w:val="-13"/>
          <w:sz w:val="20"/>
        </w:rPr>
        <w:t> </w:t>
      </w:r>
      <w:r>
        <w:rPr>
          <w:sz w:val="20"/>
        </w:rPr>
        <w:t>vyplněné</w:t>
      </w:r>
      <w:r>
        <w:rPr>
          <w:spacing w:val="-12"/>
          <w:sz w:val="20"/>
        </w:rPr>
        <w:t> </w:t>
      </w:r>
      <w:r>
        <w:rPr>
          <w:sz w:val="20"/>
        </w:rPr>
        <w:t>Čestné prohlášení k vyloučení střetu zájmů,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0" w:hanging="29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5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9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bb)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116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nesmí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střetu</w:t>
      </w:r>
      <w:r>
        <w:rPr>
          <w:spacing w:val="-10"/>
          <w:sz w:val="20"/>
        </w:rPr>
        <w:t> </w:t>
      </w:r>
      <w:r>
        <w:rPr>
          <w:sz w:val="20"/>
        </w:rPr>
        <w:t>zájmů</w:t>
      </w:r>
      <w:r>
        <w:rPr>
          <w:spacing w:val="-10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1"/>
          <w:sz w:val="20"/>
        </w:rPr>
        <w:t> </w:t>
      </w:r>
      <w:r>
        <w:rPr>
          <w:sz w:val="20"/>
        </w:rPr>
        <w:t>61</w:t>
      </w:r>
      <w:r>
        <w:rPr>
          <w:spacing w:val="-7"/>
          <w:sz w:val="20"/>
        </w:rPr>
        <w:t> </w:t>
      </w:r>
      <w:r>
        <w:rPr>
          <w:sz w:val="20"/>
        </w:rPr>
        <w:t>Finančního</w:t>
      </w:r>
      <w:r>
        <w:rPr>
          <w:spacing w:val="-9"/>
          <w:sz w:val="20"/>
        </w:rPr>
        <w:t> </w:t>
      </w:r>
      <w:r>
        <w:rPr>
          <w:sz w:val="20"/>
        </w:rPr>
        <w:t>nařízení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Sdělení</w:t>
      </w:r>
      <w:r>
        <w:rPr>
          <w:spacing w:val="-10"/>
          <w:sz w:val="20"/>
        </w:rPr>
        <w:t> </w:t>
      </w:r>
      <w:r>
        <w:rPr>
          <w:sz w:val="20"/>
        </w:rPr>
        <w:t>Komise</w:t>
      </w:r>
      <w:r>
        <w:rPr>
          <w:spacing w:val="-11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2021/C 121/01 Pokyny k zabránění střetu zájmů a jeho řešení podle Finančního nařízení, Sdělení Komise č. 2021/C 121/01 Pokyny k zabránění střetu zájmů a jeho řešení podle Finančního nařízení a čl. 3 bodu 6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437" w:top="1400" w:bottom="1660" w:left="1320" w:right="1020"/>
        </w:sectPr>
      </w:pPr>
    </w:p>
    <w:p>
      <w:pPr>
        <w:pStyle w:val="BodyText"/>
        <w:spacing w:before="89"/>
        <w:ind w:right="114"/>
        <w:jc w:val="both"/>
      </w:pPr>
      <w:r>
        <w:rPr/>
        <w:t>Směrnice Evropského Parlamentu a Rady (EU) 2015/849 o předcházení využívání finančního systému k praní peněz nebo financování terorismu a ve smyslu § 4c zákona č. 159/2006 Sb., o střetu zájmů, v platném znění.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 podpory</w:t>
      </w:r>
      <w:r>
        <w:rPr>
          <w:spacing w:val="2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povinen</w:t>
      </w:r>
      <w:r>
        <w:rPr>
          <w:spacing w:val="2"/>
          <w:sz w:val="20"/>
        </w:rPr>
        <w:t> </w:t>
      </w:r>
      <w:r>
        <w:rPr>
          <w:sz w:val="20"/>
        </w:rPr>
        <w:t>se zdržet</w:t>
      </w:r>
      <w:r>
        <w:rPr>
          <w:spacing w:val="2"/>
          <w:sz w:val="20"/>
        </w:rPr>
        <w:t> </w:t>
      </w:r>
      <w:r>
        <w:rPr>
          <w:sz w:val="20"/>
        </w:rPr>
        <w:t>podvodného</w:t>
      </w:r>
      <w:r>
        <w:rPr>
          <w:spacing w:val="3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korupčního</w:t>
      </w:r>
      <w:r>
        <w:rPr>
          <w:spacing w:val="2"/>
          <w:sz w:val="20"/>
        </w:rPr>
        <w:t> </w:t>
      </w:r>
      <w:r>
        <w:rPr>
          <w:sz w:val="20"/>
        </w:rPr>
        <w:t>jednání</w:t>
      </w:r>
      <w:r>
        <w:rPr>
          <w:spacing w:val="1"/>
          <w:sz w:val="20"/>
        </w:rPr>
        <w:t> </w:t>
      </w:r>
      <w:r>
        <w:rPr>
          <w:sz w:val="20"/>
        </w:rPr>
        <w:t>definovaného</w:t>
      </w:r>
      <w:r>
        <w:rPr>
          <w:spacing w:val="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10"/>
          <w:sz w:val="20"/>
        </w:rPr>
        <w:t> </w:t>
      </w:r>
      <w:r>
        <w:rPr>
          <w:sz w:val="20"/>
        </w:rPr>
        <w:t>9</w:t>
      </w:r>
      <w:r>
        <w:rPr>
          <w:spacing w:val="3"/>
          <w:sz w:val="20"/>
        </w:rPr>
        <w:t> </w:t>
      </w:r>
      <w:r>
        <w:rPr>
          <w:sz w:val="20"/>
        </w:rPr>
        <w:t>písm.</w:t>
      </w:r>
      <w:r>
        <w:rPr>
          <w:spacing w:val="2"/>
          <w:sz w:val="20"/>
        </w:rPr>
        <w:t> </w:t>
      </w:r>
      <w:r>
        <w:rPr>
          <w:spacing w:val="-5"/>
          <w:sz w:val="20"/>
        </w:rPr>
        <w:t>s)</w:t>
      </w:r>
    </w:p>
    <w:p>
      <w:pPr>
        <w:pStyle w:val="BodyText"/>
        <w:spacing w:before="1"/>
      </w:pPr>
      <w:r>
        <w:rPr>
          <w:spacing w:val="-2"/>
        </w:rPr>
        <w:t>Výzvy.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spacing w:before="1"/>
        <w:ind w:left="1304" w:right="1039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1"/>
        <w:ind w:left="0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3,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2"/>
          <w:sz w:val="20"/>
        </w:rPr>
        <w:t> </w:t>
      </w:r>
      <w:r>
        <w:rPr>
          <w:sz w:val="20"/>
        </w:rPr>
        <w:t>b) za první nebo druhou odrážkou nebo podle článku IV bodu 2 písm. a) nebo c)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6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4"/>
          <w:sz w:val="20"/>
        </w:rPr>
        <w:t> </w:t>
      </w:r>
      <w:r>
        <w:rPr>
          <w:sz w:val="20"/>
        </w:rPr>
        <w:t>porušení povinností uvedených v článku IV bodu 1 písm. a), bude toto porušení postiženo odvodem ve výši 100 % z poskytnuté 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povinností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1"/>
          <w:sz w:val="20"/>
        </w:rPr>
        <w:t> </w:t>
      </w:r>
      <w:r>
        <w:rPr>
          <w:sz w:val="20"/>
        </w:rPr>
        <w:t>IV</w:t>
      </w:r>
      <w:r>
        <w:rPr>
          <w:spacing w:val="-9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písm.</w:t>
      </w:r>
      <w:r>
        <w:rPr>
          <w:spacing w:val="-10"/>
          <w:sz w:val="20"/>
        </w:rPr>
        <w:t> </w:t>
      </w:r>
      <w:r>
        <w:rPr>
          <w:sz w:val="20"/>
        </w:rPr>
        <w:t>c)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postiženo</w:t>
      </w:r>
      <w:r>
        <w:rPr>
          <w:spacing w:val="-9"/>
          <w:sz w:val="20"/>
        </w:rPr>
        <w:t> </w:t>
      </w:r>
      <w:r>
        <w:rPr>
          <w:sz w:val="20"/>
        </w:rPr>
        <w:t>odvodem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0,5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0"/>
          <w:sz w:val="20"/>
        </w:rPr>
        <w:t> </w:t>
      </w:r>
      <w:r>
        <w:rPr>
          <w:sz w:val="20"/>
        </w:rPr>
        <w:t>z poskytnuté podpory za každý započatý měsíc prodlení. Porušení těchto povinností nepřesahující 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19" w:after="0"/>
        <w:ind w:left="741" w:right="119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22" w:after="0"/>
        <w:ind w:left="742" w:right="0" w:hanging="360"/>
        <w:jc w:val="both"/>
        <w:rPr>
          <w:sz w:val="20"/>
        </w:rPr>
      </w:pPr>
      <w:r>
        <w:rPr>
          <w:w w:val="95"/>
          <w:sz w:val="20"/>
        </w:rPr>
        <w:t>Porušení</w:t>
      </w:r>
      <w:r>
        <w:rPr>
          <w:spacing w:val="4"/>
          <w:sz w:val="20"/>
        </w:rPr>
        <w:t> </w:t>
      </w:r>
      <w:r>
        <w:rPr>
          <w:w w:val="95"/>
          <w:sz w:val="20"/>
        </w:rPr>
        <w:t>povinností</w:t>
      </w:r>
      <w:r>
        <w:rPr>
          <w:spacing w:val="5"/>
          <w:sz w:val="20"/>
        </w:rPr>
        <w:t> </w:t>
      </w:r>
      <w:r>
        <w:rPr>
          <w:w w:val="95"/>
          <w:sz w:val="20"/>
        </w:rPr>
        <w:t>podle</w:t>
      </w:r>
      <w:r>
        <w:rPr>
          <w:spacing w:val="3"/>
          <w:sz w:val="20"/>
        </w:rPr>
        <w:t> </w:t>
      </w:r>
      <w:r>
        <w:rPr>
          <w:w w:val="95"/>
          <w:sz w:val="20"/>
        </w:rPr>
        <w:t>článku</w:t>
      </w:r>
      <w:r>
        <w:rPr>
          <w:spacing w:val="3"/>
          <w:sz w:val="20"/>
        </w:rPr>
        <w:t> </w:t>
      </w:r>
      <w:r>
        <w:rPr>
          <w:w w:val="95"/>
          <w:sz w:val="20"/>
        </w:rPr>
        <w:t>IV</w:t>
      </w:r>
      <w:r>
        <w:rPr>
          <w:spacing w:val="6"/>
          <w:sz w:val="20"/>
        </w:rPr>
        <w:t> </w:t>
      </w:r>
      <w:r>
        <w:rPr>
          <w:w w:val="95"/>
          <w:sz w:val="20"/>
        </w:rPr>
        <w:t>bodu</w:t>
      </w:r>
      <w:r>
        <w:rPr>
          <w:spacing w:val="5"/>
          <w:sz w:val="20"/>
        </w:rPr>
        <w:t> </w:t>
      </w:r>
      <w:r>
        <w:rPr>
          <w:w w:val="95"/>
          <w:sz w:val="20"/>
        </w:rPr>
        <w:t>3</w:t>
      </w:r>
      <w:r>
        <w:rPr>
          <w:spacing w:val="5"/>
          <w:sz w:val="20"/>
        </w:rPr>
        <w:t> </w:t>
      </w:r>
      <w:r>
        <w:rPr>
          <w:w w:val="95"/>
          <w:sz w:val="20"/>
        </w:rPr>
        <w:t>nebo</w:t>
      </w:r>
      <w:r>
        <w:rPr>
          <w:spacing w:val="6"/>
          <w:sz w:val="20"/>
        </w:rPr>
        <w:t> </w:t>
      </w:r>
      <w:r>
        <w:rPr>
          <w:w w:val="95"/>
          <w:sz w:val="20"/>
        </w:rPr>
        <w:t>4</w:t>
      </w:r>
      <w:r>
        <w:rPr>
          <w:spacing w:val="4"/>
          <w:sz w:val="20"/>
        </w:rPr>
        <w:t> </w:t>
      </w:r>
      <w:r>
        <w:rPr>
          <w:w w:val="95"/>
          <w:sz w:val="20"/>
        </w:rPr>
        <w:t>bude</w:t>
      </w:r>
      <w:r>
        <w:rPr>
          <w:spacing w:val="4"/>
          <w:sz w:val="20"/>
        </w:rPr>
        <w:t> </w:t>
      </w:r>
      <w:r>
        <w:rPr>
          <w:w w:val="95"/>
          <w:sz w:val="20"/>
        </w:rPr>
        <w:t>postiženo</w:t>
      </w:r>
      <w:r>
        <w:rPr>
          <w:spacing w:val="6"/>
          <w:sz w:val="20"/>
        </w:rPr>
        <w:t> </w:t>
      </w:r>
      <w:r>
        <w:rPr>
          <w:w w:val="95"/>
          <w:sz w:val="20"/>
        </w:rPr>
        <w:t>odvodem</w:t>
      </w:r>
      <w:r>
        <w:rPr>
          <w:spacing w:val="6"/>
          <w:sz w:val="20"/>
        </w:rPr>
        <w:t> </w:t>
      </w:r>
      <w:r>
        <w:rPr>
          <w:w w:val="95"/>
          <w:sz w:val="20"/>
        </w:rPr>
        <w:t>ve</w:t>
      </w:r>
      <w:r>
        <w:rPr>
          <w:spacing w:val="5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4"/>
          <w:sz w:val="20"/>
        </w:rPr>
        <w:t> </w:t>
      </w:r>
      <w:r>
        <w:rPr>
          <w:w w:val="95"/>
          <w:sz w:val="20"/>
        </w:rPr>
        <w:t>100</w:t>
      </w:r>
      <w:r>
        <w:rPr>
          <w:spacing w:val="5"/>
          <w:sz w:val="20"/>
        </w:rPr>
        <w:t> </w:t>
      </w:r>
      <w:r>
        <w:rPr>
          <w:w w:val="95"/>
          <w:sz w:val="20"/>
        </w:rPr>
        <w:t>%</w:t>
      </w:r>
      <w:r>
        <w:rPr>
          <w:spacing w:val="5"/>
          <w:sz w:val="20"/>
        </w:rPr>
        <w:t> </w:t>
      </w:r>
      <w:r>
        <w:rPr>
          <w:w w:val="95"/>
          <w:sz w:val="20"/>
        </w:rPr>
        <w:t>z</w:t>
      </w:r>
      <w:r>
        <w:rPr>
          <w:spacing w:val="28"/>
          <w:sz w:val="20"/>
        </w:rPr>
        <w:t> </w:t>
      </w:r>
      <w:r>
        <w:rPr>
          <w:spacing w:val="-2"/>
          <w:w w:val="95"/>
          <w:sz w:val="20"/>
        </w:rPr>
        <w:t>poskytnuté</w:t>
      </w:r>
    </w:p>
    <w:p>
      <w:pPr>
        <w:pStyle w:val="BodyText"/>
        <w:ind w:left="741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písm. i),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odvod</w:t>
      </w:r>
    </w:p>
    <w:p>
      <w:pPr>
        <w:pStyle w:val="BodyText"/>
        <w:spacing w:before="1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</w:pPr>
      <w:r>
        <w:rPr>
          <w:spacing w:val="-2"/>
        </w:rPr>
        <w:t>podpory.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left="1305" w:right="103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4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předpisy, Směrnicí MŽP a Směrnicí MŽP NPO.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437" w:top="1400" w:bottom="1660" w:left="1320" w:right="1020"/>
        </w:sect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89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3"/>
          <w:sz w:val="20"/>
        </w:rPr>
        <w:t> </w:t>
      </w:r>
      <w:r>
        <w:rPr>
          <w:sz w:val="20"/>
        </w:rPr>
        <w:t>podobě,</w:t>
      </w:r>
      <w:r>
        <w:rPr>
          <w:spacing w:val="-13"/>
          <w:sz w:val="20"/>
        </w:rPr>
        <w:t> </w:t>
      </w:r>
      <w:r>
        <w:rPr>
          <w:sz w:val="20"/>
        </w:rPr>
        <w:t>případně</w:t>
      </w:r>
      <w:r>
        <w:rPr>
          <w:spacing w:val="-13"/>
          <w:sz w:val="20"/>
        </w:rPr>
        <w:t> </w:t>
      </w:r>
      <w:r>
        <w:rPr>
          <w:sz w:val="20"/>
        </w:rPr>
        <w:t>e-mailem</w:t>
      </w:r>
      <w:r>
        <w:rPr>
          <w:spacing w:val="-11"/>
          <w:sz w:val="20"/>
        </w:rPr>
        <w:t> </w:t>
      </w:r>
      <w:r>
        <w:rPr>
          <w:sz w:val="20"/>
        </w:rPr>
        <w:t>příslušnému</w:t>
      </w:r>
      <w:r>
        <w:rPr>
          <w:spacing w:val="-12"/>
          <w:sz w:val="20"/>
        </w:rPr>
        <w:t> </w:t>
      </w:r>
      <w:r>
        <w:rPr>
          <w:sz w:val="20"/>
        </w:rPr>
        <w:t>projektovému</w:t>
      </w:r>
      <w:r>
        <w:rPr>
          <w:spacing w:val="-12"/>
          <w:sz w:val="20"/>
        </w:rPr>
        <w:t> </w:t>
      </w:r>
      <w:r>
        <w:rPr>
          <w:sz w:val="20"/>
        </w:rPr>
        <w:t>manažerovi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2"/>
          <w:sz w:val="20"/>
        </w:rPr>
        <w:t> </w:t>
      </w:r>
      <w:r>
        <w:rPr>
          <w:sz w:val="20"/>
        </w:rPr>
        <w:t>datovou</w:t>
      </w:r>
      <w:r>
        <w:rPr>
          <w:spacing w:val="-7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tabs>
          <w:tab w:pos="6862" w:val="left" w:leader="none"/>
        </w:tabs>
        <w:spacing w:before="1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708" w:footer="1437" w:top="1400" w:bottom="1660" w:left="1320" w:right="1020"/>
        </w:sectPr>
      </w:pPr>
    </w:p>
    <w:p>
      <w:pPr>
        <w:pStyle w:val="BodyText"/>
        <w:spacing w:before="91"/>
        <w:ind w:left="38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32"/>
        </w:rPr>
      </w:pPr>
    </w:p>
    <w:p>
      <w:pPr>
        <w:pStyle w:val="Heading2"/>
        <w:spacing w:line="264" w:lineRule="auto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</w:t>
      </w:r>
      <w:r>
        <w:rPr>
          <w:spacing w:val="-2"/>
          <w:sz w:val="20"/>
        </w:rPr>
        <w:t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2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79"/>
        <w:jc w:val="both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jc w:val="both"/>
        <w:sectPr>
          <w:pgSz w:w="12240" w:h="15840"/>
          <w:pgMar w:header="708" w:footer="1437" w:top="140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91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2"/>
        <w:ind w:left="0"/>
        <w:rPr>
          <w:b/>
          <w:sz w:val="28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437" w:top="1400" w:bottom="1660" w:left="1320" w:right="1020"/>
        </w:sectPr>
      </w:pPr>
    </w:p>
    <w:p>
      <w:pPr>
        <w:pStyle w:val="BodyText"/>
        <w:spacing w:before="11"/>
        <w:ind w:left="0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9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 w:line="237" w:lineRule="auto"/>
        <w:rPr>
          <w:sz w:val="20"/>
        </w:rPr>
        <w:sectPr>
          <w:pgSz w:w="12240" w:h="15840"/>
          <w:pgMar w:header="708" w:footer="1437" w:top="1400" w:bottom="1660" w:left="1320" w:right="1020"/>
        </w:sectPr>
      </w:pPr>
    </w:p>
    <w:p>
      <w:pPr>
        <w:pStyle w:val="BodyText"/>
        <w:spacing w:before="11"/>
        <w:ind w:left="0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rPr>
          <w:b/>
          <w:sz w:val="12"/>
        </w:rPr>
      </w:pPr>
      <w:r>
        <w:rPr/>
        <w:pict>
          <v:rect style="position:absolute;margin-left:85.103996pt;margin-top:9.187637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2"/>
        <w:ind w:left="0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1437" w:top="1400" w:bottom="1660" w:left="1320" w:right="1020"/>
        </w:sectPr>
      </w:pPr>
    </w:p>
    <w:p>
      <w:pPr>
        <w:pStyle w:val="BodyText"/>
        <w:spacing w:before="11"/>
        <w:ind w:left="0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90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437" w:top="1400" w:bottom="1660" w:left="1320" w:right="1020"/>
        </w:sectPr>
      </w:pPr>
    </w:p>
    <w:p>
      <w:pPr>
        <w:pStyle w:val="BodyText"/>
        <w:spacing w:before="11"/>
        <w:ind w:left="0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4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line="237" w:lineRule="auto" w:before="3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2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437" w:top="1400" w:bottom="1660" w:left="1320" w:right="1020"/>
        </w:sectPr>
      </w:pPr>
    </w:p>
    <w:p>
      <w:pPr>
        <w:pStyle w:val="BodyText"/>
        <w:spacing w:before="11"/>
        <w:ind w:left="0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437" w:top="1400" w:bottom="1660" w:left="1320" w:right="1020"/>
        </w:sectPr>
      </w:pPr>
    </w:p>
    <w:p>
      <w:pPr>
        <w:pStyle w:val="BodyText"/>
        <w:spacing w:before="11"/>
        <w:ind w:left="0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spacing w:line="237" w:lineRule="auto" w:before="4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line="237" w:lineRule="auto" w:before="4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6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2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437" w:top="1400" w:bottom="1660" w:left="1320" w:right="1020"/>
        </w:sectPr>
      </w:pPr>
    </w:p>
    <w:p>
      <w:pPr>
        <w:pStyle w:val="BodyText"/>
        <w:spacing w:before="11"/>
        <w:ind w:left="0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437" w:top="1400" w:bottom="1660" w:left="1320" w:right="1020"/>
        </w:sectPr>
      </w:pPr>
    </w:p>
    <w:p>
      <w:pPr>
        <w:pStyle w:val="BodyText"/>
        <w:spacing w:before="11"/>
        <w:ind w:left="0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2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</w:tbl>
    <w:p>
      <w:pPr>
        <w:pStyle w:val="BodyText"/>
        <w:ind w:left="0"/>
      </w:pPr>
    </w:p>
    <w:p>
      <w:pPr>
        <w:pStyle w:val="BodyText"/>
        <w:spacing w:before="9"/>
        <w:ind w:left="0"/>
        <w:rPr>
          <w:sz w:val="25"/>
        </w:rPr>
      </w:pPr>
      <w:r>
        <w:rPr/>
        <w:pict>
          <v:rect style="position:absolute;margin-left:85.103996pt;margin-top:18.286856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1437" w:top="1400" w:bottom="1660" w:left="1320" w:right="1020"/>
        </w:sectPr>
      </w:pPr>
    </w:p>
    <w:p>
      <w:pPr>
        <w:pStyle w:val="BodyText"/>
        <w:spacing w:before="11"/>
        <w:ind w:left="0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6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spacing w:before="1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</w:t>
            </w:r>
            <w:r>
              <w:rPr>
                <w:sz w:val="22"/>
              </w:rPr>
              <w:t>písm. i), </w:t>
            </w:r>
            <w:r>
              <w:rPr>
                <w:sz w:val="20"/>
              </w:rPr>
              <w:t>včetně nedodržení základních zásad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40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708" w:footer="1437" w:top="140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5190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064064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87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34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38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529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67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82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970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10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77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55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33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1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8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66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44" w:hanging="360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05" w:right="103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or.justice.cz/ias/ui/rejstrik-%24firma?ico=27408507" TargetMode="External"/><Relationship Id="rId8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2025-01-02T15:33:35Z</dcterms:created>
  <dcterms:modified xsi:type="dcterms:W3CDTF">2025-01-02T15:33:35Z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2025-01-02T00:00:00Z</vt:filetime>
  </property>
</Properties>
</file>