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 xml:space="preserve">MUDr. JUDr. Petrem </w:t>
      </w:r>
      <w:proofErr w:type="spellStart"/>
      <w:r w:rsidR="009548E7">
        <w:rPr>
          <w:rFonts w:ascii="Times New Roman" w:hAnsi="Times New Roman"/>
          <w:sz w:val="24"/>
          <w:szCs w:val="24"/>
        </w:rPr>
        <w:t>Hoňkem</w:t>
      </w:r>
      <w:proofErr w:type="spellEnd"/>
      <w:r w:rsidR="009548E7">
        <w:rPr>
          <w:rFonts w:ascii="Times New Roman" w:hAnsi="Times New Roman"/>
          <w:sz w:val="24"/>
          <w:szCs w:val="24"/>
        </w:rPr>
        <w:t>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077F3">
        <w:rPr>
          <w:rFonts w:ascii="Times New Roman" w:hAnsi="Times New Roman"/>
          <w:b/>
          <w:bCs/>
          <w:sz w:val="24"/>
          <w:szCs w:val="24"/>
        </w:rPr>
        <w:t>Unilabs</w:t>
      </w:r>
      <w:proofErr w:type="spellEnd"/>
      <w:r w:rsidRPr="00D077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77F3">
        <w:rPr>
          <w:rFonts w:ascii="Times New Roman" w:hAnsi="Times New Roman"/>
          <w:b/>
          <w:bCs/>
          <w:sz w:val="24"/>
          <w:szCs w:val="24"/>
        </w:rPr>
        <w:t>Diagnostics</w:t>
      </w:r>
      <w:proofErr w:type="spellEnd"/>
      <w:r w:rsidRPr="00D077F3">
        <w:rPr>
          <w:rFonts w:ascii="Times New Roman" w:hAnsi="Times New Roman"/>
          <w:b/>
          <w:bCs/>
          <w:sz w:val="24"/>
          <w:szCs w:val="24"/>
        </w:rPr>
        <w:t xml:space="preserve"> k.s.</w:t>
      </w:r>
    </w:p>
    <w:p w14:paraId="11710781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se sídlem Evropská 2589/</w:t>
      </w:r>
      <w:proofErr w:type="gramStart"/>
      <w:r w:rsidRPr="00D077F3">
        <w:rPr>
          <w:rFonts w:ascii="Times New Roman" w:hAnsi="Times New Roman"/>
          <w:sz w:val="24"/>
          <w:szCs w:val="24"/>
        </w:rPr>
        <w:t>33b</w:t>
      </w:r>
      <w:proofErr w:type="gramEnd"/>
      <w:r w:rsidRPr="00D077F3">
        <w:rPr>
          <w:rFonts w:ascii="Times New Roman" w:hAnsi="Times New Roman"/>
          <w:sz w:val="24"/>
          <w:szCs w:val="24"/>
        </w:rPr>
        <w:t>, 160 00 Praha 6</w:t>
      </w:r>
    </w:p>
    <w:p w14:paraId="38398FE5" w14:textId="52558B82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60470488 </w:t>
      </w:r>
    </w:p>
    <w:p w14:paraId="1352083B" w14:textId="77777777" w:rsidR="00D077F3" w:rsidRPr="00D077F3" w:rsidRDefault="00D077F3" w:rsidP="00A4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zapsanou v obchodním rejstříku vedeném Městským soudem v Praze, </w:t>
      </w:r>
      <w:proofErr w:type="spellStart"/>
      <w:proofErr w:type="gramStart"/>
      <w:r w:rsidRPr="00D077F3">
        <w:rPr>
          <w:rFonts w:ascii="Times New Roman" w:hAnsi="Times New Roman"/>
          <w:sz w:val="24"/>
          <w:szCs w:val="24"/>
        </w:rPr>
        <w:t>od..</w:t>
      </w:r>
      <w:proofErr w:type="gramEnd"/>
      <w:r w:rsidRPr="00D077F3">
        <w:rPr>
          <w:rFonts w:ascii="Times New Roman" w:hAnsi="Times New Roman"/>
          <w:sz w:val="24"/>
          <w:szCs w:val="24"/>
        </w:rPr>
        <w:t>A</w:t>
      </w:r>
      <w:proofErr w:type="spellEnd"/>
      <w:r w:rsidRPr="00D07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77F3">
        <w:rPr>
          <w:rFonts w:ascii="Times New Roman" w:hAnsi="Times New Roman"/>
          <w:sz w:val="24"/>
          <w:szCs w:val="24"/>
        </w:rPr>
        <w:t>vl</w:t>
      </w:r>
      <w:proofErr w:type="spellEnd"/>
      <w:r w:rsidRPr="00D077F3">
        <w:rPr>
          <w:rFonts w:ascii="Times New Roman" w:hAnsi="Times New Roman"/>
          <w:sz w:val="24"/>
          <w:szCs w:val="24"/>
        </w:rPr>
        <w:t xml:space="preserve">. č. 76193 zastoupenou svým komplementářem, společností </w:t>
      </w:r>
      <w:proofErr w:type="spellStart"/>
      <w:r w:rsidRPr="00D077F3">
        <w:rPr>
          <w:rFonts w:ascii="Times New Roman" w:hAnsi="Times New Roman"/>
          <w:sz w:val="24"/>
          <w:szCs w:val="24"/>
        </w:rPr>
        <w:t>Unilabs</w:t>
      </w:r>
      <w:proofErr w:type="spellEnd"/>
      <w:r w:rsidRPr="00D077F3">
        <w:rPr>
          <w:rFonts w:ascii="Times New Roman" w:hAnsi="Times New Roman"/>
          <w:sz w:val="24"/>
          <w:szCs w:val="24"/>
        </w:rPr>
        <w:t xml:space="preserve"> Holding Czech Republic a.s., zastoupenou panem Kamilem Doleželem, předsedou představenstva, a paní Ivetou Kučerovou, členem představenstva</w:t>
      </w:r>
    </w:p>
    <w:p w14:paraId="4D127036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bankovní spojení: </w:t>
      </w:r>
    </w:p>
    <w:p w14:paraId="5767AAF9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č. účtu: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F3AD9" w14:textId="5D63199F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e-mailová adresa: </w:t>
      </w:r>
      <w:r w:rsidR="00CC0CE7">
        <w:rPr>
          <w:rFonts w:ascii="Times New Roman" w:hAnsi="Times New Roman"/>
          <w:sz w:val="24"/>
          <w:szCs w:val="24"/>
        </w:rPr>
        <w:t>XXXXXXXXXXXXXX</w:t>
      </w:r>
    </w:p>
    <w:p w14:paraId="33A194A3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A071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FD5DEB3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518DF77F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D077F3" w:rsidRPr="00D077F3">
        <w:rPr>
          <w:rFonts w:ascii="Times New Roman" w:hAnsi="Times New Roman"/>
          <w:sz w:val="24"/>
          <w:szCs w:val="24"/>
        </w:rPr>
        <w:t>78,12</w:t>
      </w:r>
      <w:r w:rsidRPr="00D077F3">
        <w:rPr>
          <w:rFonts w:ascii="Times New Roman" w:hAnsi="Times New Roman"/>
          <w:sz w:val="24"/>
          <w:szCs w:val="24"/>
        </w:rPr>
        <w:t xml:space="preserve"> m</w:t>
      </w:r>
      <w:r w:rsidRPr="00D077F3">
        <w:rPr>
          <w:rFonts w:ascii="Times New Roman" w:hAnsi="Times New Roman"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522CF26C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Šatna, denní míst., ženy 2/5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07E476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3ED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9F5D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Odběrová místnost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E83C8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6277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7CD619B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2CC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37C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Čekárna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6CE2C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9031A5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5E64E48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48E8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EB4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Čekárna OGTT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BD1BC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DA0B09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11,12</w:t>
            </w:r>
          </w:p>
        </w:tc>
      </w:tr>
      <w:tr w:rsidR="00D077F3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11,12</w:t>
            </w:r>
          </w:p>
        </w:tc>
      </w:tr>
      <w:tr w:rsidR="00D077F3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Celková podlahová plocha v m2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78,12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7355ABF8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>O předání a převzetí Nebytových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38213BD3" w:rsidR="00EB1F26" w:rsidRPr="004A263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Nájemce bude předmět nájmu užívat jako pracoviště pro svou podnikatelskou činnost, spočívající v oblasti poskytování zdravotní</w:t>
      </w:r>
      <w:r w:rsidR="00D077F3" w:rsidRPr="00D077F3">
        <w:rPr>
          <w:rFonts w:ascii="Times New Roman" w:hAnsi="Times New Roman"/>
          <w:sz w:val="24"/>
          <w:szCs w:val="24"/>
        </w:rPr>
        <w:t>ch služeb</w:t>
      </w:r>
      <w:r w:rsidRPr="00D077F3">
        <w:rPr>
          <w:rFonts w:ascii="Times New Roman" w:hAnsi="Times New Roman"/>
          <w:sz w:val="24"/>
          <w:szCs w:val="24"/>
        </w:rPr>
        <w:t xml:space="preserve"> – </w:t>
      </w:r>
      <w:r w:rsidR="00D077F3" w:rsidRPr="00D077F3">
        <w:rPr>
          <w:rFonts w:ascii="Times New Roman" w:hAnsi="Times New Roman"/>
          <w:sz w:val="24"/>
          <w:szCs w:val="24"/>
        </w:rPr>
        <w:t>odběrového místa a souvisejících administrativních činností.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57D1708C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D077F3">
        <w:rPr>
          <w:rFonts w:ascii="Times New Roman" w:hAnsi="Times New Roman"/>
          <w:sz w:val="24"/>
          <w:szCs w:val="24"/>
        </w:rPr>
        <w:t>účinností od</w:t>
      </w:r>
      <w:r w:rsidR="00607564">
        <w:rPr>
          <w:rFonts w:ascii="Times New Roman" w:hAnsi="Times New Roman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[</w:t>
      </w:r>
      <w:r w:rsidR="00D077F3" w:rsidRPr="00607564">
        <w:rPr>
          <w:rFonts w:ascii="Times New Roman" w:hAnsi="Times New Roman"/>
          <w:sz w:val="24"/>
          <w:szCs w:val="24"/>
          <w:highlight w:val="yellow"/>
        </w:rPr>
        <w:t>doplnit]</w:t>
      </w:r>
      <w:r w:rsidR="005939E9" w:rsidRPr="00D077F3">
        <w:rPr>
          <w:rFonts w:ascii="Times New Roman" w:hAnsi="Times New Roman"/>
          <w:sz w:val="24"/>
          <w:szCs w:val="24"/>
        </w:rPr>
        <w:t>.</w:t>
      </w:r>
    </w:p>
    <w:p w14:paraId="78EF4EDD" w14:textId="1AD60B19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ve 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uveden (pod sankcí neplatnosti).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8D790B1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0D68402" w14:textId="77777777" w:rsidR="00607564" w:rsidRPr="00C968DE" w:rsidRDefault="00607564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7E145D08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607564">
        <w:rPr>
          <w:rFonts w:ascii="Times New Roman" w:hAnsi="Times New Roman"/>
          <w:sz w:val="24"/>
          <w:szCs w:val="24"/>
        </w:rPr>
        <w:t>112 492,80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dvanáct tisíc čtyři sta devadesát dvě</w:t>
      </w:r>
      <w:r w:rsidR="00A460AE">
        <w:rPr>
          <w:rFonts w:ascii="Times New Roman" w:hAnsi="Times New Roman"/>
          <w:sz w:val="24"/>
          <w:szCs w:val="24"/>
        </w:rPr>
        <w:t xml:space="preserve">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607564">
        <w:rPr>
          <w:rFonts w:ascii="Times New Roman" w:hAnsi="Times New Roman"/>
          <w:sz w:val="24"/>
          <w:szCs w:val="24"/>
        </w:rPr>
        <w:t>y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607564">
        <w:rPr>
          <w:rFonts w:ascii="Times New Roman" w:hAnsi="Times New Roman"/>
          <w:sz w:val="24"/>
          <w:szCs w:val="24"/>
        </w:rPr>
        <w:t>é a osmdesát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607564">
        <w:rPr>
          <w:rFonts w:ascii="Times New Roman" w:hAnsi="Times New Roman"/>
          <w:b/>
          <w:color w:val="000000"/>
          <w:sz w:val="24"/>
          <w:szCs w:val="24"/>
        </w:rPr>
        <w:t>9 374,40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607564">
        <w:rPr>
          <w:rFonts w:ascii="Times New Roman" w:hAnsi="Times New Roman"/>
          <w:color w:val="000000"/>
          <w:sz w:val="24"/>
          <w:szCs w:val="24"/>
        </w:rPr>
        <w:t>devět tisíc tři sta sedmdesát čtyři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607564">
        <w:rPr>
          <w:rFonts w:ascii="Times New Roman" w:hAnsi="Times New Roman"/>
          <w:color w:val="000000"/>
          <w:sz w:val="24"/>
          <w:szCs w:val="24"/>
        </w:rPr>
        <w:t>y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607564">
        <w:rPr>
          <w:rFonts w:ascii="Times New Roman" w:hAnsi="Times New Roman"/>
          <w:color w:val="000000"/>
          <w:sz w:val="24"/>
          <w:szCs w:val="24"/>
        </w:rPr>
        <w:t>é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607564">
        <w:rPr>
          <w:rFonts w:ascii="Times New Roman" w:hAnsi="Times New Roman"/>
          <w:color w:val="000000"/>
          <w:sz w:val="24"/>
          <w:szCs w:val="24"/>
        </w:rPr>
        <w:t>čtyřicet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53799C29" w14:textId="20748677" w:rsidR="009D0DFC" w:rsidRPr="003436BD" w:rsidRDefault="00BD705F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podpisem této smlouvy potvrzují, že poměrná část nájemného za měsíc </w:t>
      </w:r>
      <w:r w:rsidRPr="00BD705F">
        <w:rPr>
          <w:rFonts w:ascii="Times New Roman" w:hAnsi="Times New Roman"/>
          <w:color w:val="000000"/>
          <w:sz w:val="24"/>
          <w:szCs w:val="24"/>
        </w:rPr>
        <w:t>[</w:t>
      </w:r>
      <w:r w:rsidRPr="00BD705F">
        <w:rPr>
          <w:rFonts w:ascii="Times New Roman" w:hAnsi="Times New Roman"/>
          <w:color w:val="000000"/>
          <w:sz w:val="24"/>
          <w:szCs w:val="24"/>
          <w:highlight w:val="yellow"/>
        </w:rPr>
        <w:t>doplnit</w:t>
      </w:r>
      <w:r w:rsidRPr="00BD705F">
        <w:rPr>
          <w:rFonts w:ascii="Times New Roman" w:hAnsi="Times New Roman"/>
          <w:color w:val="000000"/>
          <w:sz w:val="24"/>
          <w:szCs w:val="24"/>
        </w:rPr>
        <w:t>] bude Nájemcem Pronajímateli uhrazena spolu s </w:t>
      </w:r>
      <w:proofErr w:type="gramStart"/>
      <w:r w:rsidRPr="00BD705F">
        <w:rPr>
          <w:rFonts w:ascii="Times New Roman" w:hAnsi="Times New Roman"/>
          <w:color w:val="000000"/>
          <w:sz w:val="24"/>
          <w:szCs w:val="24"/>
        </w:rPr>
        <w:t>první  následující</w:t>
      </w:r>
      <w:proofErr w:type="gramEnd"/>
      <w:r w:rsidRPr="00BD705F">
        <w:rPr>
          <w:rFonts w:ascii="Times New Roman" w:hAnsi="Times New Roman"/>
          <w:color w:val="000000"/>
          <w:sz w:val="24"/>
          <w:szCs w:val="24"/>
        </w:rPr>
        <w:t xml:space="preserve"> platbou nájemného</w:t>
      </w:r>
      <w:r w:rsidR="00C71551" w:rsidRPr="00BD705F">
        <w:rPr>
          <w:rFonts w:ascii="Times New Roman" w:hAnsi="Times New Roman"/>
          <w:color w:val="000000"/>
          <w:sz w:val="24"/>
          <w:szCs w:val="24"/>
        </w:rPr>
        <w:t>.</w:t>
      </w:r>
    </w:p>
    <w:p w14:paraId="7B68AAF4" w14:textId="50DD8EE0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78A52431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7D038A" w:rsidRPr="007D038A">
        <w:rPr>
          <w:rFonts w:ascii="Times New Roman" w:hAnsi="Times New Roman"/>
          <w:sz w:val="24"/>
          <w:szCs w:val="24"/>
        </w:rPr>
        <w:t>3,3</w:t>
      </w:r>
      <w:r w:rsidR="007F59EB" w:rsidRPr="007D038A">
        <w:rPr>
          <w:rFonts w:ascii="Times New Roman" w:hAnsi="Times New Roman"/>
          <w:sz w:val="24"/>
          <w:szCs w:val="24"/>
        </w:rPr>
        <w:t xml:space="preserve"> </w:t>
      </w:r>
      <w:r w:rsidRPr="007D038A">
        <w:rPr>
          <w:rFonts w:ascii="Times New Roman" w:hAnsi="Times New Roman"/>
          <w:sz w:val="24"/>
          <w:szCs w:val="24"/>
        </w:rPr>
        <w:t>%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706C53DF" w14:textId="77777777" w:rsidR="00FF5040" w:rsidRPr="00E45B27" w:rsidRDefault="005552A2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62FAD8C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7D038A">
        <w:rPr>
          <w:rFonts w:ascii="Times New Roman" w:hAnsi="Times New Roman"/>
          <w:sz w:val="24"/>
          <w:szCs w:val="24"/>
        </w:rPr>
        <w:t>5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0D48A40F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3D4FBA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smlouvy a v záležitostech touto 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6DA819A5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75F412AC" w:rsidR="00C50B8F" w:rsidRPr="00323785" w:rsidRDefault="00343488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339CAC79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20780145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neumožní 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36A5CF35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74186027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1C32B2">
        <w:rPr>
          <w:rFonts w:ascii="Times New Roman" w:hAnsi="Times New Roman"/>
          <w:color w:val="000000"/>
          <w:sz w:val="24"/>
          <w:szCs w:val="24"/>
        </w:rPr>
        <w:t>5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7EE2360D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4B710A1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</w:t>
      </w:r>
      <w:r w:rsidR="00F95FA2">
        <w:t> </w:t>
      </w:r>
      <w:r>
        <w:t>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</w:t>
      </w:r>
      <w:r w:rsidR="00F95FA2">
        <w:t> </w:t>
      </w:r>
      <w:r>
        <w:t>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645E7466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3D51E2AD" w14:textId="2E15BC78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 odst. 9</w:t>
      </w:r>
      <w:r w:rsidR="008274C5">
        <w:t> </w:t>
      </w:r>
      <w:r w:rsidRPr="00002F75">
        <w:t xml:space="preserve">tohoto článku je Nájemce povinen uhradit </w:t>
      </w:r>
      <w:r w:rsidR="00D924FC">
        <w:t>P</w:t>
      </w:r>
      <w:r w:rsidRPr="00002F75">
        <w:t>ronajímateli smluvní pokutu ve výši</w:t>
      </w:r>
      <w:r w:rsidR="008274C5">
        <w:br/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B25ABC9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4F3C160F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4F2727B2" w14:textId="77777777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7777777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27AE2D33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08DB2AE1" w14:textId="6C71BD2D" w:rsidR="004D6032" w:rsidRDefault="004D6032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A7B6478" w14:textId="77777777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Jaroslav Kuřátko</w:t>
      </w:r>
    </w:p>
    <w:p w14:paraId="1ACA4B27" w14:textId="56EF65D8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  <w:t>+</w:t>
      </w:r>
      <w:r w:rsidR="00CC0CE7">
        <w:rPr>
          <w:bCs/>
          <w:iCs/>
          <w:lang w:eastAsia="en-US"/>
        </w:rPr>
        <w:t>XXXXXXXXXX</w:t>
      </w:r>
    </w:p>
    <w:p w14:paraId="5DB1DECC" w14:textId="1B19E2E8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hyperlink r:id="rId11" w:history="1">
        <w:r w:rsidR="00CC0CE7">
          <w:rPr>
            <w:rStyle w:val="Hypertextovodkaz"/>
          </w:rPr>
          <w:t>XXXXXXXXXXXXXXX</w:t>
        </w:r>
      </w:hyperlink>
    </w:p>
    <w:p w14:paraId="458DC2EA" w14:textId="77777777" w:rsidR="009E47CA" w:rsidRPr="004D6032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2A6CDB32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67DD200B" w14:textId="5BC05C44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 xml:space="preserve">kontaktní osoba - </w:t>
      </w:r>
      <w:r w:rsidRPr="00BD705F">
        <w:rPr>
          <w:rFonts w:ascii="Times New Roman" w:hAnsi="Times New Roman"/>
          <w:color w:val="000000"/>
          <w:sz w:val="24"/>
          <w:szCs w:val="24"/>
        </w:rPr>
        <w:t>[</w:t>
      </w:r>
      <w:r w:rsidRPr="00BD705F">
        <w:rPr>
          <w:rFonts w:ascii="Times New Roman" w:hAnsi="Times New Roman"/>
          <w:color w:val="000000"/>
          <w:sz w:val="24"/>
          <w:szCs w:val="24"/>
          <w:highlight w:val="yellow"/>
        </w:rPr>
        <w:t>doplnit</w:t>
      </w:r>
      <w:r w:rsidRPr="00BD705F"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D705F">
        <w:rPr>
          <w:rFonts w:ascii="Times New Roman" w:hAnsi="Times New Roman"/>
          <w:color w:val="000000"/>
          <w:sz w:val="24"/>
          <w:szCs w:val="24"/>
        </w:rPr>
        <w:t>[</w:t>
      </w:r>
      <w:r w:rsidRPr="00BD705F">
        <w:rPr>
          <w:rFonts w:ascii="Times New Roman" w:hAnsi="Times New Roman"/>
          <w:color w:val="000000"/>
          <w:sz w:val="24"/>
          <w:szCs w:val="24"/>
          <w:highlight w:val="yellow"/>
        </w:rPr>
        <w:t>doplnit</w:t>
      </w:r>
      <w:r w:rsidRPr="00BD705F"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CC0CE7">
        <w:t>XXXXXXXXXXXXXXXXXXXXXXXXXXXXXXXXXXXXXXXXXXXX</w:t>
      </w:r>
      <w:r w:rsidRPr="00857B79">
        <w:rPr>
          <w:rStyle w:val="Hypertextovodkaz"/>
          <w:lang w:eastAsia="cs-CZ"/>
        </w:rPr>
        <w:t xml:space="preserve"> </w:t>
      </w:r>
    </w:p>
    <w:p w14:paraId="258C2A1C" w14:textId="25EED0EC" w:rsidR="000A3E53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</w:p>
    <w:p w14:paraId="21D3C04B" w14:textId="0376F279" w:rsidR="004D6032" w:rsidRPr="000A3E53" w:rsidRDefault="004D6032" w:rsidP="000A3E53">
      <w:pPr>
        <w:ind w:left="645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>Unilabs</w:t>
      </w:r>
      <w:proofErr w:type="spellEnd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proofErr w:type="spellStart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>Diagnostics</w:t>
      </w:r>
      <w:proofErr w:type="spellEnd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 xml:space="preserve"> k.s</w:t>
      </w:r>
      <w:r w:rsidR="000A3E53">
        <w:rPr>
          <w:rFonts w:ascii="Times New Roman" w:eastAsia="Times New Roman" w:hAnsi="Times New Roman"/>
          <w:b/>
          <w:iCs/>
          <w:sz w:val="24"/>
          <w:szCs w:val="24"/>
        </w:rPr>
        <w:t xml:space="preserve">. </w:t>
      </w:r>
      <w:r w:rsidR="000A3E53">
        <w:rPr>
          <w:rFonts w:ascii="Times New Roman" w:eastAsia="Times New Roman" w:hAnsi="Times New Roman"/>
          <w:b/>
          <w:iCs/>
          <w:sz w:val="24"/>
          <w:szCs w:val="24"/>
        </w:rPr>
        <w:br/>
      </w:r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se sídlem Evropská 2589/</w:t>
      </w:r>
      <w:proofErr w:type="gramStart"/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33b</w:t>
      </w:r>
      <w:proofErr w:type="gramEnd"/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, 160 00 Praha 6,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5DD071DD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hyperlink r:id="rId12" w:history="1">
        <w:r w:rsidR="00CC0CE7">
          <w:rPr>
            <w:rStyle w:val="Hypertextovodkaz"/>
            <w:lang w:eastAsia="de-DE"/>
          </w:rPr>
          <w:t>XXXXXXXXXXXXX</w:t>
        </w:r>
      </w:hyperlink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>mlouva včetně všech příloh a metadat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77777777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49EB60B6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, s výjimkou uplatnění inflační doložky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 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2ADF5B72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857B79">
        <w:rPr>
          <w:rFonts w:ascii="Times New Roman" w:hAnsi="Times New Roman"/>
          <w:color w:val="000000"/>
          <w:kern w:val="0"/>
          <w:sz w:val="24"/>
        </w:rPr>
        <w:t>Vzor Předávacího protokolu</w:t>
      </w:r>
    </w:p>
    <w:p w14:paraId="59FBDCE8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3        Orientační označení odběrového místa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4BFA3688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5        Havarijní manuál budovy</w:t>
      </w:r>
    </w:p>
    <w:p w14:paraId="590AE921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6        Požární poplachová směrnice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48ADC4BD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857B79" w:rsidRPr="00857B79">
        <w:rPr>
          <w:rFonts w:ascii="Times New Roman" w:hAnsi="Times New Roman"/>
          <w:sz w:val="24"/>
          <w:szCs w:val="24"/>
        </w:rPr>
        <w:t>Praze</w:t>
      </w:r>
      <w:r w:rsidR="00E3346E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4D61551C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1B73451D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D1B7A" w14:textId="2A0AF3D5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2DFED6A6" w14:textId="2D50D370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MUDr. JUDr. Petr Honěk, MHA              Kamil Doležel</w:t>
      </w:r>
    </w:p>
    <w:p w14:paraId="551C970F" w14:textId="312D4DEC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Regionální pobočky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679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ředseda představenstva komplementáře</w:t>
      </w:r>
    </w:p>
    <w:p w14:paraId="324F492D" w14:textId="11118053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společnosti </w:t>
      </w:r>
      <w:proofErr w:type="spellStart"/>
      <w:r>
        <w:rPr>
          <w:rFonts w:ascii="Times New Roman" w:hAnsi="Times New Roman"/>
          <w:sz w:val="24"/>
          <w:szCs w:val="24"/>
        </w:rPr>
        <w:t>Unilabs</w:t>
      </w:r>
      <w:proofErr w:type="spellEnd"/>
      <w:r>
        <w:rPr>
          <w:rFonts w:ascii="Times New Roman" w:hAnsi="Times New Roman"/>
          <w:sz w:val="24"/>
          <w:szCs w:val="24"/>
        </w:rPr>
        <w:t xml:space="preserve"> Holding Czech Republic a.s.</w:t>
      </w:r>
    </w:p>
    <w:p w14:paraId="6774AB58" w14:textId="09D30B38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Pobočky pro Liberecký</w:t>
      </w:r>
    </w:p>
    <w:p w14:paraId="006227D5" w14:textId="1493E30E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</w:p>
    <w:p w14:paraId="087A5BC4" w14:textId="37B29A83" w:rsidR="00857B79" w:rsidRDefault="00857B79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9DE6A0E" w14:textId="3B8F9858" w:rsidR="00DB679D" w:rsidRDefault="00DB679D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Iveta Kučerová</w:t>
      </w:r>
    </w:p>
    <w:p w14:paraId="0ED433A6" w14:textId="3213337F" w:rsidR="00DB679D" w:rsidRDefault="00DB679D" w:rsidP="00857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Člen představenstva </w:t>
      </w:r>
      <w:proofErr w:type="spellStart"/>
      <w:r>
        <w:rPr>
          <w:rFonts w:ascii="Times New Roman" w:hAnsi="Times New Roman"/>
          <w:bCs/>
          <w:sz w:val="24"/>
          <w:szCs w:val="24"/>
        </w:rPr>
        <w:t>kokmplementáře</w:t>
      </w:r>
      <w:proofErr w:type="spellEnd"/>
    </w:p>
    <w:p w14:paraId="25AB6408" w14:textId="1E617286" w:rsidR="00DB679D" w:rsidRPr="00DB679D" w:rsidRDefault="00DB679D" w:rsidP="00857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Společnosti </w:t>
      </w:r>
      <w:proofErr w:type="spellStart"/>
      <w:r>
        <w:rPr>
          <w:rFonts w:ascii="Times New Roman" w:hAnsi="Times New Roman"/>
          <w:bCs/>
          <w:sz w:val="24"/>
          <w:szCs w:val="24"/>
        </w:rPr>
        <w:t>Unilabs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Holding Czech Republic a.s.</w:t>
      </w:r>
    </w:p>
    <w:sectPr w:rsidR="00DB679D" w:rsidRPr="00DB679D" w:rsidSect="009227D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11CF2" w14:textId="77777777" w:rsidR="00340F9F" w:rsidRDefault="00340F9F" w:rsidP="00951B04">
      <w:pPr>
        <w:spacing w:after="0" w:line="240" w:lineRule="auto"/>
      </w:pPr>
      <w:r>
        <w:separator/>
      </w:r>
    </w:p>
  </w:endnote>
  <w:endnote w:type="continuationSeparator" w:id="0">
    <w:p w14:paraId="5DBB374A" w14:textId="77777777" w:rsidR="00340F9F" w:rsidRDefault="00340F9F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0BD0" w14:textId="77777777" w:rsidR="00340F9F" w:rsidRDefault="00340F9F" w:rsidP="00951B04">
      <w:pPr>
        <w:spacing w:after="0" w:line="240" w:lineRule="auto"/>
      </w:pPr>
      <w:r>
        <w:separator/>
      </w:r>
    </w:p>
  </w:footnote>
  <w:footnote w:type="continuationSeparator" w:id="0">
    <w:p w14:paraId="010971EB" w14:textId="77777777" w:rsidR="00340F9F" w:rsidRDefault="00340F9F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6"/>
  </w:num>
  <w:num w:numId="5">
    <w:abstractNumId w:val="9"/>
  </w:num>
  <w:num w:numId="6">
    <w:abstractNumId w:val="25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39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1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7"/>
  </w:num>
  <w:num w:numId="28">
    <w:abstractNumId w:val="42"/>
  </w:num>
  <w:num w:numId="29">
    <w:abstractNumId w:val="37"/>
  </w:num>
  <w:num w:numId="30">
    <w:abstractNumId w:val="14"/>
  </w:num>
  <w:num w:numId="31">
    <w:abstractNumId w:val="11"/>
  </w:num>
  <w:num w:numId="32">
    <w:abstractNumId w:val="44"/>
  </w:num>
  <w:num w:numId="33">
    <w:abstractNumId w:val="43"/>
  </w:num>
  <w:num w:numId="34">
    <w:abstractNumId w:val="24"/>
  </w:num>
  <w:num w:numId="35">
    <w:abstractNumId w:val="18"/>
  </w:num>
  <w:num w:numId="36">
    <w:abstractNumId w:val="31"/>
  </w:num>
  <w:num w:numId="37">
    <w:abstractNumId w:val="12"/>
  </w:num>
  <w:num w:numId="38">
    <w:abstractNumId w:val="5"/>
  </w:num>
  <w:num w:numId="39">
    <w:abstractNumId w:val="30"/>
  </w:num>
  <w:num w:numId="40">
    <w:abstractNumId w:val="2"/>
  </w:num>
  <w:num w:numId="41">
    <w:abstractNumId w:val="28"/>
  </w:num>
  <w:num w:numId="42">
    <w:abstractNumId w:val="19"/>
  </w:num>
  <w:num w:numId="43">
    <w:abstractNumId w:val="16"/>
  </w:num>
  <w:num w:numId="44">
    <w:abstractNumId w:val="29"/>
    <w:lvlOverride w:ilvl="0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4B35"/>
    <w:rsid w:val="00195343"/>
    <w:rsid w:val="001A37DF"/>
    <w:rsid w:val="001A393A"/>
    <w:rsid w:val="001B1B0B"/>
    <w:rsid w:val="001B2B5C"/>
    <w:rsid w:val="001C32B2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20680"/>
    <w:rsid w:val="00225366"/>
    <w:rsid w:val="002263CD"/>
    <w:rsid w:val="00234964"/>
    <w:rsid w:val="002351BB"/>
    <w:rsid w:val="0024320C"/>
    <w:rsid w:val="002468EB"/>
    <w:rsid w:val="002479B6"/>
    <w:rsid w:val="00265F29"/>
    <w:rsid w:val="00271124"/>
    <w:rsid w:val="00271B32"/>
    <w:rsid w:val="00272C88"/>
    <w:rsid w:val="00275576"/>
    <w:rsid w:val="00275A40"/>
    <w:rsid w:val="00280678"/>
    <w:rsid w:val="00287E7E"/>
    <w:rsid w:val="002A1D60"/>
    <w:rsid w:val="002A238A"/>
    <w:rsid w:val="002A2743"/>
    <w:rsid w:val="002A3114"/>
    <w:rsid w:val="002A7E1F"/>
    <w:rsid w:val="002C25AA"/>
    <w:rsid w:val="002C39D6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0F9F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3AA0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E07B2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374FA"/>
    <w:rsid w:val="0054017E"/>
    <w:rsid w:val="00550ADF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553AD"/>
    <w:rsid w:val="00662157"/>
    <w:rsid w:val="006674A0"/>
    <w:rsid w:val="006701EE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1FDB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1D85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548E7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96723"/>
    <w:rsid w:val="00BA19D5"/>
    <w:rsid w:val="00BB169E"/>
    <w:rsid w:val="00BB1CA7"/>
    <w:rsid w:val="00BB2F55"/>
    <w:rsid w:val="00BB4103"/>
    <w:rsid w:val="00BC0DEF"/>
    <w:rsid w:val="00BC3490"/>
    <w:rsid w:val="00BD0CF6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A2DAE"/>
    <w:rsid w:val="00CC0CE7"/>
    <w:rsid w:val="00CC1E63"/>
    <w:rsid w:val="00CC624E"/>
    <w:rsid w:val="00CE3B3B"/>
    <w:rsid w:val="00CF1D69"/>
    <w:rsid w:val="00D04662"/>
    <w:rsid w:val="00D05A03"/>
    <w:rsid w:val="00D0610F"/>
    <w:rsid w:val="00D077F3"/>
    <w:rsid w:val="00D145D5"/>
    <w:rsid w:val="00D14C7F"/>
    <w:rsid w:val="00D17558"/>
    <w:rsid w:val="00D21F46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679D"/>
    <w:rsid w:val="00DC49CD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A85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6E68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1F1C"/>
    <w:rsid w:val="00F52DBC"/>
    <w:rsid w:val="00F57A4C"/>
    <w:rsid w:val="00F67B6F"/>
    <w:rsid w:val="00F76842"/>
    <w:rsid w:val="00F7792F"/>
    <w:rsid w:val="00F91CCB"/>
    <w:rsid w:val="00F927EE"/>
    <w:rsid w:val="00F95FA2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z.facility@unilab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F6450-CEF3-48B1-92E0-61FE5F8C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3589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2025-01-02T12:42:00Z</dcterms:created>
  <dcterms:modified xsi:type="dcterms:W3CDTF">2025-01-02T12:42:00Z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