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80" w:after="460" w:line="336" w:lineRule="auto"/>
        <w:ind w:left="0" w:right="0" w:firstLine="0"/>
        <w:jc w:val="center"/>
      </w:pPr>
      <w:r>
        <w:rPr>
          <w:b/>
          <w:bCs/>
          <w:color w:val="000000"/>
          <w:spacing w:val="0"/>
          <w:w w:val="100"/>
          <w:position w:val="0"/>
          <w:sz w:val="28"/>
          <w:szCs w:val="28"/>
          <w:shd w:val="clear" w:color="auto" w:fill="auto"/>
          <w:lang w:val="cs-CZ" w:eastAsia="cs-CZ" w:bidi="cs-CZ"/>
        </w:rPr>
        <w:t>D O D A T E K č. 1</w:t>
        <w:br/>
        <w:t>K N Á J E M N Í S M L O U V Ě č. 401/2019</w:t>
        <w:br/>
      </w:r>
      <w:r>
        <w:rPr>
          <w:b/>
          <w:bCs/>
          <w:color w:val="000000"/>
          <w:spacing w:val="0"/>
          <w:w w:val="100"/>
          <w:position w:val="0"/>
          <w:shd w:val="clear" w:color="auto" w:fill="auto"/>
          <w:lang w:val="cs-CZ" w:eastAsia="cs-CZ" w:bidi="cs-CZ"/>
        </w:rPr>
        <w:t>uzavřené dne 9. 4. 2020</w:t>
        <w:br/>
      </w:r>
      <w:r>
        <w:rPr>
          <w:color w:val="000000"/>
          <w:spacing w:val="0"/>
          <w:w w:val="100"/>
          <w:position w:val="0"/>
          <w:shd w:val="clear" w:color="auto" w:fill="auto"/>
          <w:lang w:val="cs-CZ" w:eastAsia="cs-CZ" w:bidi="cs-CZ"/>
        </w:rPr>
        <w:t>uzavřen podle § 2201 a násl. zákona č. 89/2012 Sb., občanského zákoníku v platném znění</w:t>
      </w:r>
    </w:p>
    <w:p>
      <w:pPr>
        <w:pStyle w:val="Style9"/>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Pronajímatel:</w:t>
      </w:r>
      <w:bookmarkEnd w:id="0"/>
      <w:bookmarkEnd w:id="1"/>
      <w:bookmarkEnd w:id="2"/>
    </w:p>
    <w:p>
      <w:pPr>
        <w:pStyle w:val="Style9"/>
        <w:keepNext/>
        <w:keepLines/>
        <w:widowControl w:val="0"/>
        <w:shd w:val="clear" w:color="auto" w:fill="auto"/>
        <w:bidi w:val="0"/>
        <w:spacing w:before="0" w:after="0" w:line="240" w:lineRule="auto"/>
        <w:ind w:left="0" w:right="0" w:firstLine="0"/>
        <w:jc w:val="left"/>
      </w:pPr>
      <w:bookmarkStart w:id="0" w:name="bookmark0"/>
      <w:bookmarkStart w:id="1" w:name="bookmark1"/>
      <w:bookmarkStart w:id="3" w:name="bookmark3"/>
      <w:r>
        <w:rPr>
          <w:color w:val="000000"/>
          <w:spacing w:val="0"/>
          <w:w w:val="100"/>
          <w:position w:val="0"/>
          <w:shd w:val="clear" w:color="auto" w:fill="auto"/>
          <w:lang w:val="cs-CZ" w:eastAsia="cs-CZ" w:bidi="cs-CZ"/>
        </w:rPr>
        <w:t>Povodí Ohře, státní podnik</w:t>
      </w:r>
      <w:bookmarkEnd w:id="0"/>
      <w:bookmarkEnd w:id="1"/>
      <w:bookmarkEnd w:id="3"/>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statutární orgán: Ing. Jan Svejkovský, generálním ředitelem zastoupený ve věcech smluvních: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Komerční banka, a.s., č. ú.</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p>
      <w:pPr>
        <w:pStyle w:val="Style2"/>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vložce č. 13052</w:t>
      </w:r>
    </w:p>
    <w:p>
      <w:pPr>
        <w:pStyle w:val="Style9"/>
        <w:keepNext/>
        <w:keepLines/>
        <w:widowControl w:val="0"/>
        <w:shd w:val="clear" w:color="auto" w:fill="auto"/>
        <w:bidi w:val="0"/>
        <w:spacing w:before="0" w:after="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Nájemce:</w:t>
      </w:r>
      <w:bookmarkEnd w:id="4"/>
      <w:bookmarkEnd w:id="5"/>
      <w:bookmarkEnd w:id="6"/>
    </w:p>
    <w:p>
      <w:pPr>
        <w:pStyle w:val="Style9"/>
        <w:keepNext/>
        <w:keepLines/>
        <w:widowControl w:val="0"/>
        <w:shd w:val="clear" w:color="auto" w:fill="auto"/>
        <w:bidi w:val="0"/>
        <w:spacing w:before="0" w:after="0" w:line="240" w:lineRule="auto"/>
        <w:ind w:left="0" w:right="0" w:firstLine="0"/>
        <w:jc w:val="left"/>
      </w:pPr>
      <w:bookmarkStart w:id="4" w:name="bookmark4"/>
      <w:bookmarkStart w:id="5" w:name="bookmark5"/>
      <w:bookmarkStart w:id="7" w:name="bookmark7"/>
      <w:r>
        <w:rPr>
          <w:color w:val="000000"/>
          <w:spacing w:val="0"/>
          <w:w w:val="100"/>
          <w:position w:val="0"/>
          <w:shd w:val="clear" w:color="auto" w:fill="auto"/>
          <w:lang w:val="cs-CZ" w:eastAsia="cs-CZ" w:bidi="cs-CZ"/>
        </w:rPr>
        <w:t>Statutární město Chomutov</w:t>
      </w:r>
      <w:bookmarkEnd w:id="4"/>
      <w:bookmarkEnd w:id="5"/>
      <w:bookmarkEnd w:id="7"/>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Zborovská 4602, 430 28 Chomutov zastoupena: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00261891</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CZ00261891</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(společně dále jako „účastníci“)</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uzavírají níže uvedeného dne, měsíce, roku tento</w:t>
      </w:r>
    </w:p>
    <w:p>
      <w:pPr>
        <w:pStyle w:val="Style2"/>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hd w:val="clear" w:color="auto" w:fill="auto"/>
          <w:lang w:val="cs-CZ" w:eastAsia="cs-CZ" w:bidi="cs-CZ"/>
        </w:rPr>
        <w:t>dodatek č. 1 k Nájemní smlouvě č. 401/2019 (dále jen „Smlouva“)</w:t>
      </w:r>
    </w:p>
    <w:p>
      <w:pPr>
        <w:pStyle w:val="Style9"/>
        <w:keepNext/>
        <w:keepLines/>
        <w:widowControl w:val="0"/>
        <w:numPr>
          <w:ilvl w:val="0"/>
          <w:numId w:val="1"/>
        </w:numPr>
        <w:shd w:val="clear" w:color="auto" w:fill="auto"/>
        <w:tabs>
          <w:tab w:pos="407" w:val="left"/>
        </w:tabs>
        <w:bidi w:val="0"/>
        <w:spacing w:before="0" w:after="0" w:line="240" w:lineRule="auto"/>
        <w:ind w:left="0" w:right="0" w:firstLine="0"/>
        <w:jc w:val="center"/>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 DODATKU</w:t>
      </w:r>
      <w:bookmarkEnd w:id="11"/>
      <w:bookmarkEnd w:id="8"/>
      <w:bookmarkEnd w:id="9"/>
    </w:p>
    <w:p>
      <w:pPr>
        <w:pStyle w:val="Style2"/>
        <w:keepNext w:val="0"/>
        <w:keepLines w:val="0"/>
        <w:widowControl w:val="0"/>
        <w:numPr>
          <w:ilvl w:val="0"/>
          <w:numId w:val="3"/>
        </w:numPr>
        <w:shd w:val="clear" w:color="auto" w:fill="auto"/>
        <w:tabs>
          <w:tab w:pos="407" w:val="left"/>
        </w:tabs>
        <w:bidi w:val="0"/>
        <w:spacing w:before="0" w:after="0" w:line="240" w:lineRule="auto"/>
        <w:ind w:left="440" w:right="0" w:hanging="440"/>
        <w:jc w:val="left"/>
      </w:pPr>
      <w:bookmarkStart w:id="12" w:name="bookmark12"/>
      <w:bookmarkEnd w:id="12"/>
      <w:r>
        <w:rPr>
          <w:color w:val="000000"/>
          <w:spacing w:val="0"/>
          <w:w w:val="100"/>
          <w:position w:val="0"/>
          <w:shd w:val="clear" w:color="auto" w:fill="auto"/>
          <w:lang w:val="cs-CZ" w:eastAsia="cs-CZ" w:bidi="cs-CZ"/>
        </w:rPr>
        <w:t>Na podkladě skutečností, se smluvní strany dohodly na uzavření dodatku č. 1 k nájemní smlouvě č. 401/2019 uzavřené dne 9. 4. 2020.</w:t>
      </w:r>
    </w:p>
    <w:p>
      <w:pPr>
        <w:pStyle w:val="Style2"/>
        <w:keepNext w:val="0"/>
        <w:keepLines w:val="0"/>
        <w:widowControl w:val="0"/>
        <w:numPr>
          <w:ilvl w:val="0"/>
          <w:numId w:val="3"/>
        </w:numPr>
        <w:shd w:val="clear" w:color="auto" w:fill="auto"/>
        <w:tabs>
          <w:tab w:pos="407" w:val="left"/>
        </w:tabs>
        <w:bidi w:val="0"/>
        <w:spacing w:before="0" w:after="180" w:line="240" w:lineRule="auto"/>
        <w:ind w:left="0" w:right="0" w:firstLine="0"/>
        <w:jc w:val="left"/>
      </w:pPr>
      <w:bookmarkStart w:id="13" w:name="bookmark13"/>
      <w:bookmarkEnd w:id="13"/>
      <w:r>
        <w:rPr>
          <w:color w:val="000000"/>
          <w:spacing w:val="0"/>
          <w:w w:val="100"/>
          <w:position w:val="0"/>
          <w:shd w:val="clear" w:color="auto" w:fill="auto"/>
          <w:lang w:val="cs-CZ" w:eastAsia="cs-CZ" w:bidi="cs-CZ"/>
        </w:rPr>
        <w:t>Smluvní strany se dohodly na tomto znění:</w:t>
      </w:r>
    </w:p>
    <w:p>
      <w:pPr>
        <w:pStyle w:val="Style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V článku V. Cena a platební podmínky se mění na následující znění:</w:t>
      </w:r>
    </w:p>
    <w:p>
      <w:pPr>
        <w:pStyle w:val="Style2"/>
        <w:keepNext w:val="0"/>
        <w:keepLines w:val="0"/>
        <w:widowControl w:val="0"/>
        <w:numPr>
          <w:ilvl w:val="0"/>
          <w:numId w:val="5"/>
        </w:numPr>
        <w:shd w:val="clear" w:color="auto" w:fill="auto"/>
        <w:tabs>
          <w:tab w:pos="407" w:val="left"/>
        </w:tabs>
        <w:bidi w:val="0"/>
        <w:spacing w:before="0" w:after="0" w:line="240" w:lineRule="auto"/>
        <w:ind w:left="0" w:right="0" w:firstLine="0"/>
        <w:jc w:val="left"/>
      </w:pPr>
      <w:bookmarkStart w:id="14" w:name="bookmark14"/>
      <w:bookmarkEnd w:id="14"/>
      <w:r>
        <w:rPr>
          <w:color w:val="000000"/>
          <w:spacing w:val="0"/>
          <w:w w:val="100"/>
          <w:position w:val="0"/>
          <w:shd w:val="clear" w:color="auto" w:fill="auto"/>
          <w:lang w:val="cs-CZ" w:eastAsia="cs-CZ" w:bidi="cs-CZ"/>
        </w:rPr>
        <w:t>Cena nájmu je stanovena znaleckým posudkem č. 5864-55/19 vypracovaným Pavlem Rejnem.</w:t>
      </w:r>
    </w:p>
    <w:p>
      <w:pPr>
        <w:pStyle w:val="Style2"/>
        <w:keepNext w:val="0"/>
        <w:keepLines w:val="0"/>
        <w:widowControl w:val="0"/>
        <w:numPr>
          <w:ilvl w:val="0"/>
          <w:numId w:val="5"/>
        </w:numPr>
        <w:shd w:val="clear" w:color="auto" w:fill="auto"/>
        <w:tabs>
          <w:tab w:pos="407" w:val="left"/>
        </w:tabs>
        <w:bidi w:val="0"/>
        <w:spacing w:before="0" w:after="0" w:line="240" w:lineRule="auto"/>
        <w:ind w:left="440" w:right="0" w:hanging="440"/>
        <w:jc w:val="left"/>
      </w:pPr>
      <w:bookmarkStart w:id="15" w:name="bookmark15"/>
      <w:bookmarkEnd w:id="15"/>
      <w:r>
        <w:rPr>
          <w:color w:val="000000"/>
          <w:spacing w:val="0"/>
          <w:w w:val="100"/>
          <w:position w:val="0"/>
          <w:shd w:val="clear" w:color="auto" w:fill="auto"/>
          <w:lang w:val="cs-CZ" w:eastAsia="cs-CZ" w:bidi="cs-CZ"/>
        </w:rPr>
        <w:t>Nájem pozemku bude v souladu s právními předpisy zdaňován základní sazbou daně z přidané hodnoty.</w:t>
      </w:r>
    </w:p>
    <w:p>
      <w:pPr>
        <w:pStyle w:val="Style2"/>
        <w:keepNext w:val="0"/>
        <w:keepLines w:val="0"/>
        <w:widowControl w:val="0"/>
        <w:numPr>
          <w:ilvl w:val="0"/>
          <w:numId w:val="5"/>
        </w:numPr>
        <w:shd w:val="clear" w:color="auto" w:fill="auto"/>
        <w:tabs>
          <w:tab w:pos="407" w:val="left"/>
        </w:tabs>
        <w:bidi w:val="0"/>
        <w:spacing w:before="0" w:after="0" w:line="240" w:lineRule="auto"/>
        <w:ind w:left="0" w:right="0" w:firstLine="0"/>
        <w:jc w:val="left"/>
      </w:pPr>
      <w:bookmarkStart w:id="16" w:name="bookmark16"/>
      <w:bookmarkEnd w:id="16"/>
      <w:r>
        <w:rPr>
          <w:color w:val="000000"/>
          <w:spacing w:val="0"/>
          <w:w w:val="100"/>
          <w:position w:val="0"/>
          <w:shd w:val="clear" w:color="auto" w:fill="auto"/>
          <w:lang w:val="cs-CZ" w:eastAsia="cs-CZ" w:bidi="cs-CZ"/>
        </w:rPr>
        <w:t xml:space="preserve">Celková cena nájmu je stanovena dohodou ve výši </w:t>
      </w:r>
      <w:r>
        <w:rPr>
          <w:b/>
          <w:bCs/>
          <w:color w:val="000000"/>
          <w:spacing w:val="0"/>
          <w:w w:val="100"/>
          <w:position w:val="0"/>
          <w:shd w:val="clear" w:color="auto" w:fill="auto"/>
          <w:lang w:val="cs-CZ" w:eastAsia="cs-CZ" w:bidi="cs-CZ"/>
        </w:rPr>
        <w:t>110.410 Kč/rok + DPH</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Cena nájmu bez DPH je členěna:</w:t>
      </w:r>
    </w:p>
    <w:p>
      <w:pPr>
        <w:pStyle w:val="Style2"/>
        <w:keepNext w:val="0"/>
        <w:keepLines w:val="0"/>
        <w:widowControl w:val="0"/>
        <w:numPr>
          <w:ilvl w:val="0"/>
          <w:numId w:val="7"/>
        </w:numPr>
        <w:shd w:val="clear" w:color="auto" w:fill="auto"/>
        <w:tabs>
          <w:tab w:pos="1538" w:val="left"/>
        </w:tabs>
        <w:bidi w:val="0"/>
        <w:spacing w:before="0" w:after="0" w:line="240" w:lineRule="auto"/>
        <w:ind w:left="1160" w:right="0" w:firstLine="0"/>
        <w:jc w:val="left"/>
      </w:pPr>
      <w:bookmarkStart w:id="17" w:name="bookmark17"/>
      <w:bookmarkEnd w:id="17"/>
      <w:r>
        <w:rPr>
          <w:color w:val="000000"/>
          <w:spacing w:val="0"/>
          <w:w w:val="100"/>
          <w:position w:val="0"/>
          <w:shd w:val="clear" w:color="auto" w:fill="auto"/>
          <w:lang w:val="cs-CZ" w:eastAsia="cs-CZ" w:bidi="cs-CZ"/>
        </w:rPr>
        <w:t>vodolyžařský vlek</w:t>
      </w:r>
    </w:p>
    <w:p>
      <w:pPr>
        <w:pStyle w:val="Style2"/>
        <w:keepNext w:val="0"/>
        <w:keepLines w:val="0"/>
        <w:widowControl w:val="0"/>
        <w:shd w:val="clear" w:color="auto" w:fill="auto"/>
        <w:bidi w:val="0"/>
        <w:spacing w:before="0" w:after="0" w:line="240" w:lineRule="auto"/>
        <w:ind w:left="2200" w:right="0" w:firstLine="0"/>
        <w:jc w:val="left"/>
      </w:pPr>
      <w:r>
        <w:rPr>
          <w:color w:val="000000"/>
          <w:spacing w:val="0"/>
          <w:w w:val="100"/>
          <w:position w:val="0"/>
          <w:shd w:val="clear" w:color="auto" w:fill="auto"/>
          <w:lang w:val="cs-CZ" w:eastAsia="cs-CZ" w:bidi="cs-CZ"/>
        </w:rPr>
        <w:t>46 521 m2 x 2,061 Kč = 95.879,93 Kč</w:t>
      </w:r>
    </w:p>
    <w:p>
      <w:pPr>
        <w:pStyle w:val="Style2"/>
        <w:keepNext w:val="0"/>
        <w:keepLines w:val="0"/>
        <w:widowControl w:val="0"/>
        <w:numPr>
          <w:ilvl w:val="0"/>
          <w:numId w:val="7"/>
        </w:numPr>
        <w:shd w:val="clear" w:color="auto" w:fill="auto"/>
        <w:tabs>
          <w:tab w:pos="1538" w:val="left"/>
        </w:tabs>
        <w:bidi w:val="0"/>
        <w:spacing w:before="0" w:after="0" w:line="240" w:lineRule="auto"/>
        <w:ind w:left="1160" w:right="0" w:firstLine="0"/>
        <w:jc w:val="left"/>
      </w:pPr>
      <w:bookmarkStart w:id="18" w:name="bookmark18"/>
      <w:bookmarkEnd w:id="18"/>
      <w:r>
        <w:rPr>
          <w:color w:val="000000"/>
          <w:spacing w:val="0"/>
          <w:w w:val="100"/>
          <w:position w:val="0"/>
          <w:shd w:val="clear" w:color="auto" w:fill="auto"/>
          <w:lang w:val="cs-CZ" w:eastAsia="cs-CZ" w:bidi="cs-CZ"/>
        </w:rPr>
        <w:t>mobilní vodolyžařský vlek</w:t>
      </w:r>
    </w:p>
    <w:p>
      <w:pPr>
        <w:pStyle w:val="Style2"/>
        <w:keepNext w:val="0"/>
        <w:keepLines w:val="0"/>
        <w:widowControl w:val="0"/>
        <w:shd w:val="clear" w:color="auto" w:fill="auto"/>
        <w:bidi w:val="0"/>
        <w:spacing w:before="0" w:after="0" w:line="240" w:lineRule="auto"/>
        <w:ind w:left="2200" w:right="0" w:firstLine="0"/>
        <w:jc w:val="left"/>
      </w:pPr>
      <w:r>
        <w:rPr>
          <w:color w:val="000000"/>
          <w:spacing w:val="0"/>
          <w:w w:val="100"/>
          <w:position w:val="0"/>
          <w:shd w:val="clear" w:color="auto" w:fill="auto"/>
          <w:lang w:val="cs-CZ" w:eastAsia="cs-CZ" w:bidi="cs-CZ"/>
        </w:rPr>
        <w:t>7 050 m2 x 2,061 Kč = 14.530,07 Kč</w:t>
      </w:r>
    </w:p>
    <w:p>
      <w:pPr>
        <w:pStyle w:val="Style2"/>
        <w:keepNext w:val="0"/>
        <w:keepLines w:val="0"/>
        <w:widowControl w:val="0"/>
        <w:shd w:val="clear" w:color="auto" w:fill="auto"/>
        <w:bidi w:val="0"/>
        <w:spacing w:before="0" w:after="0" w:line="240" w:lineRule="auto"/>
        <w:ind w:left="440" w:right="0" w:firstLine="20"/>
        <w:jc w:val="both"/>
      </w:pPr>
      <w:r>
        <w:rPr>
          <w:color w:val="000000"/>
          <w:spacing w:val="0"/>
          <w:w w:val="100"/>
          <w:position w:val="0"/>
          <w:shd w:val="clear" w:color="auto" w:fill="auto"/>
          <w:lang w:val="cs-CZ" w:eastAsia="cs-CZ" w:bidi="cs-CZ"/>
        </w:rPr>
        <w:t>Smluvní strany se dohodly, že v případě, že nebude v příslušném kalendářním roce realizován mobilní vodolyžařský vlek, bude hrazeno nájemné za příslušný kalendářní rok pouze ve výši ceny nájmu pro vodolyžařský vlek. Tuto skutečnost nájemce oznámí písemně pronajímateli nejpozději do 30.4. příslušného kalendářního roku.</w:t>
      </w:r>
    </w:p>
    <w:p>
      <w:pPr>
        <w:pStyle w:val="Style2"/>
        <w:keepNext w:val="0"/>
        <w:keepLines w:val="0"/>
        <w:widowControl w:val="0"/>
        <w:numPr>
          <w:ilvl w:val="0"/>
          <w:numId w:val="5"/>
        </w:numPr>
        <w:shd w:val="clear" w:color="auto" w:fill="auto"/>
        <w:tabs>
          <w:tab w:pos="407" w:val="left"/>
        </w:tabs>
        <w:bidi w:val="0"/>
        <w:spacing w:before="0" w:after="280" w:line="240" w:lineRule="auto"/>
        <w:ind w:left="440" w:right="0" w:hanging="440"/>
        <w:jc w:val="left"/>
      </w:pPr>
      <w:bookmarkStart w:id="19" w:name="bookmark19"/>
      <w:bookmarkEnd w:id="19"/>
      <w:r>
        <w:rPr>
          <w:color w:val="000000"/>
          <w:spacing w:val="0"/>
          <w:w w:val="100"/>
          <w:position w:val="0"/>
          <w:shd w:val="clear" w:color="auto" w:fill="auto"/>
          <w:lang w:val="cs-CZ" w:eastAsia="cs-CZ" w:bidi="cs-CZ"/>
        </w:rPr>
        <w:t xml:space="preserve">Na základě dohody obou smluvních stran je cena za vodolyžařský vlek pro rok 2024 stanovena ve výši </w:t>
      </w:r>
      <w:r>
        <w:rPr>
          <w:b/>
          <w:bCs/>
          <w:color w:val="000000"/>
          <w:spacing w:val="0"/>
          <w:w w:val="100"/>
          <w:position w:val="0"/>
          <w:shd w:val="clear" w:color="auto" w:fill="auto"/>
          <w:lang w:val="cs-CZ" w:eastAsia="cs-CZ" w:bidi="cs-CZ"/>
        </w:rPr>
        <w:t>28.763,98 Kč.</w:t>
      </w:r>
    </w:p>
    <w:p>
      <w:pPr>
        <w:pStyle w:val="Style2"/>
        <w:keepNext w:val="0"/>
        <w:keepLines w:val="0"/>
        <w:widowControl w:val="0"/>
        <w:numPr>
          <w:ilvl w:val="0"/>
          <w:numId w:val="5"/>
        </w:numPr>
        <w:shd w:val="clear" w:color="auto" w:fill="auto"/>
        <w:tabs>
          <w:tab w:pos="399" w:val="left"/>
        </w:tabs>
        <w:bidi w:val="0"/>
        <w:spacing w:before="0" w:after="0" w:line="240" w:lineRule="auto"/>
        <w:ind w:left="440" w:right="0" w:hanging="440"/>
        <w:jc w:val="both"/>
      </w:pPr>
      <w:bookmarkStart w:id="20" w:name="bookmark20"/>
      <w:bookmarkEnd w:id="20"/>
      <w:r>
        <w:rPr>
          <w:color w:val="000000"/>
          <w:spacing w:val="0"/>
          <w:w w:val="100"/>
          <w:position w:val="0"/>
          <w:shd w:val="clear" w:color="auto" w:fill="auto"/>
          <w:lang w:val="cs-CZ" w:eastAsia="cs-CZ" w:bidi="cs-CZ"/>
        </w:rPr>
        <w:t>Od druhého roku účinnosti smlouvy je pronajímatel oprávněn každoročně zvyšovat nájemné o částku odpovídající koeficientu, vyjadřujícího míru inflace spotřebitelských cen za předcházející rok, publikovaného Českým statistickým úřadem. K zápornému koeficientu nebude přihlíženo.</w:t>
      </w:r>
    </w:p>
    <w:p>
      <w:pPr>
        <w:pStyle w:val="Style2"/>
        <w:keepNext w:val="0"/>
        <w:keepLines w:val="0"/>
        <w:widowControl w:val="0"/>
        <w:numPr>
          <w:ilvl w:val="0"/>
          <w:numId w:val="5"/>
        </w:numPr>
        <w:shd w:val="clear" w:color="auto" w:fill="auto"/>
        <w:tabs>
          <w:tab w:pos="399" w:val="left"/>
        </w:tabs>
        <w:bidi w:val="0"/>
        <w:spacing w:before="0" w:after="0" w:line="240" w:lineRule="auto"/>
        <w:ind w:left="440" w:right="0" w:hanging="440"/>
        <w:jc w:val="both"/>
      </w:pPr>
      <w:bookmarkStart w:id="21" w:name="bookmark21"/>
      <w:bookmarkEnd w:id="21"/>
      <w:r>
        <w:rPr>
          <w:color w:val="000000"/>
          <w:spacing w:val="0"/>
          <w:w w:val="100"/>
          <w:position w:val="0"/>
          <w:shd w:val="clear" w:color="auto" w:fill="auto"/>
          <w:lang w:val="cs-CZ" w:eastAsia="cs-CZ" w:bidi="cs-CZ"/>
        </w:rPr>
        <w:t>Roční nájemné bude nájemce hradit jednou splátkou na základě daňového dokladu, vystaveného do 15 dnů ode dne uskutečnění zdanitelného plnění se splatností 14 dnů od data vystavení.</w:t>
      </w:r>
    </w:p>
    <w:p>
      <w:pPr>
        <w:pStyle w:val="Style2"/>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 xml:space="preserve">Dnem uskutečnění zdanitelného plnění bude po celou dobu platnosti smlouvy stanoven </w:t>
      </w:r>
      <w:r>
        <w:rPr>
          <w:b/>
          <w:bCs/>
          <w:color w:val="000000"/>
          <w:spacing w:val="0"/>
          <w:w w:val="100"/>
          <w:position w:val="0"/>
          <w:shd w:val="clear" w:color="auto" w:fill="auto"/>
          <w:lang w:val="cs-CZ" w:eastAsia="cs-CZ" w:bidi="cs-CZ"/>
        </w:rPr>
        <w:t xml:space="preserve">30.10. </w:t>
      </w:r>
      <w:r>
        <w:rPr>
          <w:color w:val="000000"/>
          <w:spacing w:val="0"/>
          <w:w w:val="100"/>
          <w:position w:val="0"/>
          <w:shd w:val="clear" w:color="auto" w:fill="auto"/>
          <w:lang w:val="cs-CZ" w:eastAsia="cs-CZ" w:bidi="cs-CZ"/>
        </w:rPr>
        <w:t>běžného roku.</w:t>
      </w:r>
    </w:p>
    <w:p>
      <w:pPr>
        <w:pStyle w:val="Style2"/>
        <w:keepNext w:val="0"/>
        <w:keepLines w:val="0"/>
        <w:widowControl w:val="0"/>
        <w:shd w:val="clear" w:color="auto" w:fill="auto"/>
        <w:bidi w:val="0"/>
        <w:spacing w:before="0" w:after="0" w:line="240" w:lineRule="auto"/>
        <w:ind w:left="440" w:right="0" w:firstLine="0"/>
        <w:jc w:val="both"/>
      </w:pPr>
      <w:r>
        <w:rPr>
          <w:b/>
          <w:bCs/>
          <w:color w:val="000000"/>
          <w:spacing w:val="0"/>
          <w:w w:val="100"/>
          <w:position w:val="0"/>
          <w:shd w:val="clear" w:color="auto" w:fill="auto"/>
          <w:lang w:val="cs-CZ" w:eastAsia="cs-CZ" w:bidi="cs-CZ"/>
        </w:rPr>
        <w:t>Pro rok 2024 je dnem uskutečnění zdanitelného plnění datum podpisu dodatku č. 1.</w:t>
      </w:r>
    </w:p>
    <w:p>
      <w:pPr>
        <w:pStyle w:val="Style2"/>
        <w:keepNext w:val="0"/>
        <w:keepLines w:val="0"/>
        <w:widowControl w:val="0"/>
        <w:numPr>
          <w:ilvl w:val="0"/>
          <w:numId w:val="5"/>
        </w:numPr>
        <w:shd w:val="clear" w:color="auto" w:fill="auto"/>
        <w:tabs>
          <w:tab w:pos="399" w:val="left"/>
        </w:tabs>
        <w:bidi w:val="0"/>
        <w:spacing w:before="0" w:after="400" w:line="240" w:lineRule="auto"/>
        <w:ind w:left="440" w:right="0" w:hanging="440"/>
        <w:jc w:val="both"/>
      </w:pPr>
      <w:bookmarkStart w:id="22" w:name="bookmark22"/>
      <w:bookmarkEnd w:id="22"/>
      <w:r>
        <w:rPr>
          <w:color w:val="000000"/>
          <w:spacing w:val="0"/>
          <w:w w:val="100"/>
          <w:position w:val="0"/>
          <w:shd w:val="clear" w:color="auto" w:fill="auto"/>
          <w:lang w:val="cs-CZ" w:eastAsia="cs-CZ" w:bidi="cs-CZ"/>
        </w:rPr>
        <w:t>Neuhradí-li nájemce cenu ročního nájemného ve lhůtě splatnosti, bude mu účtován úrok z prodlení ve výši 0,1 % z částky včas nezaplacené za každý den prodlení.</w:t>
      </w:r>
    </w:p>
    <w:p>
      <w:pPr>
        <w:pStyle w:val="Style12"/>
        <w:keepNext/>
        <w:keepLines/>
        <w:widowControl w:val="0"/>
        <w:numPr>
          <w:ilvl w:val="0"/>
          <w:numId w:val="1"/>
        </w:numPr>
        <w:shd w:val="clear" w:color="auto" w:fill="auto"/>
        <w:tabs>
          <w:tab w:pos="399" w:val="left"/>
        </w:tabs>
        <w:bidi w:val="0"/>
        <w:spacing w:before="0" w:after="0"/>
        <w:ind w:left="0" w:right="0" w:firstLine="0"/>
        <w:jc w:val="center"/>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COMPLIANCE DOLOŽKA</w:t>
      </w:r>
      <w:bookmarkEnd w:id="23"/>
      <w:bookmarkEnd w:id="24"/>
      <w:bookmarkEnd w:id="26"/>
    </w:p>
    <w:p>
      <w:pPr>
        <w:pStyle w:val="Style2"/>
        <w:keepNext w:val="0"/>
        <w:keepLines w:val="0"/>
        <w:widowControl w:val="0"/>
        <w:numPr>
          <w:ilvl w:val="0"/>
          <w:numId w:val="9"/>
        </w:numPr>
        <w:shd w:val="clear" w:color="auto" w:fill="auto"/>
        <w:tabs>
          <w:tab w:pos="399" w:val="left"/>
        </w:tabs>
        <w:bidi w:val="0"/>
        <w:spacing w:before="0" w:after="0" w:line="240" w:lineRule="auto"/>
        <w:ind w:left="440" w:right="0" w:hanging="440"/>
        <w:jc w:val="both"/>
      </w:pPr>
      <w:bookmarkStart w:id="27" w:name="bookmark27"/>
      <w:bookmarkEnd w:id="27"/>
      <w:r>
        <w:rPr>
          <w:color w:val="000000"/>
          <w:spacing w:val="0"/>
          <w:w w:val="100"/>
          <w:position w:val="0"/>
          <w:shd w:val="clear" w:color="auto" w:fill="auto"/>
          <w:lang w:val="cs-CZ" w:eastAsia="cs-CZ" w:bidi="cs-CZ"/>
        </w:rPr>
        <w:t>Smluvní strany níže svým podpisem stvrzují, že v průběhu vyjednávání o tomto dodatku vždy jednaly a postupovaly čestně a transparentně, a současně se zavazují, že takto budou jednat i při plnění tohoto dodatku a veškerých činností s ním souvisejících.</w:t>
      </w:r>
    </w:p>
    <w:p>
      <w:pPr>
        <w:pStyle w:val="Style2"/>
        <w:keepNext w:val="0"/>
        <w:keepLines w:val="0"/>
        <w:widowControl w:val="0"/>
        <w:numPr>
          <w:ilvl w:val="0"/>
          <w:numId w:val="9"/>
        </w:numPr>
        <w:shd w:val="clear" w:color="auto" w:fill="auto"/>
        <w:tabs>
          <w:tab w:pos="399" w:val="left"/>
        </w:tabs>
        <w:bidi w:val="0"/>
        <w:spacing w:before="0" w:after="0" w:line="240" w:lineRule="auto"/>
        <w:ind w:left="440" w:right="0" w:hanging="440"/>
        <w:jc w:val="both"/>
      </w:pPr>
      <w:bookmarkStart w:id="28" w:name="bookmark28"/>
      <w:bookmarkEnd w:id="2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9"/>
        </w:numPr>
        <w:shd w:val="clear" w:color="auto" w:fill="auto"/>
        <w:tabs>
          <w:tab w:pos="399" w:val="left"/>
        </w:tabs>
        <w:bidi w:val="0"/>
        <w:spacing w:before="0" w:after="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 xml:space="preserve">Nájemce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Nájemce se při plnění tohoto dodatku zavazuje po celou dobu jeho trvání dodržovat zásady a hodnoty obsažené v uvedených dokumentech, pokud to jejich povaha umožňuje.</w:t>
      </w:r>
    </w:p>
    <w:p>
      <w:pPr>
        <w:pStyle w:val="Style2"/>
        <w:keepNext w:val="0"/>
        <w:keepLines w:val="0"/>
        <w:widowControl w:val="0"/>
        <w:numPr>
          <w:ilvl w:val="0"/>
          <w:numId w:val="9"/>
        </w:numPr>
        <w:shd w:val="clear" w:color="auto" w:fill="auto"/>
        <w:tabs>
          <w:tab w:pos="399" w:val="left"/>
        </w:tabs>
        <w:bidi w:val="0"/>
        <w:spacing w:before="0" w:after="52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tímto dodatkem, zejména trestného činu korupční povahy, a to bez ohledu a nad rámec případné zákonné oznamovací povinnosti; obdobné platí ve vztahu k jednání, které je v rozporu se zásadami vyjádřenými v tomto článku.</w:t>
      </w:r>
    </w:p>
    <w:p>
      <w:pPr>
        <w:pStyle w:val="Style12"/>
        <w:keepNext/>
        <w:keepLines/>
        <w:widowControl w:val="0"/>
        <w:numPr>
          <w:ilvl w:val="0"/>
          <w:numId w:val="1"/>
        </w:numPr>
        <w:shd w:val="clear" w:color="auto" w:fill="auto"/>
        <w:tabs>
          <w:tab w:pos="399" w:val="left"/>
        </w:tabs>
        <w:bidi w:val="0"/>
        <w:spacing w:before="0" w:after="0"/>
        <w:ind w:left="0" w:right="0" w:firstLine="0"/>
        <w:jc w:val="center"/>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OCHRANA A ZPRACOVÁNÍ OSOBNÍCH ÚDAJŮ</w:t>
      </w:r>
      <w:bookmarkEnd w:id="31"/>
      <w:bookmarkEnd w:id="32"/>
      <w:bookmarkEnd w:id="34"/>
    </w:p>
    <w:p>
      <w:pPr>
        <w:pStyle w:val="Style2"/>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 xml:space="preserve">V případě, že v souvislosti s tímto dodatkem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 zpracovani-osobnich-udaju/d-1369/p1=1459</w:t>
      </w:r>
      <w:r>
        <w:fldChar w:fldCharType="end"/>
      </w:r>
    </w:p>
    <w:p>
      <w:pPr>
        <w:pStyle w:val="Style9"/>
        <w:keepNext/>
        <w:keepLines/>
        <w:widowControl w:val="0"/>
        <w:numPr>
          <w:ilvl w:val="0"/>
          <w:numId w:val="1"/>
        </w:numPr>
        <w:shd w:val="clear" w:color="auto" w:fill="auto"/>
        <w:tabs>
          <w:tab w:pos="399" w:val="left"/>
        </w:tabs>
        <w:bidi w:val="0"/>
        <w:spacing w:before="0" w:after="0" w:line="240" w:lineRule="auto"/>
        <w:ind w:left="0" w:right="0" w:firstLine="0"/>
        <w:jc w:val="center"/>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ZÁVĚREČNÁ USTANOVENÍ</w:t>
      </w:r>
      <w:bookmarkEnd w:id="35"/>
      <w:bookmarkEnd w:id="36"/>
      <w:bookmarkEnd w:id="38"/>
    </w:p>
    <w:p>
      <w:pPr>
        <w:pStyle w:val="Style2"/>
        <w:keepNext w:val="0"/>
        <w:keepLines w:val="0"/>
        <w:widowControl w:val="0"/>
        <w:numPr>
          <w:ilvl w:val="0"/>
          <w:numId w:val="11"/>
        </w:numPr>
        <w:shd w:val="clear" w:color="auto" w:fill="auto"/>
        <w:tabs>
          <w:tab w:pos="399" w:val="left"/>
        </w:tabs>
        <w:bidi w:val="0"/>
        <w:spacing w:before="0" w:after="0" w:line="240" w:lineRule="auto"/>
        <w:ind w:left="0" w:right="0" w:firstLine="0"/>
        <w:jc w:val="both"/>
      </w:pPr>
      <w:bookmarkStart w:id="39" w:name="bookmark39"/>
      <w:bookmarkEnd w:id="39"/>
      <w:r>
        <w:rPr>
          <w:color w:val="000000"/>
          <w:spacing w:val="0"/>
          <w:w w:val="100"/>
          <w:position w:val="0"/>
          <w:shd w:val="clear" w:color="auto" w:fill="auto"/>
          <w:lang w:val="cs-CZ" w:eastAsia="cs-CZ" w:bidi="cs-CZ"/>
        </w:rPr>
        <w:t>Tento dodatek je vyhotoven 4x, nájemce si ponechá 1 vyhotovení a pronajímatel 3 vyhotovení.</w:t>
      </w:r>
    </w:p>
    <w:p>
      <w:pPr>
        <w:pStyle w:val="Style2"/>
        <w:keepNext w:val="0"/>
        <w:keepLines w:val="0"/>
        <w:widowControl w:val="0"/>
        <w:numPr>
          <w:ilvl w:val="0"/>
          <w:numId w:val="11"/>
        </w:numPr>
        <w:shd w:val="clear" w:color="auto" w:fill="auto"/>
        <w:tabs>
          <w:tab w:pos="399" w:val="left"/>
        </w:tabs>
        <w:bidi w:val="0"/>
        <w:spacing w:before="0" w:after="0" w:line="240" w:lineRule="auto"/>
        <w:ind w:left="440" w:right="0" w:hanging="440"/>
        <w:jc w:val="both"/>
      </w:pPr>
      <w:bookmarkStart w:id="40" w:name="bookmark40"/>
      <w:bookmarkEnd w:id="40"/>
      <w:r>
        <w:rPr>
          <w:color w:val="000000"/>
          <w:spacing w:val="0"/>
          <w:w w:val="100"/>
          <w:position w:val="0"/>
          <w:shd w:val="clear" w:color="auto" w:fill="auto"/>
          <w:lang w:val="cs-CZ" w:eastAsia="cs-CZ" w:bidi="cs-CZ"/>
        </w:rPr>
        <w:t>Dodatek č. 1 k nájemní smlouvě č. 401/2019 uzavřené dne 9. 4. 2020 nabývá platnosti dnem podpisu oběma smluvními stranami.</w:t>
      </w:r>
    </w:p>
    <w:p>
      <w:pPr>
        <w:pStyle w:val="Style2"/>
        <w:keepNext w:val="0"/>
        <w:keepLines w:val="0"/>
        <w:widowControl w:val="0"/>
        <w:numPr>
          <w:ilvl w:val="0"/>
          <w:numId w:val="11"/>
        </w:numPr>
        <w:shd w:val="clear" w:color="auto" w:fill="auto"/>
        <w:tabs>
          <w:tab w:pos="399" w:val="left"/>
        </w:tabs>
        <w:bidi w:val="0"/>
        <w:spacing w:before="0" w:after="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Smluvní strany berou na vědomí, že Povodí Ohře, státní podnik, je povinen zveřejnit obraz dodatku včetně metadat požadovaných k uveřejnění dle zákona č. 340/2015 Sb. o registru smluv. Zveřejnění dodatku a metadat v registru smluv zajistí Povodí Ohře, státní podnik, který má právo tento dodatek zveřejnit rovněž v pochybnostech o tom, zda tento dodatek zveřejnění podléhá či nikoliv.</w:t>
      </w:r>
    </w:p>
    <w:p>
      <w:pPr>
        <w:pStyle w:val="Style2"/>
        <w:keepNext w:val="0"/>
        <w:keepLines w:val="0"/>
        <w:widowControl w:val="0"/>
        <w:numPr>
          <w:ilvl w:val="0"/>
          <w:numId w:val="11"/>
        </w:numPr>
        <w:shd w:val="clear" w:color="auto" w:fill="auto"/>
        <w:tabs>
          <w:tab w:pos="399" w:val="left"/>
        </w:tabs>
        <w:bidi w:val="0"/>
        <w:spacing w:before="0" w:after="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Tento dodatek je sepsán dle příslušných ustanovení občanského zákoníku včetně předpisů souvisejících.</w:t>
      </w:r>
    </w:p>
    <w:p>
      <w:pPr>
        <w:pStyle w:val="Style2"/>
        <w:keepNext w:val="0"/>
        <w:keepLines w:val="0"/>
        <w:widowControl w:val="0"/>
        <w:numPr>
          <w:ilvl w:val="0"/>
          <w:numId w:val="11"/>
        </w:numPr>
        <w:shd w:val="clear" w:color="auto" w:fill="auto"/>
        <w:tabs>
          <w:tab w:pos="399" w:val="left"/>
        </w:tabs>
        <w:bidi w:val="0"/>
        <w:spacing w:before="0" w:after="46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Smluvní strany nepovažují žádné ustanovení tohoto dodatku za obchodní tajemství.</w:t>
      </w:r>
    </w:p>
    <w:p>
      <w:pPr>
        <w:pStyle w:val="Style2"/>
        <w:keepNext w:val="0"/>
        <w:keepLines w:val="0"/>
        <w:widowControl w:val="0"/>
        <w:numPr>
          <w:ilvl w:val="0"/>
          <w:numId w:val="11"/>
        </w:numPr>
        <w:shd w:val="clear" w:color="auto" w:fill="auto"/>
        <w:tabs>
          <w:tab w:pos="427" w:val="left"/>
        </w:tabs>
        <w:bidi w:val="0"/>
        <w:spacing w:before="0" w:after="0" w:line="240" w:lineRule="auto"/>
        <w:ind w:left="440" w:right="0" w:hanging="440"/>
        <w:jc w:val="left"/>
      </w:pPr>
      <w:bookmarkStart w:id="44" w:name="bookmark44"/>
      <w:bookmarkEnd w:id="44"/>
      <w:r>
        <w:rPr>
          <w:color w:val="000000"/>
          <w:spacing w:val="0"/>
          <w:w w:val="100"/>
          <w:position w:val="0"/>
          <w:shd w:val="clear" w:color="auto" w:fill="auto"/>
          <w:lang w:val="cs-CZ" w:eastAsia="cs-CZ" w:bidi="cs-CZ"/>
        </w:rPr>
        <w:t>Smluvní strany prohlašují, že tento dodatek odpovídá jejich pravé a svobodné vůli, seznámily se s jeho obsahem a na důkaz svého souhlasu ji podepisují.</w:t>
      </w:r>
    </w:p>
    <w:p>
      <w:pPr>
        <w:pStyle w:val="Style2"/>
        <w:keepNext w:val="0"/>
        <w:keepLines w:val="0"/>
        <w:widowControl w:val="0"/>
        <w:numPr>
          <w:ilvl w:val="0"/>
          <w:numId w:val="11"/>
        </w:numPr>
        <w:shd w:val="clear" w:color="auto" w:fill="auto"/>
        <w:tabs>
          <w:tab w:pos="427" w:val="left"/>
        </w:tabs>
        <w:bidi w:val="0"/>
        <w:spacing w:before="0" w:after="0" w:line="240" w:lineRule="auto"/>
        <w:ind w:left="0" w:right="0" w:firstLine="0"/>
        <w:jc w:val="left"/>
        <w:sectPr>
          <w:footerReference w:type="default" r:id="rId5"/>
          <w:footnotePr>
            <w:pos w:val="pageBottom"/>
            <w:numFmt w:val="decimal"/>
            <w:numRestart w:val="continuous"/>
          </w:footnotePr>
          <w:pgSz w:w="11909" w:h="16834"/>
          <w:pgMar w:top="1211" w:left="1408" w:right="1413" w:bottom="1816" w:header="783" w:footer="3" w:gutter="0"/>
          <w:pgNumType w:start="1"/>
          <w:cols w:space="720"/>
          <w:noEndnote/>
          <w:rtlGutter w:val="0"/>
          <w:docGrid w:linePitch="360"/>
        </w:sectPr>
      </w:pPr>
      <w:bookmarkStart w:id="45" w:name="bookmark45"/>
      <w:bookmarkEnd w:id="45"/>
      <w:r>
        <w:rPr>
          <w:color w:val="000000"/>
          <w:spacing w:val="0"/>
          <w:w w:val="100"/>
          <w:position w:val="0"/>
          <w:shd w:val="clear" w:color="auto" w:fill="auto"/>
          <w:lang w:val="cs-CZ" w:eastAsia="cs-CZ" w:bidi="cs-CZ"/>
        </w:rPr>
        <w:t>Ostatní ustanovení nájemní smlouvy č. 401/2019 zůstávají nezměněna.</w:t>
      </w:r>
    </w:p>
    <w:p>
      <w:pPr>
        <w:widowControl w:val="0"/>
        <w:spacing w:line="142" w:lineRule="exact"/>
        <w:rPr>
          <w:sz w:val="11"/>
          <w:szCs w:val="11"/>
        </w:rPr>
      </w:pPr>
    </w:p>
    <w:p>
      <w:pPr>
        <w:widowControl w:val="0"/>
        <w:spacing w:line="1" w:lineRule="exact"/>
        <w:sectPr>
          <w:footnotePr>
            <w:pos w:val="pageBottom"/>
            <w:numFmt w:val="decimal"/>
            <w:numRestart w:val="continuous"/>
          </w:footnotePr>
          <w:type w:val="continuous"/>
          <w:pgSz w:w="11909" w:h="16834"/>
          <w:pgMar w:top="1414" w:left="0" w:right="0" w:bottom="12158" w:header="0" w:footer="3" w:gutter="0"/>
          <w:cols w:space="720"/>
          <w:noEndnote/>
          <w:rtlGutter w:val="0"/>
          <w:docGrid w:linePitch="360"/>
        </w:sectPr>
      </w:pP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nájemce:</w:t>
      </w:r>
    </w:p>
    <w:p>
      <w:pPr>
        <w:pStyle w:val="Style2"/>
        <w:keepNext w:val="0"/>
        <w:keepLines w:val="0"/>
        <w:widowControl w:val="0"/>
        <w:shd w:val="clear" w:color="auto" w:fill="auto"/>
        <w:tabs>
          <w:tab w:pos="2981"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w:t>
      </w:r>
      <w:r>
        <w:rPr>
          <w:u w:val="single"/>
        </w:rPr>
        <w:t xml:space="preserve"> </w:t>
        <w:tab/>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tabs>
          <w:tab w:pos="3317" w:val="left"/>
        </w:tabs>
        <w:bidi w:val="0"/>
        <w:spacing w:before="0" w:after="0" w:line="240" w:lineRule="auto"/>
        <w:ind w:left="0" w:right="0" w:firstLine="0"/>
        <w:jc w:val="left"/>
        <w:sectPr>
          <w:footnotePr>
            <w:pos w:val="pageBottom"/>
            <w:numFmt w:val="decimal"/>
            <w:numRestart w:val="continuous"/>
          </w:footnotePr>
          <w:type w:val="continuous"/>
          <w:pgSz w:w="11909" w:h="16834"/>
          <w:pgMar w:top="1414" w:left="1413" w:right="2080" w:bottom="12158" w:header="0" w:footer="3" w:gutter="0"/>
          <w:cols w:num="2" w:space="1666"/>
          <w:noEndnote/>
          <w:rtlGutter w:val="0"/>
          <w:docGrid w:linePitch="360"/>
        </w:sectPr>
      </w:pPr>
      <w:r>
        <w:rPr>
          <w:color w:val="000000"/>
          <w:spacing w:val="0"/>
          <w:w w:val="100"/>
          <w:position w:val="0"/>
          <w:shd w:val="clear" w:color="auto" w:fill="auto"/>
          <w:lang w:val="cs-CZ" w:eastAsia="cs-CZ" w:bidi="cs-CZ"/>
        </w:rPr>
        <w:t xml:space="preserve">V Chomutově, dne: </w:t>
      </w:r>
      <w:r>
        <w:rPr>
          <w:u w:val="single"/>
        </w:rPr>
        <w:t xml:space="preserve"> </w:t>
        <w:tab/>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3" w:after="43" w:line="240" w:lineRule="exact"/>
        <w:rPr>
          <w:sz w:val="19"/>
          <w:szCs w:val="19"/>
        </w:rPr>
      </w:pPr>
    </w:p>
    <w:p>
      <w:pPr>
        <w:widowControl w:val="0"/>
        <w:spacing w:line="1" w:lineRule="exact"/>
        <w:sectPr>
          <w:footnotePr>
            <w:pos w:val="pageBottom"/>
            <w:numFmt w:val="decimal"/>
            <w:numRestart w:val="continuous"/>
          </w:footnotePr>
          <w:type w:val="continuous"/>
          <w:pgSz w:w="11909" w:h="16834"/>
          <w:pgMar w:top="1414" w:left="0" w:right="0" w:bottom="1803"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4"/>
          <w:pgMar w:top="1414" w:left="1413" w:right="2085" w:bottom="1803" w:header="0" w:footer="3" w:gutter="0"/>
          <w:cols w:num="2" w:space="1670"/>
          <w:noEndnote/>
          <w:rtlGutter w:val="0"/>
          <w:docGrid w:linePitch="360"/>
        </w:sectPr>
      </w:pPr>
      <w:r>
        <w:rPr>
          <w:color w:val="000000"/>
          <w:spacing w:val="0"/>
          <w:w w:val="100"/>
          <w:position w:val="0"/>
          <w:shd w:val="clear" w:color="auto" w:fill="auto"/>
          <w:lang w:val="cs-CZ" w:eastAsia="cs-CZ" w:bidi="cs-CZ"/>
        </w:rPr>
        <w:t>…………………………………………..</w:t>
      </w:r>
    </w:p>
    <w:sectPr>
      <w:footnotePr>
        <w:pos w:val="pageBottom"/>
        <w:numFmt w:val="decimal"/>
        <w:numRestart w:val="continuous"/>
      </w:footnotePr>
      <w:type w:val="continuous"/>
      <w:pgSz w:w="11909" w:h="16834"/>
      <w:pgMar w:top="1414" w:left="1413" w:right="2085" w:bottom="1803" w:header="0" w:footer="3" w:gutter="0"/>
      <w:cols w:num="2" w:space="167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6581775</wp:posOffset>
              </wp:positionH>
              <wp:positionV relativeFrom="page">
                <wp:posOffset>9600565</wp:posOffset>
              </wp:positionV>
              <wp:extent cx="64135" cy="170815"/>
              <wp:wrapNone/>
              <wp:docPr id="1" name="Shape 1"/>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8.25pt;margin-top:755.95000000000005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outlineLvl w:val="1"/>
    </w:pPr>
    <w:rPr>
      <w:rFonts w:ascii="Arial" w:eastAsia="Arial" w:hAnsi="Arial" w:cs="Arial"/>
      <w:b/>
      <w:bCs/>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line="218" w:lineRule="auto"/>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 O D A T E K     č</dc:title>
  <dc:subject/>
  <dc:creator>Povodí Ohře a.s.</dc:creator>
  <cp:keywords/>
</cp:coreProperties>
</file>