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C75F" w14:textId="35A8A323" w:rsidR="00C5366B" w:rsidRDefault="0081113E">
      <w:pPr>
        <w:spacing w:after="16" w:line="259" w:lineRule="auto"/>
        <w:ind w:right="267"/>
        <w:jc w:val="center"/>
      </w:pPr>
      <w:r>
        <w:rPr>
          <w:b/>
        </w:rPr>
        <w:t>S</w:t>
      </w:r>
      <w:r w:rsidR="00F11CDC">
        <w:rPr>
          <w:b/>
        </w:rPr>
        <w:t xml:space="preserve">mlouva na poskytování licencí </w:t>
      </w:r>
    </w:p>
    <w:p w14:paraId="7E6D355D" w14:textId="1D1B2F4A" w:rsidR="00C5366B" w:rsidRDefault="00F11CDC">
      <w:pPr>
        <w:spacing w:after="0" w:line="274" w:lineRule="auto"/>
        <w:ind w:left="0" w:firstLine="0"/>
        <w:jc w:val="center"/>
      </w:pPr>
      <w:r>
        <w:t xml:space="preserve">uzavřená podle § 1746 odst. 2 </w:t>
      </w:r>
      <w:r w:rsidR="009959AB">
        <w:t xml:space="preserve">a § 2358 </w:t>
      </w:r>
      <w:r w:rsidR="0024799A">
        <w:t xml:space="preserve">a násl. </w:t>
      </w:r>
      <w:r>
        <w:t xml:space="preserve">zákona č. 89/2012 Sb., občanský zákoník </w:t>
      </w:r>
    </w:p>
    <w:p w14:paraId="3EA53748" w14:textId="77777777" w:rsidR="00C5366B" w:rsidRDefault="00F11CDC">
      <w:pPr>
        <w:spacing w:after="15" w:line="259" w:lineRule="auto"/>
        <w:ind w:left="0" w:firstLine="0"/>
        <w:jc w:val="left"/>
      </w:pPr>
      <w:r>
        <w:t xml:space="preserve"> </w:t>
      </w:r>
    </w:p>
    <w:p w14:paraId="6346A0CB" w14:textId="77777777" w:rsidR="00C5366B" w:rsidRDefault="00F11CDC">
      <w:pPr>
        <w:ind w:left="-5" w:right="250"/>
      </w:pPr>
      <w:r>
        <w:t xml:space="preserve">Smluvní strany: </w:t>
      </w:r>
    </w:p>
    <w:p w14:paraId="27936B35" w14:textId="77777777" w:rsidR="00C5366B" w:rsidRDefault="00F11CDC">
      <w:pPr>
        <w:spacing w:after="17" w:line="259" w:lineRule="auto"/>
        <w:ind w:left="0" w:firstLine="0"/>
        <w:jc w:val="left"/>
      </w:pPr>
      <w:r>
        <w:t xml:space="preserve"> </w:t>
      </w:r>
    </w:p>
    <w:p w14:paraId="7A9BB370" w14:textId="77777777" w:rsidR="0024799A" w:rsidRDefault="00F11CDC">
      <w:pPr>
        <w:spacing w:after="18" w:line="252" w:lineRule="auto"/>
        <w:ind w:left="-5" w:right="6959"/>
        <w:jc w:val="left"/>
        <w:rPr>
          <w:b/>
        </w:rPr>
      </w:pPr>
      <w:r>
        <w:rPr>
          <w:b/>
        </w:rPr>
        <w:t xml:space="preserve">Národní galerie v Praze. </w:t>
      </w:r>
    </w:p>
    <w:p w14:paraId="5D849377" w14:textId="36F1F047" w:rsidR="00C5366B" w:rsidRDefault="00F11CDC">
      <w:pPr>
        <w:spacing w:after="18" w:line="252" w:lineRule="auto"/>
        <w:ind w:left="-5" w:right="6959"/>
        <w:jc w:val="left"/>
      </w:pPr>
      <w:r>
        <w:t xml:space="preserve">IČO  00023281 </w:t>
      </w:r>
    </w:p>
    <w:p w14:paraId="316D6CF0" w14:textId="77777777" w:rsidR="0024799A" w:rsidRDefault="00F11CDC">
      <w:pPr>
        <w:ind w:left="-5" w:right="3874"/>
      </w:pPr>
      <w:r>
        <w:t xml:space="preserve">se sídlem Staroměstské nám. 12, 110 15 Praha 1 </w:t>
      </w:r>
    </w:p>
    <w:p w14:paraId="421A1372" w14:textId="06276C2B" w:rsidR="00C5366B" w:rsidRDefault="00F11CDC">
      <w:pPr>
        <w:ind w:left="-5" w:right="3874"/>
      </w:pPr>
      <w:r>
        <w:t xml:space="preserve">zastoupena ředitelem sekce provozu Františkem Pazderou </w:t>
      </w:r>
    </w:p>
    <w:p w14:paraId="7D68E6BC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3C68B0D6" w14:textId="77777777" w:rsidR="00C5366B" w:rsidRDefault="00F11CDC">
      <w:pPr>
        <w:spacing w:after="0" w:line="259" w:lineRule="auto"/>
        <w:ind w:left="-5"/>
        <w:jc w:val="left"/>
      </w:pPr>
      <w:r>
        <w:t>(dále „</w:t>
      </w:r>
      <w:r>
        <w:rPr>
          <w:b/>
          <w:i/>
        </w:rPr>
        <w:t>Objednatel</w:t>
      </w:r>
      <w:r>
        <w:t xml:space="preserve">“) </w:t>
      </w:r>
    </w:p>
    <w:p w14:paraId="1754C302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29C9DF39" w14:textId="77777777" w:rsidR="00C5366B" w:rsidRDefault="00F11CDC">
      <w:pPr>
        <w:ind w:left="-5" w:right="250"/>
      </w:pPr>
      <w:r>
        <w:t xml:space="preserve">a </w:t>
      </w:r>
    </w:p>
    <w:p w14:paraId="408549BA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2170F9AF" w14:textId="77777777" w:rsidR="0024799A" w:rsidRDefault="00F11CDC">
      <w:pPr>
        <w:spacing w:after="18" w:line="252" w:lineRule="auto"/>
        <w:ind w:left="-5" w:right="7619"/>
        <w:jc w:val="left"/>
        <w:rPr>
          <w:b/>
        </w:rPr>
      </w:pPr>
      <w:r>
        <w:rPr>
          <w:b/>
        </w:rPr>
        <w:t xml:space="preserve">AVB Group s.r.o.  </w:t>
      </w:r>
    </w:p>
    <w:p w14:paraId="546A2B01" w14:textId="423FB78A" w:rsidR="00C5366B" w:rsidRDefault="00F11CDC">
      <w:pPr>
        <w:spacing w:after="18" w:line="252" w:lineRule="auto"/>
        <w:ind w:left="-5" w:right="7619"/>
        <w:jc w:val="left"/>
      </w:pPr>
      <w:r>
        <w:t xml:space="preserve">IČO 64573699 </w:t>
      </w:r>
    </w:p>
    <w:p w14:paraId="6381993A" w14:textId="77777777" w:rsidR="0024799A" w:rsidRDefault="00F11CDC">
      <w:pPr>
        <w:ind w:left="-5" w:right="3657"/>
      </w:pPr>
      <w:r>
        <w:t xml:space="preserve">se sídlem Písnická 765/25, Kamýk, 142 00 Praha 4  </w:t>
      </w:r>
    </w:p>
    <w:p w14:paraId="00D07B4D" w14:textId="1B9CACC4" w:rsidR="003D0FAA" w:rsidRDefault="00B416D1" w:rsidP="00EC64F2">
      <w:pPr>
        <w:ind w:left="-5" w:right="-17"/>
      </w:pPr>
      <w:r>
        <w:t>zapsaná v obchodním rejstříku vedeném Městským soudem v</w:t>
      </w:r>
      <w:r w:rsidR="008A72D6">
        <w:t> </w:t>
      </w:r>
      <w:r>
        <w:t>Praze</w:t>
      </w:r>
      <w:r w:rsidR="008A72D6">
        <w:t xml:space="preserve">, oddíl C, vložka </w:t>
      </w:r>
      <w:r w:rsidR="008A72D6" w:rsidRPr="003D0FAA">
        <w:t>41674</w:t>
      </w:r>
    </w:p>
    <w:p w14:paraId="08009551" w14:textId="4DF8F952" w:rsidR="00C5366B" w:rsidRDefault="00F11CDC">
      <w:pPr>
        <w:ind w:left="-5" w:right="3657"/>
      </w:pPr>
      <w:r>
        <w:t xml:space="preserve">zastoupena jednatelem Ing. Ondřejem Měchurou, MBA </w:t>
      </w:r>
    </w:p>
    <w:p w14:paraId="196CF0A3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03585723" w14:textId="77777777" w:rsidR="00C5366B" w:rsidRDefault="00F11CDC">
      <w:pPr>
        <w:spacing w:after="98" w:line="259" w:lineRule="auto"/>
        <w:ind w:left="-5"/>
        <w:jc w:val="left"/>
      </w:pPr>
      <w:r>
        <w:t>(dále „</w:t>
      </w:r>
      <w:r>
        <w:rPr>
          <w:b/>
          <w:i/>
        </w:rPr>
        <w:t>Dodavatel</w:t>
      </w:r>
      <w:r>
        <w:t xml:space="preserve">“) </w:t>
      </w:r>
    </w:p>
    <w:p w14:paraId="6F139CD9" w14:textId="77777777" w:rsidR="00C5366B" w:rsidRDefault="00F11CDC">
      <w:pPr>
        <w:spacing w:after="11" w:line="259" w:lineRule="auto"/>
        <w:ind w:left="0" w:firstLine="0"/>
        <w:jc w:val="left"/>
      </w:pPr>
      <w:r>
        <w:t xml:space="preserve"> </w:t>
      </w:r>
    </w:p>
    <w:p w14:paraId="5E752771" w14:textId="77777777" w:rsidR="00C5366B" w:rsidRDefault="00F11CDC">
      <w:pPr>
        <w:ind w:left="-5" w:right="250"/>
      </w:pPr>
      <w:r>
        <w:t xml:space="preserve">uzavírají níže uvedeného dne, měsíce a roku  </w:t>
      </w:r>
    </w:p>
    <w:p w14:paraId="4F770892" w14:textId="6F8E00A2" w:rsidR="00C5366B" w:rsidRDefault="002F47B2">
      <w:pPr>
        <w:spacing w:after="18" w:line="252" w:lineRule="auto"/>
        <w:ind w:left="2208" w:right="2473" w:hanging="2223"/>
        <w:jc w:val="left"/>
      </w:pPr>
      <w:r>
        <w:rPr>
          <w:b/>
        </w:rPr>
        <w:t>tuto</w:t>
      </w:r>
      <w:r w:rsidR="00F11CDC">
        <w:rPr>
          <w:b/>
        </w:rPr>
        <w:t xml:space="preserve"> smlouvu na poskytnutí licencí Veeam </w:t>
      </w:r>
    </w:p>
    <w:p w14:paraId="24909FCF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5B4F88B6" w14:textId="77777777" w:rsidR="00C5366B" w:rsidRDefault="00F11CDC">
      <w:pPr>
        <w:spacing w:after="12" w:line="259" w:lineRule="auto"/>
        <w:ind w:left="0" w:firstLine="0"/>
        <w:jc w:val="left"/>
      </w:pPr>
      <w:r>
        <w:t xml:space="preserve"> </w:t>
      </w:r>
    </w:p>
    <w:p w14:paraId="153C9705" w14:textId="77777777" w:rsidR="00C5366B" w:rsidRDefault="00F11CDC">
      <w:pPr>
        <w:spacing w:after="16" w:line="259" w:lineRule="auto"/>
        <w:ind w:right="267"/>
        <w:jc w:val="center"/>
      </w:pPr>
      <w:r>
        <w:rPr>
          <w:b/>
        </w:rPr>
        <w:t xml:space="preserve">Článek I. </w:t>
      </w:r>
    </w:p>
    <w:p w14:paraId="00CF5144" w14:textId="077E5EE9" w:rsidR="00C5366B" w:rsidRDefault="00F11CDC" w:rsidP="00EC64F2">
      <w:pPr>
        <w:pStyle w:val="Nadpis1"/>
      </w:pPr>
      <w:r>
        <w:t>Předmět smlouvy</w:t>
      </w:r>
      <w:r>
        <w:rPr>
          <w:u w:val="none"/>
        </w:rPr>
        <w:t xml:space="preserve"> </w:t>
      </w:r>
    </w:p>
    <w:p w14:paraId="2C6D4425" w14:textId="160BC300" w:rsidR="00C5366B" w:rsidRDefault="00F11CDC" w:rsidP="00EC64F2">
      <w:pPr>
        <w:numPr>
          <w:ilvl w:val="0"/>
          <w:numId w:val="1"/>
        </w:numPr>
        <w:spacing w:before="240"/>
        <w:ind w:right="250" w:hanging="567"/>
      </w:pPr>
      <w:r>
        <w:t xml:space="preserve">Předmětem této smlouvy je zřízení přístupu k licencím Veeam v rámci licenčního programu Veeam Cloud Service provider na období </w:t>
      </w:r>
      <w:r w:rsidR="00B50B88">
        <w:t xml:space="preserve">od </w:t>
      </w:r>
      <w:r>
        <w:t>01.01.2025 do 30.06.202</w:t>
      </w:r>
      <w:r w:rsidR="00C837C9">
        <w:t>6</w:t>
      </w:r>
      <w:r>
        <w:t xml:space="preserve">. </w:t>
      </w:r>
    </w:p>
    <w:p w14:paraId="76DBF9E2" w14:textId="5C448CDF" w:rsidR="00C5366B" w:rsidRDefault="00F11CDC" w:rsidP="00EC64F2">
      <w:pPr>
        <w:numPr>
          <w:ilvl w:val="0"/>
          <w:numId w:val="1"/>
        </w:numPr>
        <w:spacing w:before="240"/>
        <w:ind w:right="250" w:hanging="567"/>
      </w:pPr>
      <w:r>
        <w:t>Dohodnutý rozsah je poskytnutí 60 licencí Veeam Backup &amp; Replication Enterprise pro VM, každá v hodnotě 9 bodů.</w:t>
      </w:r>
      <w:r w:rsidR="00C837C9">
        <w:t xml:space="preserve"> Tento rozsah může být měněn </w:t>
      </w:r>
      <w:r w:rsidR="007F55E1">
        <w:t xml:space="preserve">podle potřeb Objednatele požadavky </w:t>
      </w:r>
      <w:r w:rsidR="00FF61F2">
        <w:t xml:space="preserve">dle čl. II odst. </w:t>
      </w:r>
      <w:r w:rsidR="002236DE">
        <w:t>8</w:t>
      </w:r>
      <w:r w:rsidR="00FF61F2">
        <w:t xml:space="preserve"> této smlouvy</w:t>
      </w:r>
      <w:r w:rsidR="00B50B88">
        <w:t>.</w:t>
      </w:r>
      <w:r w:rsidR="00FF61F2">
        <w:t xml:space="preserve"> </w:t>
      </w:r>
      <w:r>
        <w:t xml:space="preserve"> </w:t>
      </w:r>
    </w:p>
    <w:p w14:paraId="700E5284" w14:textId="70069D91" w:rsidR="00C5366B" w:rsidRDefault="00F11CDC" w:rsidP="00EC64F2">
      <w:pPr>
        <w:numPr>
          <w:ilvl w:val="0"/>
          <w:numId w:val="1"/>
        </w:numPr>
        <w:spacing w:before="240"/>
        <w:ind w:right="250" w:hanging="567"/>
      </w:pPr>
      <w:r>
        <w:t xml:space="preserve">Dodavatel se zavazuje poskytnout licence v souladu s touto smlouvou a v souladu s příslušnými právními předpisy a </w:t>
      </w:r>
      <w:r w:rsidR="00B50B88">
        <w:t xml:space="preserve">podmínkami </w:t>
      </w:r>
      <w:r>
        <w:t>společnosti Veeam</w:t>
      </w:r>
      <w:r w:rsidR="00B50B88">
        <w:t xml:space="preserve">, které jsou dostupné </w:t>
      </w:r>
      <w:r w:rsidR="007326DD">
        <w:t xml:space="preserve">na stránkách </w:t>
      </w:r>
      <w:r w:rsidR="002F3446">
        <w:t>www.veeam.com.</w:t>
      </w:r>
    </w:p>
    <w:p w14:paraId="70807A7A" w14:textId="45366024" w:rsidR="00C5366B" w:rsidRDefault="00F11CDC" w:rsidP="00EC64F2">
      <w:pPr>
        <w:numPr>
          <w:ilvl w:val="0"/>
          <w:numId w:val="1"/>
        </w:numPr>
        <w:spacing w:before="240"/>
        <w:ind w:right="250" w:hanging="567"/>
      </w:pPr>
      <w:r>
        <w:t xml:space="preserve">Dodavatel se dále zavazuje </w:t>
      </w:r>
      <w:r w:rsidR="002F3446">
        <w:t xml:space="preserve">předat </w:t>
      </w:r>
      <w:r>
        <w:t>Objednateli</w:t>
      </w:r>
      <w:r w:rsidR="002F3446">
        <w:t xml:space="preserve"> licenční klíč, který zpřístupní objednané</w:t>
      </w:r>
      <w:r>
        <w:t xml:space="preserve"> licence</w:t>
      </w:r>
      <w:r w:rsidR="002F3446">
        <w:t>.</w:t>
      </w:r>
      <w:r>
        <w:t xml:space="preserve"> </w:t>
      </w:r>
    </w:p>
    <w:p w14:paraId="1A9B352D" w14:textId="648EED1A" w:rsidR="00C5366B" w:rsidRDefault="00F11CDC" w:rsidP="00EC64F2">
      <w:pPr>
        <w:numPr>
          <w:ilvl w:val="0"/>
          <w:numId w:val="1"/>
        </w:numPr>
        <w:spacing w:before="240"/>
        <w:ind w:right="250" w:hanging="567"/>
      </w:pPr>
      <w:r>
        <w:t xml:space="preserve">Objednatel se zavazuje měsíčně platit </w:t>
      </w:r>
      <w:r w:rsidR="00B63ECC">
        <w:t xml:space="preserve">odměnu </w:t>
      </w:r>
      <w:r>
        <w:t xml:space="preserve">stanovenou v Článku II po dobu </w:t>
      </w:r>
      <w:r w:rsidR="00727DBB">
        <w:t xml:space="preserve">poskytování </w:t>
      </w:r>
      <w:r>
        <w:t>licencí na základě skutečné měsíční spotřeby</w:t>
      </w:r>
      <w:r w:rsidR="00727DBB">
        <w:t xml:space="preserve"> Objednatele monitorované v souladu s</w:t>
      </w:r>
      <w:r w:rsidR="009F3C6A">
        <w:t> čl. III odst. 1 níže</w:t>
      </w:r>
      <w:r w:rsidR="00F14DA2">
        <w:t xml:space="preserve"> a ceny uvedené v Příloze č. 1 této smlouvy</w:t>
      </w:r>
      <w:r w:rsidR="009F3C6A">
        <w:t>.</w:t>
      </w:r>
      <w:r>
        <w:t xml:space="preserve"> </w:t>
      </w:r>
    </w:p>
    <w:p w14:paraId="37247B0D" w14:textId="77777777" w:rsidR="00011E6A" w:rsidRDefault="00011E6A" w:rsidP="00011E6A">
      <w:pPr>
        <w:spacing w:before="240"/>
        <w:ind w:right="250"/>
      </w:pPr>
    </w:p>
    <w:p w14:paraId="204C9FDA" w14:textId="77777777" w:rsidR="00011E6A" w:rsidRDefault="00011E6A" w:rsidP="00011E6A">
      <w:pPr>
        <w:spacing w:before="240"/>
        <w:ind w:right="250"/>
      </w:pPr>
    </w:p>
    <w:p w14:paraId="50AAA310" w14:textId="159F4967" w:rsidR="00BD421F" w:rsidRDefault="00F11CDC" w:rsidP="00EC64F2">
      <w:pPr>
        <w:spacing w:before="240" w:after="0" w:line="259" w:lineRule="auto"/>
        <w:ind w:right="267"/>
        <w:jc w:val="center"/>
      </w:pPr>
      <w:r>
        <w:rPr>
          <w:b/>
        </w:rPr>
        <w:lastRenderedPageBreak/>
        <w:t xml:space="preserve">Článek II. </w:t>
      </w:r>
    </w:p>
    <w:p w14:paraId="0599348C" w14:textId="21F3546E" w:rsidR="00C5366B" w:rsidRDefault="00B63ECC" w:rsidP="00EC64F2">
      <w:pPr>
        <w:spacing w:after="0" w:line="259" w:lineRule="auto"/>
        <w:ind w:right="267"/>
        <w:jc w:val="center"/>
      </w:pPr>
      <w:r w:rsidRPr="00ED6276">
        <w:rPr>
          <w:b/>
          <w:u w:val="single" w:color="000000"/>
        </w:rPr>
        <w:t>Odměna</w:t>
      </w:r>
      <w:r w:rsidRPr="00BD421F">
        <w:rPr>
          <w:b/>
          <w:u w:val="single" w:color="000000"/>
        </w:rPr>
        <w:t xml:space="preserve"> </w:t>
      </w:r>
      <w:r w:rsidR="00F11CDC" w:rsidRPr="00BD421F">
        <w:rPr>
          <w:b/>
          <w:u w:val="single" w:color="000000"/>
        </w:rPr>
        <w:t>a platební podmínky</w:t>
      </w:r>
      <w:r w:rsidR="00F11CDC">
        <w:t xml:space="preserve"> </w:t>
      </w:r>
    </w:p>
    <w:p w14:paraId="44B20993" w14:textId="17D9A900" w:rsidR="00C5366B" w:rsidRDefault="00F11CDC" w:rsidP="00EC64F2">
      <w:pPr>
        <w:numPr>
          <w:ilvl w:val="0"/>
          <w:numId w:val="2"/>
        </w:numPr>
        <w:spacing w:before="240" w:after="240"/>
        <w:ind w:right="250" w:hanging="567"/>
      </w:pPr>
      <w:r>
        <w:t xml:space="preserve">V Příloze </w:t>
      </w:r>
      <w:r w:rsidR="00F14DA2">
        <w:t xml:space="preserve">č. </w:t>
      </w:r>
      <w:r>
        <w:t>1</w:t>
      </w:r>
      <w:r w:rsidR="00FD2E85">
        <w:t xml:space="preserve"> této</w:t>
      </w:r>
      <w:r>
        <w:t xml:space="preserve"> smlouvy je</w:t>
      </w:r>
      <w:r w:rsidR="00CA4250">
        <w:t xml:space="preserve"> uveden</w:t>
      </w:r>
      <w:r>
        <w:t xml:space="preserve"> ceník</w:t>
      </w:r>
      <w:r w:rsidR="00CA4250">
        <w:t xml:space="preserve"> obsahující mimo jiné </w:t>
      </w:r>
      <w:r>
        <w:t>bodovou hodnotou licencí</w:t>
      </w:r>
      <w:r w:rsidR="00FD2E85">
        <w:t>, k</w:t>
      </w:r>
      <w:r w:rsidR="00CA4250">
        <w:t xml:space="preserve">teré je </w:t>
      </w:r>
      <w:r w:rsidR="005B01FC">
        <w:t>Dodavatel oprávněn na základě této smlouvy poskytovat</w:t>
      </w:r>
      <w:r>
        <w:t xml:space="preserve">. Každý bod </w:t>
      </w:r>
      <w:r w:rsidR="005B01FC">
        <w:t>má hodnotu</w:t>
      </w:r>
      <w:r>
        <w:t xml:space="preserve"> </w:t>
      </w:r>
      <w:r w:rsidR="000E4A17">
        <w:t>XX</w:t>
      </w:r>
      <w:r w:rsidR="001E4242">
        <w:t> </w:t>
      </w:r>
      <w:r>
        <w:t xml:space="preserve">Kč bez DPH. </w:t>
      </w:r>
    </w:p>
    <w:p w14:paraId="1F651D75" w14:textId="2E95C5E5" w:rsidR="00B7124D" w:rsidRDefault="00F01F1E" w:rsidP="00EC64F2">
      <w:pPr>
        <w:numPr>
          <w:ilvl w:val="0"/>
          <w:numId w:val="2"/>
        </w:numPr>
        <w:spacing w:before="240" w:after="240"/>
        <w:ind w:right="250" w:hanging="567"/>
      </w:pPr>
      <w:r>
        <w:t>V souladu s Přílohou č. 1 činí c</w:t>
      </w:r>
      <w:r w:rsidR="00F11CDC">
        <w:t xml:space="preserve">ena </w:t>
      </w:r>
      <w:r w:rsidR="002A0032">
        <w:t>jedné</w:t>
      </w:r>
      <w:r w:rsidR="00F11CDC">
        <w:t xml:space="preserve"> licence Veeam Backup &amp; Replication Enterprise pro VM</w:t>
      </w:r>
      <w:r>
        <w:t xml:space="preserve"> </w:t>
      </w:r>
      <w:r w:rsidR="008309F3">
        <w:t>XXX</w:t>
      </w:r>
      <w:r w:rsidR="00F11CDC">
        <w:t xml:space="preserve"> Kč bez DPH</w:t>
      </w:r>
      <w:r w:rsidR="00FD2E85">
        <w:t xml:space="preserve"> (tj. </w:t>
      </w:r>
      <w:r w:rsidR="00A3757A">
        <w:t xml:space="preserve">9 bodů x </w:t>
      </w:r>
      <w:r w:rsidR="00F366E2">
        <w:t>XX</w:t>
      </w:r>
      <w:r w:rsidR="00A3757A">
        <w:t xml:space="preserve"> Kč).</w:t>
      </w:r>
    </w:p>
    <w:p w14:paraId="0FD61B51" w14:textId="77777777" w:rsidR="00B7124D" w:rsidRDefault="00B7124D" w:rsidP="00EC64F2">
      <w:pPr>
        <w:numPr>
          <w:ilvl w:val="0"/>
          <w:numId w:val="2"/>
        </w:numPr>
        <w:spacing w:after="0"/>
        <w:ind w:right="250" w:hanging="567"/>
      </w:pPr>
      <w:r>
        <w:t xml:space="preserve">K ceně bude připočtena DPH ve výši stanovené právními předpisy. V ceně jsou zahrnuty </w:t>
      </w:r>
    </w:p>
    <w:p w14:paraId="3D19F8BD" w14:textId="5152D612" w:rsidR="00C5366B" w:rsidRDefault="00B7124D" w:rsidP="00EC64F2">
      <w:pPr>
        <w:spacing w:after="0"/>
        <w:ind w:left="577" w:right="250"/>
      </w:pPr>
      <w:r>
        <w:t>veškeré náklady Dodavatele spojené s poskytnutím licenc</w:t>
      </w:r>
      <w:r w:rsidR="001E4242">
        <w:t>e</w:t>
      </w:r>
      <w:r>
        <w:t xml:space="preserve">. </w:t>
      </w:r>
    </w:p>
    <w:p w14:paraId="30C77266" w14:textId="53EA68CB" w:rsidR="0028734D" w:rsidRDefault="00F445CB" w:rsidP="00686690">
      <w:pPr>
        <w:numPr>
          <w:ilvl w:val="0"/>
          <w:numId w:val="2"/>
        </w:numPr>
        <w:spacing w:before="240" w:after="240"/>
        <w:ind w:right="250" w:hanging="567"/>
      </w:pPr>
      <w:r>
        <w:t xml:space="preserve">Smluvní strany se dohodly, že měsíční odměna za poskytování licencí bude hrazena zpětně </w:t>
      </w:r>
      <w:r w:rsidR="003824A6">
        <w:t xml:space="preserve">podle skutečné měsíční spotřeby </w:t>
      </w:r>
      <w:r w:rsidR="00B97660">
        <w:t xml:space="preserve">licencí </w:t>
      </w:r>
      <w:r w:rsidR="003824A6">
        <w:t>monitorované v souladu s čl. III odst. 1 níže</w:t>
      </w:r>
      <w:r w:rsidR="00CA4250">
        <w:t xml:space="preserve">. </w:t>
      </w:r>
    </w:p>
    <w:p w14:paraId="7FF15072" w14:textId="21E9E7F8" w:rsidR="001F3284" w:rsidRPr="00FC1885" w:rsidRDefault="00207672" w:rsidP="00EC64F2">
      <w:pPr>
        <w:numPr>
          <w:ilvl w:val="0"/>
          <w:numId w:val="2"/>
        </w:numPr>
        <w:spacing w:before="240" w:after="240"/>
        <w:ind w:right="250" w:hanging="567"/>
      </w:pPr>
      <w:r>
        <w:t>Měsíční odměna bude uhrazena na základě faktury obsahující všechny zákonné náležitosti, kte</w:t>
      </w:r>
      <w:r w:rsidR="003F309E">
        <w:t xml:space="preserve">rá bude Dodavatelem vystavena po skončení kalendářního měsíce, za který se odměna hradí. </w:t>
      </w:r>
      <w:r w:rsidR="00331408">
        <w:t xml:space="preserve">Vystavená faktura bude splatná do 30 dnů ode dne jejího doručení Objednateli. Zaplacením </w:t>
      </w:r>
      <w:r w:rsidR="00FC1885">
        <w:t>odměny se rozumí den jejího odeslání na účet Dodavatele.</w:t>
      </w:r>
    </w:p>
    <w:p w14:paraId="7141CEDC" w14:textId="090D26CC" w:rsidR="005B18F2" w:rsidRDefault="001F3284" w:rsidP="001F3284">
      <w:pPr>
        <w:numPr>
          <w:ilvl w:val="0"/>
          <w:numId w:val="2"/>
        </w:numPr>
        <w:spacing w:before="240" w:after="240"/>
        <w:ind w:right="250" w:hanging="567"/>
      </w:pPr>
      <w:r>
        <w:t xml:space="preserve">Fakturační údaje Objednatele jsou uvedeny v záhlaví této smlouvy. Fakturu zašle </w:t>
      </w:r>
      <w:r w:rsidR="0067622A">
        <w:t>Dodavatel</w:t>
      </w:r>
      <w:r>
        <w:t xml:space="preserve"> Objednateli elektronicky na adresu: </w:t>
      </w:r>
      <w:r w:rsidR="00E860E3">
        <w:t>XXXXXXXXXXXXXX</w:t>
      </w:r>
      <w:hyperlink r:id="rId5" w:history="1"/>
      <w:r w:rsidR="008120D5">
        <w:t>.</w:t>
      </w:r>
    </w:p>
    <w:p w14:paraId="4027960E" w14:textId="109C6D73" w:rsidR="00C5366B" w:rsidRDefault="008120D5" w:rsidP="00EC64F2">
      <w:pPr>
        <w:numPr>
          <w:ilvl w:val="0"/>
          <w:numId w:val="2"/>
        </w:numPr>
        <w:spacing w:before="240" w:after="240"/>
        <w:ind w:right="250" w:hanging="567"/>
      </w:pPr>
      <w:r>
        <w:t xml:space="preserve">Smluvní strany se dohodly, že </w:t>
      </w:r>
      <w:r w:rsidR="00EC4F50">
        <w:t xml:space="preserve">výše </w:t>
      </w:r>
      <w:r>
        <w:t>m</w:t>
      </w:r>
      <w:r w:rsidR="00F11CDC">
        <w:t xml:space="preserve">inimální měsíční </w:t>
      </w:r>
      <w:r w:rsidR="00EC4F50">
        <w:t xml:space="preserve">odměny </w:t>
      </w:r>
      <w:r w:rsidR="00F11CDC">
        <w:t xml:space="preserve">je </w:t>
      </w:r>
      <w:r w:rsidR="008309F3">
        <w:t>XXXX</w:t>
      </w:r>
      <w:r w:rsidR="00F11CDC">
        <w:t xml:space="preserve"> Kč bez DPH</w:t>
      </w:r>
      <w:r>
        <w:t>, a to</w:t>
      </w:r>
      <w:r w:rsidR="00F11CDC">
        <w:t xml:space="preserve"> bez ohledu na skutečné čerpání licencí. </w:t>
      </w:r>
    </w:p>
    <w:p w14:paraId="4E88E604" w14:textId="77777777" w:rsidR="00C5366B" w:rsidRDefault="00F11CDC" w:rsidP="00EC64F2">
      <w:pPr>
        <w:numPr>
          <w:ilvl w:val="0"/>
          <w:numId w:val="2"/>
        </w:numPr>
        <w:spacing w:before="240" w:after="0"/>
        <w:ind w:right="250" w:hanging="567"/>
      </w:pPr>
      <w:r>
        <w:t xml:space="preserve">Objednání nových licencí a deaktivaci stávajících licencí mohou za Objednatele učinit: </w:t>
      </w:r>
    </w:p>
    <w:p w14:paraId="74ED1046" w14:textId="48929EDF" w:rsidR="00C5366B" w:rsidRDefault="003A0D58" w:rsidP="00EC64F2">
      <w:pPr>
        <w:spacing w:after="0"/>
        <w:ind w:left="577" w:right="250"/>
      </w:pPr>
      <w:r>
        <w:t>XXXXXXXXXXX</w:t>
      </w:r>
      <w:r w:rsidR="00F11CDC">
        <w:t xml:space="preserve"> – e-mail</w:t>
      </w:r>
      <w:r w:rsidR="000F1C87">
        <w:t>:</w:t>
      </w:r>
      <w:r w:rsidR="00F11CDC">
        <w:t xml:space="preserve"> </w:t>
      </w:r>
      <w:r>
        <w:t>XXXXXXXXXXXXXXXXX</w:t>
      </w:r>
      <w:r w:rsidR="00F11CDC">
        <w:t xml:space="preserve"> </w:t>
      </w:r>
    </w:p>
    <w:p w14:paraId="32D6AA0B" w14:textId="0A7B6115" w:rsidR="00C5366B" w:rsidRDefault="003A0D58" w:rsidP="00EC64F2">
      <w:pPr>
        <w:spacing w:after="240"/>
        <w:ind w:left="577" w:right="250"/>
      </w:pPr>
      <w:r>
        <w:t>XXXXXXXXXXXX</w:t>
      </w:r>
      <w:r w:rsidR="00F11CDC">
        <w:t xml:space="preserve"> – e-mail</w:t>
      </w:r>
      <w:r w:rsidR="000F1C87">
        <w:t>:</w:t>
      </w:r>
      <w:r w:rsidR="00F11CDC">
        <w:t xml:space="preserve"> </w:t>
      </w:r>
      <w:r>
        <w:t>XXXXXXXXXXXXXXXXXX</w:t>
      </w:r>
      <w:r w:rsidR="00F11CDC">
        <w:t xml:space="preserve"> </w:t>
      </w:r>
    </w:p>
    <w:p w14:paraId="588D6E98" w14:textId="742FD28B" w:rsidR="00C5366B" w:rsidRDefault="00F11CDC" w:rsidP="00EC64F2">
      <w:pPr>
        <w:numPr>
          <w:ilvl w:val="0"/>
          <w:numId w:val="2"/>
        </w:numPr>
        <w:spacing w:before="240" w:after="240"/>
        <w:ind w:right="250" w:hanging="567"/>
      </w:pPr>
      <w:r>
        <w:t xml:space="preserve">Objednání nových licencí a deaktivaci stávajících licencí provede oprávněná osoba Objednatele zasláním e-mailu na adresu </w:t>
      </w:r>
      <w:r w:rsidR="002B25FB">
        <w:t>XXXXXXXXXXXXXX</w:t>
      </w:r>
      <w:hyperlink r:id="rId6" w:history="1"/>
      <w:r w:rsidR="00E23A8C">
        <w:t xml:space="preserve">. </w:t>
      </w:r>
      <w:r w:rsidR="00043129">
        <w:t>K</w:t>
      </w:r>
      <w:r w:rsidR="00DB15E6">
        <w:t xml:space="preserve">e </w:t>
      </w:r>
      <w:r w:rsidR="00D53912">
        <w:t>změně dojde</w:t>
      </w:r>
      <w:r w:rsidR="00CB7E10">
        <w:t xml:space="preserve"> okamžikem doručení e-mailového potvrzení ze strany Dodavatele</w:t>
      </w:r>
      <w:r w:rsidR="005D5375">
        <w:t>. Nepotvrdí-li Dodavatel e-mailem</w:t>
      </w:r>
      <w:r>
        <w:t xml:space="preserve"> </w:t>
      </w:r>
      <w:r w:rsidR="00E812F9">
        <w:t xml:space="preserve">změnu </w:t>
      </w:r>
      <w:r w:rsidR="00A329C7">
        <w:t xml:space="preserve">nejpozději do </w:t>
      </w:r>
      <w:r w:rsidR="00933C58">
        <w:t>čtrnácti</w:t>
      </w:r>
      <w:r w:rsidR="00BB28CC">
        <w:t xml:space="preserve"> dnů</w:t>
      </w:r>
      <w:r w:rsidR="00520F5D">
        <w:t xml:space="preserve"> od </w:t>
      </w:r>
      <w:r w:rsidR="00F53CC2">
        <w:t xml:space="preserve">doručení požadavku </w:t>
      </w:r>
      <w:r w:rsidR="00062160">
        <w:t xml:space="preserve">Objednatele, platí, že </w:t>
      </w:r>
      <w:r w:rsidR="00BB28CC">
        <w:t xml:space="preserve">byly nové licence </w:t>
      </w:r>
      <w:r w:rsidR="001F085F">
        <w:t xml:space="preserve">objednány, případně stávající deaktivovány, </w:t>
      </w:r>
      <w:r w:rsidR="00D133B1">
        <w:t xml:space="preserve">patnáctého dne po doručení požadavku </w:t>
      </w:r>
      <w:r w:rsidR="00532C3E">
        <w:t xml:space="preserve">Objednatele </w:t>
      </w:r>
      <w:r w:rsidR="00D133B1">
        <w:t>na změnu.</w:t>
      </w:r>
    </w:p>
    <w:p w14:paraId="44D89B67" w14:textId="77777777" w:rsidR="00C5366B" w:rsidRDefault="00F11CDC" w:rsidP="00EC64F2">
      <w:pPr>
        <w:spacing w:before="240" w:after="16" w:line="259" w:lineRule="auto"/>
        <w:ind w:right="267"/>
        <w:jc w:val="center"/>
      </w:pPr>
      <w:r>
        <w:rPr>
          <w:b/>
        </w:rPr>
        <w:t xml:space="preserve">Článek III </w:t>
      </w:r>
    </w:p>
    <w:p w14:paraId="468E384F" w14:textId="3FAF9667" w:rsidR="00C5366B" w:rsidRDefault="00F11CDC" w:rsidP="00EC64F2">
      <w:pPr>
        <w:pStyle w:val="Nadpis1"/>
      </w:pPr>
      <w:r>
        <w:t xml:space="preserve">Povinnosti </w:t>
      </w:r>
      <w:r w:rsidR="0086481B">
        <w:t>D</w:t>
      </w:r>
      <w:r>
        <w:t xml:space="preserve">odavatele a </w:t>
      </w:r>
      <w:r w:rsidR="0086481B">
        <w:t>O</w:t>
      </w:r>
      <w:r>
        <w:t>bjednatele</w:t>
      </w:r>
      <w:r>
        <w:rPr>
          <w:u w:val="none"/>
        </w:rPr>
        <w:t xml:space="preserve"> </w:t>
      </w:r>
    </w:p>
    <w:p w14:paraId="4BBF7658" w14:textId="2AF0A9BE" w:rsidR="00C5366B" w:rsidRDefault="00F11CDC" w:rsidP="00EC64F2">
      <w:pPr>
        <w:numPr>
          <w:ilvl w:val="0"/>
          <w:numId w:val="3"/>
        </w:numPr>
        <w:spacing w:before="240"/>
        <w:ind w:right="250" w:hanging="567"/>
      </w:pPr>
      <w:r>
        <w:t xml:space="preserve">Objednatel nejdéle do 31.12.2024 zajistí instalaci licenčního agenta, který bude průběžně odesílat informace o spotřebovaných licencích. Objednatel je povinen udržovat agenta v chodu a hlásit, pokud má agent jakýkoliv technický problém. Údržba agenta se provádí ve spolupráci s Dodavatelem. Agent bude konfigurován tak, aby neumožňoval ovládání licencované infrastruktury </w:t>
      </w:r>
      <w:r w:rsidR="00AF358A">
        <w:t>D</w:t>
      </w:r>
      <w:r>
        <w:t xml:space="preserve">odavatelem (monitorovací režim). </w:t>
      </w:r>
    </w:p>
    <w:p w14:paraId="313481AC" w14:textId="2216E0ED" w:rsidR="00C5366B" w:rsidRDefault="00F11CDC" w:rsidP="00EC64F2">
      <w:pPr>
        <w:numPr>
          <w:ilvl w:val="0"/>
          <w:numId w:val="3"/>
        </w:numPr>
        <w:spacing w:before="240"/>
        <w:ind w:right="250" w:hanging="567"/>
      </w:pPr>
      <w:r>
        <w:t xml:space="preserve">Dodavatel je povinen postupovat při plnění závazků podle této smlouvy s odbornou péčí a dodržovat podmínky této smlouvy, jakož i obecně závazné právní předpisy. </w:t>
      </w:r>
    </w:p>
    <w:p w14:paraId="25425293" w14:textId="2CADEAFF" w:rsidR="00C5366B" w:rsidRDefault="00F11CDC" w:rsidP="00EC64F2">
      <w:pPr>
        <w:numPr>
          <w:ilvl w:val="0"/>
          <w:numId w:val="3"/>
        </w:numPr>
        <w:spacing w:before="240"/>
        <w:ind w:right="250" w:hanging="567"/>
      </w:pPr>
      <w:r>
        <w:t xml:space="preserve">Objednatel se zavazuje poskytnout po dobu poskytování licencí nezbytnou součinnost a zaplatit Dodavateli dohodnutou </w:t>
      </w:r>
      <w:r w:rsidR="00AF358A">
        <w:t xml:space="preserve">odměnu </w:t>
      </w:r>
      <w:r>
        <w:t xml:space="preserve">dle této smlouvy.  </w:t>
      </w:r>
    </w:p>
    <w:p w14:paraId="7C66A757" w14:textId="77777777" w:rsidR="00C5366B" w:rsidRDefault="00F11CDC" w:rsidP="00EC64F2">
      <w:pPr>
        <w:spacing w:before="240" w:after="16" w:line="259" w:lineRule="auto"/>
        <w:ind w:right="265"/>
        <w:jc w:val="center"/>
      </w:pPr>
      <w:r>
        <w:rPr>
          <w:b/>
        </w:rPr>
        <w:lastRenderedPageBreak/>
        <w:t xml:space="preserve">Článek IV. </w:t>
      </w:r>
    </w:p>
    <w:p w14:paraId="074C3FCB" w14:textId="4F7B2ECC" w:rsidR="00E0569D" w:rsidRDefault="00F11CDC" w:rsidP="00EC64F2">
      <w:pPr>
        <w:pStyle w:val="Nadpis1"/>
        <w:ind w:right="269"/>
      </w:pPr>
      <w:r>
        <w:t>Ostatní ujednání</w:t>
      </w:r>
      <w:r>
        <w:rPr>
          <w:u w:val="none"/>
        </w:rPr>
        <w:t xml:space="preserve">  </w:t>
      </w:r>
    </w:p>
    <w:p w14:paraId="59AD22E8" w14:textId="11FDA03A" w:rsidR="00C5366B" w:rsidRDefault="00F11CDC" w:rsidP="00EC64F2">
      <w:pPr>
        <w:numPr>
          <w:ilvl w:val="0"/>
          <w:numId w:val="4"/>
        </w:numPr>
        <w:spacing w:before="240"/>
        <w:ind w:right="250" w:hanging="708"/>
      </w:pPr>
      <w:r>
        <w:t xml:space="preserve">Tato smlouva může být měněna pouze písemnými dodatky podepsanými oběma smluvními stranami. </w:t>
      </w:r>
    </w:p>
    <w:p w14:paraId="56E20A7E" w14:textId="521320F0" w:rsidR="00072137" w:rsidRDefault="00072137" w:rsidP="00072137">
      <w:pPr>
        <w:numPr>
          <w:ilvl w:val="0"/>
          <w:numId w:val="4"/>
        </w:numPr>
        <w:spacing w:before="240"/>
        <w:ind w:right="250" w:hanging="708"/>
      </w:pPr>
      <w:r>
        <w:t xml:space="preserve">Tato smlouva se </w:t>
      </w:r>
      <w:r w:rsidR="006251BC">
        <w:t xml:space="preserve">uzavírá na dobu určitou, a to do 30.06.2026. </w:t>
      </w:r>
      <w:r w:rsidR="001A4244">
        <w:t>S ohledem na to, že Objednatel je oprávněn navyšovat poža</w:t>
      </w:r>
      <w:r w:rsidR="00E84E1F">
        <w:t>davky na poskytování licencí</w:t>
      </w:r>
      <w:r w:rsidR="00E5687D">
        <w:t xml:space="preserve"> a tím i celkovou výši </w:t>
      </w:r>
      <w:r w:rsidR="00100BA6">
        <w:t>odměny</w:t>
      </w:r>
      <w:r w:rsidR="00E84E1F">
        <w:t xml:space="preserve">, dohodly se smluvní strany dále na tom, že </w:t>
      </w:r>
      <w:r w:rsidR="00E5687D">
        <w:t xml:space="preserve">platnost </w:t>
      </w:r>
      <w:r w:rsidR="00100BA6">
        <w:t xml:space="preserve">této smlouvy končí také v okamžiku, kdy celková hodnota </w:t>
      </w:r>
      <w:r w:rsidR="00FE18DD">
        <w:t>odměny Dodavatele</w:t>
      </w:r>
      <w:r w:rsidR="00100BA6">
        <w:t xml:space="preserve"> dosáhne částky </w:t>
      </w:r>
      <w:r w:rsidR="00B93665">
        <w:t>5</w:t>
      </w:r>
      <w:r w:rsidR="00C6445B">
        <w:t>00 000,- Kč</w:t>
      </w:r>
      <w:r w:rsidR="00100BA6">
        <w:t>.</w:t>
      </w:r>
    </w:p>
    <w:p w14:paraId="2926DEBC" w14:textId="353D7DE4" w:rsidR="006078F0" w:rsidRDefault="00136C00" w:rsidP="00E0569D">
      <w:pPr>
        <w:numPr>
          <w:ilvl w:val="0"/>
          <w:numId w:val="4"/>
        </w:numPr>
        <w:spacing w:before="240"/>
        <w:ind w:right="250" w:hanging="708"/>
      </w:pPr>
      <w:r>
        <w:t>Dodavatel</w:t>
      </w:r>
      <w:r w:rsidRPr="00136C00">
        <w:t xml:space="preserve"> je povinen zachovávat mlčenlivost o všech skutečnostech, o nichž se dozvěděl v souvislosti s poskytováním </w:t>
      </w:r>
      <w:r>
        <w:t>licencí</w:t>
      </w:r>
      <w:r w:rsidRPr="00136C00">
        <w:t xml:space="preserve">, ledaže by šlo o skutečnosti nepochybně obecně známé. Povinnosti mlčenlivosti může </w:t>
      </w:r>
      <w:r w:rsidR="00FE4D03">
        <w:t>Dodavatele</w:t>
      </w:r>
      <w:r w:rsidRPr="00136C00">
        <w:t xml:space="preserve"> zprostit pouze Objednatel svým písemným prohlášením adresovaným </w:t>
      </w:r>
      <w:r w:rsidR="00FE4D03">
        <w:t>Dodavateli</w:t>
      </w:r>
      <w:r w:rsidRPr="00136C00">
        <w:t xml:space="preserve">. Závazek </w:t>
      </w:r>
      <w:r w:rsidR="00FE4D03">
        <w:t>Dodavatele</w:t>
      </w:r>
      <w:r w:rsidRPr="00136C00">
        <w:t xml:space="preserve"> k zachování mlčenlivosti zůstává v platnosti i po zániku této smlouvy</w:t>
      </w:r>
      <w:r w:rsidR="005B4D17">
        <w:t>.</w:t>
      </w:r>
    </w:p>
    <w:p w14:paraId="12A943B9" w14:textId="60A00162" w:rsidR="005B4D17" w:rsidRDefault="00AD5EE4" w:rsidP="00E0569D">
      <w:pPr>
        <w:numPr>
          <w:ilvl w:val="0"/>
          <w:numId w:val="4"/>
        </w:numPr>
        <w:spacing w:before="240"/>
        <w:ind w:right="250" w:hanging="708"/>
      </w:pPr>
      <w:r>
        <w:t xml:space="preserve">Tato smlouva nabývá platnosti podpisem </w:t>
      </w:r>
      <w:r w:rsidR="00A151A6">
        <w:t xml:space="preserve">obou smluvních stran </w:t>
      </w:r>
      <w:r>
        <w:t xml:space="preserve">a účinnosti jejím zveřejněním </w:t>
      </w:r>
      <w:r w:rsidRPr="00AD5EE4">
        <w:t>dle zákona č.</w:t>
      </w:r>
      <w:r>
        <w:t> </w:t>
      </w:r>
      <w:r w:rsidRPr="00AD5EE4">
        <w:t>340/2015 Sb., o zvláštních podmínkách účinnosti některých smluv, uveřejňování těchto smluv a o registru smluv (zákon o registru smluv)</w:t>
      </w:r>
      <w:r w:rsidR="00A151A6">
        <w:t>.</w:t>
      </w:r>
      <w:r w:rsidRPr="00AD5EE4">
        <w:t xml:space="preserve"> </w:t>
      </w:r>
      <w:r w:rsidR="00A151A6">
        <w:t>S</w:t>
      </w:r>
      <w:r w:rsidRPr="00AD5EE4">
        <w:t xml:space="preserve">mluvní strany sjednávají, že uveřejnění provede Objednatel. Obě strany berou na vědomí, že nebudou uveřejněny pouze ty informace, které nelze poskytnout podle předpisů upravujících svobodný přístup k informacím. Považuje-li </w:t>
      </w:r>
      <w:r w:rsidR="007007AE">
        <w:t>Dodavatel</w:t>
      </w:r>
      <w:r w:rsidRPr="00AD5EE4">
        <w:t xml:space="preserve"> některé informace uvedené v této smlouvě za informace, které nemají být uveřejněny v registru smluv, je povinna na to Objednatele současně s uzavřením této smlouvy písemně upozornit. </w:t>
      </w:r>
      <w:r w:rsidR="007007AE">
        <w:t>Dodavatel</w:t>
      </w:r>
      <w:r w:rsidRPr="00AD5EE4">
        <w:t xml:space="preserve"> výslovně souhlasí s tím, že Objednatel v případě pochybností o tom, zda je dána povinnost uveřejnění této smlouvy v registru smluv, tuto smlouvu v zájmu transparentnosti a právní jistoty uveřejní</w:t>
      </w:r>
      <w:r w:rsidR="0018137A">
        <w:t>.</w:t>
      </w:r>
    </w:p>
    <w:p w14:paraId="6FA08D42" w14:textId="3195E17F" w:rsidR="0040059B" w:rsidRDefault="0040059B" w:rsidP="00E0569D">
      <w:pPr>
        <w:numPr>
          <w:ilvl w:val="0"/>
          <w:numId w:val="4"/>
        </w:numPr>
        <w:spacing w:before="240"/>
        <w:ind w:right="250" w:hanging="708"/>
      </w:pPr>
      <w:r>
        <w:t xml:space="preserve">Nedílnou součástí této smlouvy je její </w:t>
      </w:r>
      <w:r w:rsidR="002D3789">
        <w:t>Příloha č. 1 – Ceník.</w:t>
      </w:r>
    </w:p>
    <w:p w14:paraId="62210EAC" w14:textId="5A592680" w:rsidR="00C5366B" w:rsidRDefault="00F11CDC" w:rsidP="00EC64F2">
      <w:pPr>
        <w:numPr>
          <w:ilvl w:val="0"/>
          <w:numId w:val="4"/>
        </w:numPr>
        <w:spacing w:before="240"/>
        <w:ind w:right="250" w:hanging="708"/>
      </w:pPr>
      <w:r>
        <w:t xml:space="preserve">Tato smlouva je vypracována ve dvou vyhotoveních, z nichž každá strana obdrží jeden originál.  </w:t>
      </w:r>
    </w:p>
    <w:p w14:paraId="293CC802" w14:textId="77777777" w:rsidR="00C5366B" w:rsidRDefault="00F11CDC">
      <w:pPr>
        <w:spacing w:after="98" w:line="259" w:lineRule="auto"/>
        <w:ind w:left="708" w:firstLine="0"/>
        <w:jc w:val="left"/>
      </w:pPr>
      <w:r>
        <w:t xml:space="preserve"> </w:t>
      </w:r>
    </w:p>
    <w:p w14:paraId="1BD1C14E" w14:textId="77777777" w:rsidR="00C5366B" w:rsidRDefault="00F11CDC">
      <w:pPr>
        <w:spacing w:after="100" w:line="259" w:lineRule="auto"/>
        <w:ind w:left="0" w:firstLine="0"/>
        <w:jc w:val="left"/>
      </w:pPr>
      <w:r>
        <w:t xml:space="preserve"> </w:t>
      </w:r>
    </w:p>
    <w:p w14:paraId="58F1993D" w14:textId="77777777" w:rsidR="00C5366B" w:rsidRDefault="00F11CDC">
      <w:pPr>
        <w:spacing w:after="98" w:line="259" w:lineRule="auto"/>
        <w:ind w:left="0" w:firstLine="0"/>
        <w:jc w:val="left"/>
      </w:pPr>
      <w:r>
        <w:t xml:space="preserve"> </w:t>
      </w:r>
    </w:p>
    <w:p w14:paraId="47909313" w14:textId="5D1BCAE0" w:rsidR="00C5366B" w:rsidRDefault="002D378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243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ind w:left="-15" w:firstLine="0"/>
        <w:jc w:val="left"/>
      </w:pPr>
      <w:r>
        <w:t>V Praze d</w:t>
      </w:r>
      <w:r w:rsidR="00F11CDC">
        <w:t xml:space="preserve">ne 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>
        <w:tab/>
        <w:t>V Praze d</w:t>
      </w:r>
      <w:r w:rsidR="00F11CDC">
        <w:t xml:space="preserve">ne 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  <w:r w:rsidR="00F11CDC">
        <w:tab/>
        <w:t xml:space="preserve"> </w:t>
      </w:r>
    </w:p>
    <w:p w14:paraId="1067188C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5E2561C3" w14:textId="77777777" w:rsidR="00C5366B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p w14:paraId="30966A37" w14:textId="77777777" w:rsidR="000A7CD2" w:rsidRDefault="00F11CD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8"/>
      </w:tblGrid>
      <w:tr w:rsidR="000A7CD2" w14:paraId="1E9FC51F" w14:textId="77777777" w:rsidTr="00EC64F2">
        <w:tc>
          <w:tcPr>
            <w:tcW w:w="4948" w:type="dxa"/>
          </w:tcPr>
          <w:p w14:paraId="6615F1CD" w14:textId="7663C5F3" w:rsidR="000A7CD2" w:rsidRDefault="000A7CD2">
            <w:pPr>
              <w:spacing w:after="0" w:line="259" w:lineRule="auto"/>
              <w:ind w:left="0" w:firstLine="0"/>
              <w:jc w:val="left"/>
            </w:pPr>
            <w:r>
              <w:t>_______________________________</w:t>
            </w:r>
          </w:p>
        </w:tc>
        <w:tc>
          <w:tcPr>
            <w:tcW w:w="4948" w:type="dxa"/>
          </w:tcPr>
          <w:p w14:paraId="72EA3929" w14:textId="2C7A5341" w:rsidR="000A7CD2" w:rsidRDefault="000A7CD2">
            <w:pPr>
              <w:spacing w:after="0" w:line="259" w:lineRule="auto"/>
              <w:ind w:left="0" w:firstLine="0"/>
              <w:jc w:val="left"/>
            </w:pPr>
            <w:r>
              <w:t>__________________________________</w:t>
            </w:r>
          </w:p>
        </w:tc>
      </w:tr>
      <w:tr w:rsidR="000A7CD2" w14:paraId="1319B75B" w14:textId="77777777" w:rsidTr="00EC64F2">
        <w:tc>
          <w:tcPr>
            <w:tcW w:w="4948" w:type="dxa"/>
          </w:tcPr>
          <w:p w14:paraId="7259E70A" w14:textId="1D04074C" w:rsidR="000A7CD2" w:rsidRDefault="000A7CD2">
            <w:pPr>
              <w:spacing w:after="0" w:line="259" w:lineRule="auto"/>
              <w:ind w:left="0" w:firstLine="0"/>
              <w:jc w:val="left"/>
            </w:pPr>
            <w:r>
              <w:t>za Objednatele</w:t>
            </w:r>
          </w:p>
        </w:tc>
        <w:tc>
          <w:tcPr>
            <w:tcW w:w="4948" w:type="dxa"/>
          </w:tcPr>
          <w:p w14:paraId="7E014DFC" w14:textId="7232A8C8" w:rsidR="000A7CD2" w:rsidRDefault="004A2991">
            <w:pPr>
              <w:spacing w:after="0" w:line="259" w:lineRule="auto"/>
              <w:ind w:left="0" w:firstLine="0"/>
              <w:jc w:val="left"/>
            </w:pPr>
            <w:r>
              <w:t>z</w:t>
            </w:r>
            <w:r w:rsidR="009569F9">
              <w:t>a Dodavatele</w:t>
            </w:r>
          </w:p>
        </w:tc>
      </w:tr>
      <w:tr w:rsidR="000A7CD2" w14:paraId="6433C6A4" w14:textId="77777777" w:rsidTr="00EC64F2">
        <w:tc>
          <w:tcPr>
            <w:tcW w:w="4948" w:type="dxa"/>
          </w:tcPr>
          <w:p w14:paraId="5C9BECCF" w14:textId="4691CC8F" w:rsidR="000A7CD2" w:rsidRDefault="000A7CD2">
            <w:pPr>
              <w:spacing w:after="0" w:line="259" w:lineRule="auto"/>
              <w:ind w:left="0" w:firstLine="0"/>
              <w:jc w:val="left"/>
            </w:pPr>
            <w:r>
              <w:t>František Pazdera</w:t>
            </w:r>
          </w:p>
        </w:tc>
        <w:tc>
          <w:tcPr>
            <w:tcW w:w="4948" w:type="dxa"/>
          </w:tcPr>
          <w:p w14:paraId="64D8975D" w14:textId="44F27FAE" w:rsidR="000A7CD2" w:rsidRDefault="009569F9">
            <w:pPr>
              <w:spacing w:after="0" w:line="259" w:lineRule="auto"/>
              <w:ind w:left="0" w:firstLine="0"/>
              <w:jc w:val="left"/>
            </w:pPr>
            <w:r>
              <w:t>Ing. Ondřej Měchura, MBA</w:t>
            </w:r>
          </w:p>
        </w:tc>
      </w:tr>
      <w:tr w:rsidR="00D72A82" w14:paraId="08B4B329" w14:textId="77777777" w:rsidTr="00EC64F2">
        <w:tc>
          <w:tcPr>
            <w:tcW w:w="4948" w:type="dxa"/>
          </w:tcPr>
          <w:p w14:paraId="62FD1514" w14:textId="31BB43A7" w:rsidR="00D72A82" w:rsidRDefault="009569F9">
            <w:pPr>
              <w:spacing w:after="0" w:line="259" w:lineRule="auto"/>
              <w:ind w:left="0" w:firstLine="0"/>
              <w:jc w:val="left"/>
            </w:pPr>
            <w:r>
              <w:t>ř</w:t>
            </w:r>
            <w:r w:rsidR="00D72A82">
              <w:t>editel sekce provozu</w:t>
            </w:r>
          </w:p>
        </w:tc>
        <w:tc>
          <w:tcPr>
            <w:tcW w:w="4948" w:type="dxa"/>
          </w:tcPr>
          <w:p w14:paraId="221E8A84" w14:textId="38889861" w:rsidR="00D72A82" w:rsidRDefault="009569F9">
            <w:pPr>
              <w:spacing w:after="0" w:line="259" w:lineRule="auto"/>
              <w:ind w:left="0" w:firstLine="0"/>
              <w:jc w:val="left"/>
            </w:pPr>
            <w:r>
              <w:t>jednatel</w:t>
            </w:r>
          </w:p>
        </w:tc>
      </w:tr>
    </w:tbl>
    <w:p w14:paraId="5B246ACD" w14:textId="7DB1FF27" w:rsidR="00C5366B" w:rsidRDefault="00C5366B">
      <w:pPr>
        <w:spacing w:after="0" w:line="259" w:lineRule="auto"/>
        <w:ind w:left="0" w:firstLine="0"/>
        <w:jc w:val="left"/>
      </w:pPr>
    </w:p>
    <w:p w14:paraId="2D1E5BD7" w14:textId="0ED070A6" w:rsidR="002D3789" w:rsidRDefault="002D3789" w:rsidP="009569F9">
      <w:pPr>
        <w:ind w:left="-5" w:right="411"/>
      </w:pPr>
    </w:p>
    <w:sectPr w:rsidR="002D3789">
      <w:pgSz w:w="11906" w:h="16838"/>
      <w:pgMar w:top="1267" w:right="867" w:bottom="130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6607"/>
    <w:multiLevelType w:val="hybridMultilevel"/>
    <w:tmpl w:val="E65E6762"/>
    <w:lvl w:ilvl="0" w:tplc="AA703CA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8AD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A92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0290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E83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6B3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E91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A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65B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47249"/>
    <w:multiLevelType w:val="hybridMultilevel"/>
    <w:tmpl w:val="75FCBC1C"/>
    <w:lvl w:ilvl="0" w:tplc="0120868E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8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017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41E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001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EAF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26B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47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C2C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211C4"/>
    <w:multiLevelType w:val="hybridMultilevel"/>
    <w:tmpl w:val="75385C00"/>
    <w:lvl w:ilvl="0" w:tplc="ED30E24C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84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9C1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481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683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C65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0F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6E9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46E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CA3DC3"/>
    <w:multiLevelType w:val="hybridMultilevel"/>
    <w:tmpl w:val="343AE7BC"/>
    <w:lvl w:ilvl="0" w:tplc="CDD632B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6D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444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C6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EAA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A9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B1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01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260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bCs/>
        <w:color w:val="000000"/>
        <w:position w:val="0"/>
      </w:rPr>
    </w:lvl>
  </w:abstractNum>
  <w:num w:numId="1" w16cid:durableId="1313755431">
    <w:abstractNumId w:val="2"/>
  </w:num>
  <w:num w:numId="2" w16cid:durableId="883785419">
    <w:abstractNumId w:val="0"/>
  </w:num>
  <w:num w:numId="3" w16cid:durableId="141429128">
    <w:abstractNumId w:val="1"/>
  </w:num>
  <w:num w:numId="4" w16cid:durableId="938179260">
    <w:abstractNumId w:val="3"/>
  </w:num>
  <w:num w:numId="5" w16cid:durableId="1473332560">
    <w:abstractNumId w:val="4"/>
  </w:num>
  <w:num w:numId="6" w16cid:durableId="717633380">
    <w:abstractNumId w:val="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b/>
          <w:bCs/>
          <w:color w:val="000000"/>
          <w:position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Arial" w:eastAsia="Arial" w:hAnsi="Arial" w:cs="Arial"/>
          <w:b w:val="0"/>
          <w:bCs/>
          <w:color w:val="000000"/>
          <w:position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6B"/>
    <w:rsid w:val="00011E6A"/>
    <w:rsid w:val="00043129"/>
    <w:rsid w:val="00062160"/>
    <w:rsid w:val="00072137"/>
    <w:rsid w:val="000A7CD2"/>
    <w:rsid w:val="000E4A17"/>
    <w:rsid w:val="000F1C87"/>
    <w:rsid w:val="00100BA6"/>
    <w:rsid w:val="00136C00"/>
    <w:rsid w:val="0015417D"/>
    <w:rsid w:val="00154B10"/>
    <w:rsid w:val="0017074C"/>
    <w:rsid w:val="0018137A"/>
    <w:rsid w:val="00192F4C"/>
    <w:rsid w:val="001A4244"/>
    <w:rsid w:val="001E4242"/>
    <w:rsid w:val="001F085F"/>
    <w:rsid w:val="001F3284"/>
    <w:rsid w:val="00207672"/>
    <w:rsid w:val="002236DE"/>
    <w:rsid w:val="00224C1D"/>
    <w:rsid w:val="0024799A"/>
    <w:rsid w:val="0028734D"/>
    <w:rsid w:val="002A0032"/>
    <w:rsid w:val="002B25FB"/>
    <w:rsid w:val="002D3789"/>
    <w:rsid w:val="002F3446"/>
    <w:rsid w:val="002F47B2"/>
    <w:rsid w:val="00331408"/>
    <w:rsid w:val="003824A6"/>
    <w:rsid w:val="003A0D58"/>
    <w:rsid w:val="003D0FAA"/>
    <w:rsid w:val="003F309E"/>
    <w:rsid w:val="003F7853"/>
    <w:rsid w:val="0040059B"/>
    <w:rsid w:val="0041323C"/>
    <w:rsid w:val="004304DF"/>
    <w:rsid w:val="004A2991"/>
    <w:rsid w:val="004D731C"/>
    <w:rsid w:val="00515069"/>
    <w:rsid w:val="00520F5D"/>
    <w:rsid w:val="00532C3E"/>
    <w:rsid w:val="005B01FC"/>
    <w:rsid w:val="005B18F2"/>
    <w:rsid w:val="005B4D17"/>
    <w:rsid w:val="005D5375"/>
    <w:rsid w:val="006078F0"/>
    <w:rsid w:val="006251BC"/>
    <w:rsid w:val="00632A8F"/>
    <w:rsid w:val="0067622A"/>
    <w:rsid w:val="00686690"/>
    <w:rsid w:val="007007AE"/>
    <w:rsid w:val="00727DBB"/>
    <w:rsid w:val="007326DD"/>
    <w:rsid w:val="007F55E1"/>
    <w:rsid w:val="0081113E"/>
    <w:rsid w:val="008120D5"/>
    <w:rsid w:val="008309F3"/>
    <w:rsid w:val="0086481B"/>
    <w:rsid w:val="008A72D6"/>
    <w:rsid w:val="008B4FB5"/>
    <w:rsid w:val="008D01F0"/>
    <w:rsid w:val="00933C58"/>
    <w:rsid w:val="009569F9"/>
    <w:rsid w:val="009959AB"/>
    <w:rsid w:val="009F3C6A"/>
    <w:rsid w:val="00A151A6"/>
    <w:rsid w:val="00A329C7"/>
    <w:rsid w:val="00A3757A"/>
    <w:rsid w:val="00A45A44"/>
    <w:rsid w:val="00AD5EE4"/>
    <w:rsid w:val="00AF358A"/>
    <w:rsid w:val="00B110EE"/>
    <w:rsid w:val="00B416D1"/>
    <w:rsid w:val="00B50B88"/>
    <w:rsid w:val="00B63ECC"/>
    <w:rsid w:val="00B7124D"/>
    <w:rsid w:val="00B93665"/>
    <w:rsid w:val="00B97660"/>
    <w:rsid w:val="00BB28CC"/>
    <w:rsid w:val="00BD421F"/>
    <w:rsid w:val="00C06973"/>
    <w:rsid w:val="00C5366B"/>
    <w:rsid w:val="00C6445B"/>
    <w:rsid w:val="00C70D4B"/>
    <w:rsid w:val="00C837C9"/>
    <w:rsid w:val="00CA3193"/>
    <w:rsid w:val="00CA4250"/>
    <w:rsid w:val="00CB7E10"/>
    <w:rsid w:val="00CC6328"/>
    <w:rsid w:val="00D133B1"/>
    <w:rsid w:val="00D17004"/>
    <w:rsid w:val="00D53912"/>
    <w:rsid w:val="00D72A82"/>
    <w:rsid w:val="00DB15E6"/>
    <w:rsid w:val="00E0569D"/>
    <w:rsid w:val="00E23A8C"/>
    <w:rsid w:val="00E47DA8"/>
    <w:rsid w:val="00E529EE"/>
    <w:rsid w:val="00E5687D"/>
    <w:rsid w:val="00E60917"/>
    <w:rsid w:val="00E812F9"/>
    <w:rsid w:val="00E84E1F"/>
    <w:rsid w:val="00E860E3"/>
    <w:rsid w:val="00EC4F50"/>
    <w:rsid w:val="00EC64F2"/>
    <w:rsid w:val="00ED6276"/>
    <w:rsid w:val="00F01F1E"/>
    <w:rsid w:val="00F11CDC"/>
    <w:rsid w:val="00F14DA2"/>
    <w:rsid w:val="00F218A4"/>
    <w:rsid w:val="00F366E2"/>
    <w:rsid w:val="00F445CB"/>
    <w:rsid w:val="00F53CC2"/>
    <w:rsid w:val="00FC1885"/>
    <w:rsid w:val="00FD2E85"/>
    <w:rsid w:val="00FE18DD"/>
    <w:rsid w:val="00FE4D03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54C3"/>
  <w15:docId w15:val="{EB0F35CD-8B1C-431D-9760-80708543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264" w:hanging="10"/>
      <w:jc w:val="center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8A72D6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CC63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63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6328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3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328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Odstavecseseznamem1">
    <w:name w:val="Odstavec se seznamem1"/>
    <w:rsid w:val="001F3284"/>
    <w:pP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sz w:val="22"/>
      <w:szCs w:val="22"/>
      <w:u w:color="000000"/>
      <w14:ligatures w14:val="none"/>
    </w:rPr>
  </w:style>
  <w:style w:type="character" w:customStyle="1" w:styleId="Hyperlink0">
    <w:name w:val="Hyperlink.0"/>
    <w:basedOn w:val="slostrnky"/>
    <w:rsid w:val="001F3284"/>
    <w:rPr>
      <w:rFonts w:ascii="Arial" w:eastAsia="Arial" w:hAnsi="Arial" w:cs="Arial" w:hint="default"/>
      <w:color w:val="000000"/>
      <w:u w:color="000000"/>
    </w:rPr>
  </w:style>
  <w:style w:type="numbering" w:customStyle="1" w:styleId="List0">
    <w:name w:val="List 0"/>
    <w:rsid w:val="001F3284"/>
    <w:pPr>
      <w:numPr>
        <w:numId w:val="5"/>
      </w:numPr>
    </w:pPr>
  </w:style>
  <w:style w:type="character" w:styleId="slostrnky">
    <w:name w:val="page number"/>
    <w:basedOn w:val="Standardnpsmoodstavce"/>
    <w:uiPriority w:val="99"/>
    <w:semiHidden/>
    <w:unhideWhenUsed/>
    <w:rsid w:val="001F3284"/>
  </w:style>
  <w:style w:type="character" w:styleId="Hypertextovodkaz">
    <w:name w:val="Hyperlink"/>
    <w:basedOn w:val="Standardnpsmoodstavce"/>
    <w:uiPriority w:val="99"/>
    <w:unhideWhenUsed/>
    <w:rsid w:val="00E23A8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A8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A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2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8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ce@avbgroup.cz" TargetMode="External"/><Relationship Id="rId5" Type="http://schemas.openxmlformats.org/officeDocument/2006/relationships/hyperlink" Target="mailto:faktury@ngpragu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Národní galerie v Praze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Miroslav Teichman</dc:creator>
  <cp:keywords/>
  <cp:lastModifiedBy>Zdenka Šímová</cp:lastModifiedBy>
  <cp:revision>11</cp:revision>
  <dcterms:created xsi:type="dcterms:W3CDTF">2024-12-23T09:29:00Z</dcterms:created>
  <dcterms:modified xsi:type="dcterms:W3CDTF">2025-01-02T08:18:00Z</dcterms:modified>
</cp:coreProperties>
</file>