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04942" w14:textId="0C1799FF" w:rsidR="00690955" w:rsidRPr="0059170B" w:rsidRDefault="009231A5" w:rsidP="0059170B">
      <w:pPr>
        <w:spacing w:after="120" w:line="240" w:lineRule="auto"/>
        <w:jc w:val="center"/>
        <w:rPr>
          <w:rFonts w:ascii="BrownPro" w:hAnsi="BrownPro"/>
          <w:b/>
          <w:bCs/>
          <w:sz w:val="28"/>
          <w:szCs w:val="28"/>
          <w:u w:val="single"/>
        </w:rPr>
      </w:pPr>
      <w:r w:rsidRPr="0059170B">
        <w:rPr>
          <w:rFonts w:ascii="BrownPro" w:hAnsi="BrownPro"/>
          <w:b/>
          <w:bCs/>
          <w:sz w:val="28"/>
          <w:szCs w:val="28"/>
          <w:u w:val="single"/>
        </w:rPr>
        <w:t>DAROVACÍ SMLOUVA</w:t>
      </w:r>
    </w:p>
    <w:p w14:paraId="1D63863A" w14:textId="77777777" w:rsidR="009231A5" w:rsidRPr="00F832AF" w:rsidRDefault="009231A5" w:rsidP="00F832AF">
      <w:pPr>
        <w:spacing w:after="120" w:line="240" w:lineRule="auto"/>
        <w:jc w:val="both"/>
        <w:rPr>
          <w:rFonts w:ascii="BrownPro" w:hAnsi="BrownPro"/>
          <w:sz w:val="20"/>
          <w:szCs w:val="20"/>
        </w:rPr>
      </w:pPr>
    </w:p>
    <w:p w14:paraId="26E5559F" w14:textId="0323373C" w:rsidR="009231A5" w:rsidRPr="0059170B" w:rsidRDefault="009231A5" w:rsidP="00F832AF">
      <w:pPr>
        <w:tabs>
          <w:tab w:val="left" w:pos="2835"/>
        </w:tabs>
        <w:spacing w:after="120" w:line="240" w:lineRule="auto"/>
        <w:jc w:val="both"/>
        <w:rPr>
          <w:rFonts w:ascii="BrownPro" w:hAnsi="BrownPro"/>
          <w:b/>
          <w:bCs/>
        </w:rPr>
      </w:pPr>
      <w:r w:rsidRPr="0059170B">
        <w:rPr>
          <w:rFonts w:ascii="BrownPro" w:hAnsi="BrownPro"/>
          <w:b/>
          <w:bCs/>
        </w:rPr>
        <w:t>OQEMA, s.r.o., Těšínská 222, 7</w:t>
      </w:r>
      <w:r w:rsidR="005D653B">
        <w:rPr>
          <w:rFonts w:ascii="BrownPro" w:hAnsi="BrownPro"/>
          <w:b/>
          <w:bCs/>
        </w:rPr>
        <w:t>39</w:t>
      </w:r>
      <w:r w:rsidRPr="0059170B">
        <w:rPr>
          <w:rFonts w:ascii="BrownPro" w:hAnsi="BrownPro"/>
          <w:b/>
          <w:bCs/>
        </w:rPr>
        <w:t xml:space="preserve"> 34 Šenov</w:t>
      </w:r>
    </w:p>
    <w:p w14:paraId="2716FCEB" w14:textId="461E77A3" w:rsidR="0032144D" w:rsidRPr="00F832AF" w:rsidRDefault="000171EB" w:rsidP="0059170B">
      <w:pPr>
        <w:tabs>
          <w:tab w:val="left" w:pos="2835"/>
        </w:tabs>
        <w:spacing w:after="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IČO:</w:t>
      </w:r>
      <w:r w:rsidRPr="00F832AF">
        <w:rPr>
          <w:rFonts w:ascii="BrownPro" w:hAnsi="BrownPro"/>
          <w:sz w:val="20"/>
          <w:szCs w:val="20"/>
        </w:rPr>
        <w:tab/>
        <w:t>63988186</w:t>
      </w:r>
    </w:p>
    <w:p w14:paraId="54CA862E" w14:textId="06D1E857" w:rsidR="000171EB" w:rsidRPr="00F832AF" w:rsidRDefault="000171EB" w:rsidP="0059170B">
      <w:pPr>
        <w:tabs>
          <w:tab w:val="left" w:pos="2835"/>
        </w:tabs>
        <w:spacing w:after="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DIČ:</w:t>
      </w:r>
      <w:r w:rsidRPr="00F832AF">
        <w:rPr>
          <w:rFonts w:ascii="BrownPro" w:hAnsi="BrownPro"/>
          <w:sz w:val="20"/>
          <w:szCs w:val="20"/>
        </w:rPr>
        <w:tab/>
        <w:t>CZ63988186</w:t>
      </w:r>
    </w:p>
    <w:p w14:paraId="31779DD4" w14:textId="2BBCBC66" w:rsidR="000171EB" w:rsidRPr="00F832AF" w:rsidRDefault="000171EB" w:rsidP="0059170B">
      <w:pPr>
        <w:tabs>
          <w:tab w:val="left" w:pos="2835"/>
        </w:tabs>
        <w:spacing w:after="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Bankovní spojení:</w:t>
      </w:r>
      <w:r w:rsidRPr="00F832AF">
        <w:rPr>
          <w:rFonts w:ascii="BrownPro" w:hAnsi="BrownPro"/>
          <w:sz w:val="20"/>
          <w:szCs w:val="20"/>
        </w:rPr>
        <w:tab/>
        <w:t>Komerční banka, a.s.</w:t>
      </w:r>
    </w:p>
    <w:p w14:paraId="13890334" w14:textId="6E531105" w:rsidR="000171EB" w:rsidRPr="00F832AF" w:rsidRDefault="000171EB" w:rsidP="0059170B">
      <w:pPr>
        <w:tabs>
          <w:tab w:val="left" w:pos="2835"/>
        </w:tabs>
        <w:spacing w:after="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Číslo účtu:</w:t>
      </w:r>
      <w:r w:rsidRPr="00F832AF">
        <w:rPr>
          <w:rFonts w:ascii="BrownPro" w:hAnsi="BrownPro"/>
          <w:sz w:val="20"/>
          <w:szCs w:val="20"/>
        </w:rPr>
        <w:tab/>
        <w:t>21507791/0100</w:t>
      </w:r>
    </w:p>
    <w:p w14:paraId="1812F004" w14:textId="7DE08121" w:rsidR="000171EB" w:rsidRPr="00F832AF" w:rsidRDefault="000171EB" w:rsidP="0059170B">
      <w:pPr>
        <w:tabs>
          <w:tab w:val="left" w:pos="2835"/>
        </w:tabs>
        <w:spacing w:after="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Zastoupená:</w:t>
      </w:r>
      <w:r w:rsidRPr="00F832AF">
        <w:rPr>
          <w:rFonts w:ascii="BrownPro" w:hAnsi="BrownPro"/>
          <w:sz w:val="20"/>
          <w:szCs w:val="20"/>
        </w:rPr>
        <w:tab/>
        <w:t>Ing. Oldřich Zahradníkem – jednatelem společnosti</w:t>
      </w:r>
    </w:p>
    <w:p w14:paraId="3182E3E3" w14:textId="6CBCAEDE" w:rsidR="000171EB" w:rsidRPr="00F832AF" w:rsidRDefault="000171EB" w:rsidP="0059170B">
      <w:pPr>
        <w:tabs>
          <w:tab w:val="left" w:pos="2835"/>
        </w:tabs>
        <w:spacing w:after="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(dále jen „dárce“)</w:t>
      </w:r>
    </w:p>
    <w:p w14:paraId="6EF8D1AE" w14:textId="77777777" w:rsidR="000171EB" w:rsidRPr="00F832AF" w:rsidRDefault="000171EB" w:rsidP="00F832AF">
      <w:pPr>
        <w:tabs>
          <w:tab w:val="left" w:pos="2835"/>
        </w:tabs>
        <w:spacing w:after="120" w:line="240" w:lineRule="auto"/>
        <w:jc w:val="both"/>
        <w:rPr>
          <w:rFonts w:ascii="BrownPro" w:hAnsi="BrownPro"/>
          <w:sz w:val="20"/>
          <w:szCs w:val="20"/>
        </w:rPr>
      </w:pPr>
    </w:p>
    <w:p w14:paraId="08A14AA2" w14:textId="092469B1" w:rsidR="000171EB" w:rsidRPr="00F832AF" w:rsidRDefault="000171EB" w:rsidP="005D653B">
      <w:pPr>
        <w:tabs>
          <w:tab w:val="left" w:pos="2835"/>
        </w:tabs>
        <w:spacing w:after="120" w:line="240" w:lineRule="auto"/>
        <w:jc w:val="center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a</w:t>
      </w:r>
    </w:p>
    <w:p w14:paraId="11D80452" w14:textId="77777777" w:rsidR="000171EB" w:rsidRPr="00F832AF" w:rsidRDefault="000171EB" w:rsidP="00F832AF">
      <w:pPr>
        <w:tabs>
          <w:tab w:val="left" w:pos="2835"/>
        </w:tabs>
        <w:spacing w:after="120" w:line="240" w:lineRule="auto"/>
        <w:jc w:val="both"/>
        <w:rPr>
          <w:rFonts w:ascii="BrownPro" w:hAnsi="BrownPro"/>
          <w:sz w:val="20"/>
          <w:szCs w:val="20"/>
        </w:rPr>
      </w:pPr>
    </w:p>
    <w:p w14:paraId="6FC623C5" w14:textId="313633B9" w:rsidR="000171EB" w:rsidRPr="0059170B" w:rsidRDefault="000171EB" w:rsidP="00F832AF">
      <w:pPr>
        <w:tabs>
          <w:tab w:val="left" w:pos="2835"/>
        </w:tabs>
        <w:spacing w:after="120" w:line="240" w:lineRule="auto"/>
        <w:jc w:val="both"/>
        <w:rPr>
          <w:rFonts w:ascii="BrownPro" w:hAnsi="BrownPro"/>
          <w:b/>
          <w:bCs/>
        </w:rPr>
      </w:pPr>
      <w:r w:rsidRPr="0059170B">
        <w:rPr>
          <w:rFonts w:ascii="BrownPro" w:hAnsi="BrownPro"/>
          <w:b/>
          <w:bCs/>
        </w:rPr>
        <w:t>Domov sociálních služeb Slatiňany, Klášterní 795, 538 21 Slatiňany</w:t>
      </w:r>
    </w:p>
    <w:p w14:paraId="31887EE8" w14:textId="0764AD6B" w:rsidR="000171EB" w:rsidRPr="00F832AF" w:rsidRDefault="000171EB" w:rsidP="0059170B">
      <w:pPr>
        <w:tabs>
          <w:tab w:val="left" w:pos="2835"/>
        </w:tabs>
        <w:spacing w:after="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IČO:</w:t>
      </w:r>
      <w:r w:rsidRPr="00F832AF">
        <w:rPr>
          <w:rFonts w:ascii="BrownPro" w:hAnsi="BrownPro"/>
          <w:sz w:val="20"/>
          <w:szCs w:val="20"/>
        </w:rPr>
        <w:tab/>
        <w:t>15053814</w:t>
      </w:r>
    </w:p>
    <w:p w14:paraId="6D2DA0F0" w14:textId="212D15B2" w:rsidR="000171EB" w:rsidRPr="00F832AF" w:rsidRDefault="000171EB" w:rsidP="0059170B">
      <w:pPr>
        <w:tabs>
          <w:tab w:val="left" w:pos="2835"/>
        </w:tabs>
        <w:spacing w:after="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DIČ:</w:t>
      </w:r>
      <w:r w:rsidRPr="00F832AF">
        <w:rPr>
          <w:rFonts w:ascii="BrownPro" w:hAnsi="BrownPro"/>
          <w:sz w:val="20"/>
          <w:szCs w:val="20"/>
        </w:rPr>
        <w:tab/>
        <w:t>CZ15053814</w:t>
      </w:r>
    </w:p>
    <w:p w14:paraId="516F6946" w14:textId="77600E90" w:rsidR="000171EB" w:rsidRPr="00F832AF" w:rsidRDefault="000171EB" w:rsidP="0059170B">
      <w:pPr>
        <w:tabs>
          <w:tab w:val="left" w:pos="2835"/>
        </w:tabs>
        <w:spacing w:after="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Bankovní spojení:</w:t>
      </w:r>
      <w:r w:rsidRPr="00F832AF">
        <w:rPr>
          <w:rFonts w:ascii="BrownPro" w:hAnsi="BrownPro"/>
          <w:sz w:val="20"/>
          <w:szCs w:val="20"/>
        </w:rPr>
        <w:tab/>
        <w:t>Komerční banka</w:t>
      </w:r>
      <w:r w:rsidR="005D653B">
        <w:rPr>
          <w:rFonts w:ascii="BrownPro" w:hAnsi="BrownPro"/>
          <w:sz w:val="20"/>
          <w:szCs w:val="20"/>
        </w:rPr>
        <w:t>, a.s.</w:t>
      </w:r>
    </w:p>
    <w:p w14:paraId="612A492B" w14:textId="3ED135D8" w:rsidR="000171EB" w:rsidRPr="00F832AF" w:rsidRDefault="000171EB" w:rsidP="0059170B">
      <w:pPr>
        <w:tabs>
          <w:tab w:val="left" w:pos="2835"/>
        </w:tabs>
        <w:spacing w:after="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Číslo účtu:</w:t>
      </w:r>
      <w:r w:rsidRPr="00F832AF">
        <w:rPr>
          <w:rFonts w:ascii="BrownPro" w:hAnsi="BrownPro"/>
          <w:sz w:val="20"/>
          <w:szCs w:val="20"/>
        </w:rPr>
        <w:tab/>
        <w:t>17230531/0100</w:t>
      </w:r>
    </w:p>
    <w:p w14:paraId="02B537D0" w14:textId="564DAFAF" w:rsidR="000171EB" w:rsidRPr="00F832AF" w:rsidRDefault="000171EB" w:rsidP="0059170B">
      <w:pPr>
        <w:tabs>
          <w:tab w:val="left" w:pos="2835"/>
        </w:tabs>
        <w:spacing w:after="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Zastoupený:</w:t>
      </w:r>
      <w:r w:rsidRPr="00F832AF">
        <w:rPr>
          <w:rFonts w:ascii="BrownPro" w:hAnsi="BrownPro"/>
          <w:sz w:val="20"/>
          <w:szCs w:val="20"/>
        </w:rPr>
        <w:tab/>
        <w:t>Ing. Miroslavem Kubínem – ředitelem</w:t>
      </w:r>
    </w:p>
    <w:p w14:paraId="53CF1BA2" w14:textId="39B1AF59" w:rsidR="000171EB" w:rsidRPr="00F832AF" w:rsidRDefault="000171EB" w:rsidP="0059170B">
      <w:pPr>
        <w:tabs>
          <w:tab w:val="left" w:pos="2835"/>
        </w:tabs>
        <w:spacing w:after="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(dále jen „obdarovaný“)</w:t>
      </w:r>
    </w:p>
    <w:p w14:paraId="5EF128BF" w14:textId="77777777" w:rsidR="000171EB" w:rsidRPr="00F832AF" w:rsidRDefault="000171EB" w:rsidP="00F832AF">
      <w:pPr>
        <w:tabs>
          <w:tab w:val="left" w:pos="2835"/>
        </w:tabs>
        <w:spacing w:after="120" w:line="240" w:lineRule="auto"/>
        <w:jc w:val="both"/>
        <w:rPr>
          <w:rFonts w:ascii="BrownPro" w:hAnsi="BrownPro"/>
          <w:sz w:val="20"/>
          <w:szCs w:val="20"/>
        </w:rPr>
      </w:pPr>
    </w:p>
    <w:p w14:paraId="10A64C9B" w14:textId="2CF3D7F3" w:rsidR="000171EB" w:rsidRPr="00F832AF" w:rsidRDefault="000171EB" w:rsidP="005D653B">
      <w:pPr>
        <w:tabs>
          <w:tab w:val="left" w:pos="2835"/>
        </w:tabs>
        <w:spacing w:after="120" w:line="240" w:lineRule="auto"/>
        <w:jc w:val="center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 xml:space="preserve">uzavírají dle ustanovení § 2055 zák. č. 89/2012 Sb. </w:t>
      </w:r>
      <w:r w:rsidR="005D653B">
        <w:rPr>
          <w:rFonts w:ascii="BrownPro" w:hAnsi="BrownPro"/>
          <w:sz w:val="20"/>
          <w:szCs w:val="20"/>
        </w:rPr>
        <w:t>t</w:t>
      </w:r>
      <w:r w:rsidRPr="00F832AF">
        <w:rPr>
          <w:rFonts w:ascii="BrownPro" w:hAnsi="BrownPro"/>
          <w:sz w:val="20"/>
          <w:szCs w:val="20"/>
        </w:rPr>
        <w:t>uto darovací smlouvu:</w:t>
      </w:r>
    </w:p>
    <w:p w14:paraId="7487B6FC" w14:textId="77777777" w:rsidR="000171EB" w:rsidRPr="00F832AF" w:rsidRDefault="000171EB" w:rsidP="00F832AF">
      <w:pPr>
        <w:tabs>
          <w:tab w:val="left" w:pos="2835"/>
        </w:tabs>
        <w:spacing w:after="120" w:line="240" w:lineRule="auto"/>
        <w:jc w:val="both"/>
        <w:rPr>
          <w:rFonts w:ascii="BrownPro" w:hAnsi="BrownPro"/>
          <w:sz w:val="20"/>
          <w:szCs w:val="20"/>
        </w:rPr>
      </w:pPr>
    </w:p>
    <w:p w14:paraId="7DCC07D6" w14:textId="4C80CA12" w:rsidR="000171EB" w:rsidRPr="0059170B" w:rsidRDefault="000171EB" w:rsidP="0059170B">
      <w:pPr>
        <w:tabs>
          <w:tab w:val="left" w:pos="2835"/>
        </w:tabs>
        <w:spacing w:after="120" w:line="240" w:lineRule="auto"/>
        <w:jc w:val="center"/>
        <w:rPr>
          <w:rFonts w:ascii="BrownPro" w:hAnsi="BrownPro"/>
          <w:b/>
          <w:bCs/>
          <w:sz w:val="20"/>
          <w:szCs w:val="20"/>
        </w:rPr>
      </w:pPr>
      <w:r w:rsidRPr="0059170B">
        <w:rPr>
          <w:rFonts w:ascii="BrownPro" w:hAnsi="BrownPro"/>
          <w:b/>
          <w:bCs/>
          <w:sz w:val="20"/>
          <w:szCs w:val="20"/>
        </w:rPr>
        <w:t>I.</w:t>
      </w:r>
    </w:p>
    <w:p w14:paraId="19068538" w14:textId="398B647E" w:rsidR="000171EB" w:rsidRPr="00F832AF" w:rsidRDefault="000171EB" w:rsidP="00F832AF">
      <w:pPr>
        <w:tabs>
          <w:tab w:val="left" w:pos="2835"/>
        </w:tabs>
        <w:spacing w:after="12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 xml:space="preserve">Dárce na základě této smlouvy daruje obdarovanému finanční dar ve výši </w:t>
      </w:r>
      <w:r w:rsidR="00A46386">
        <w:rPr>
          <w:rFonts w:ascii="BrownPro" w:hAnsi="BrownPro"/>
          <w:sz w:val="20"/>
          <w:szCs w:val="20"/>
        </w:rPr>
        <w:t xml:space="preserve">100 000 </w:t>
      </w:r>
      <w:r w:rsidRPr="00F832AF">
        <w:rPr>
          <w:rFonts w:ascii="BrownPro" w:hAnsi="BrownPro"/>
          <w:sz w:val="20"/>
          <w:szCs w:val="20"/>
        </w:rPr>
        <w:t xml:space="preserve">Kč (slovy: </w:t>
      </w:r>
      <w:proofErr w:type="spellStart"/>
      <w:r w:rsidR="00A46386">
        <w:rPr>
          <w:rFonts w:ascii="BrownPro" w:hAnsi="BrownPro"/>
          <w:sz w:val="20"/>
          <w:szCs w:val="20"/>
        </w:rPr>
        <w:t>jednostotisíc</w:t>
      </w:r>
      <w:r w:rsidRPr="00F832AF">
        <w:rPr>
          <w:rFonts w:ascii="BrownPro" w:hAnsi="BrownPro"/>
          <w:sz w:val="20"/>
          <w:szCs w:val="20"/>
        </w:rPr>
        <w:t>korunčeských</w:t>
      </w:r>
      <w:proofErr w:type="spellEnd"/>
      <w:r w:rsidRPr="00F832AF">
        <w:rPr>
          <w:rFonts w:ascii="BrownPro" w:hAnsi="BrownPro"/>
          <w:sz w:val="20"/>
          <w:szCs w:val="20"/>
        </w:rPr>
        <w:t>) v termínu do 31.12.202</w:t>
      </w:r>
      <w:r w:rsidR="0072255E">
        <w:rPr>
          <w:rFonts w:ascii="BrownPro" w:hAnsi="BrownPro"/>
          <w:sz w:val="20"/>
          <w:szCs w:val="20"/>
        </w:rPr>
        <w:t>4</w:t>
      </w:r>
      <w:r w:rsidRPr="00F832AF">
        <w:rPr>
          <w:rFonts w:ascii="BrownPro" w:hAnsi="BrownPro"/>
          <w:sz w:val="20"/>
          <w:szCs w:val="20"/>
        </w:rPr>
        <w:t>.</w:t>
      </w:r>
    </w:p>
    <w:p w14:paraId="66E86BB4" w14:textId="77777777" w:rsidR="000171EB" w:rsidRPr="00F832AF" w:rsidRDefault="000171EB" w:rsidP="0059170B">
      <w:pPr>
        <w:tabs>
          <w:tab w:val="left" w:pos="2835"/>
        </w:tabs>
        <w:spacing w:after="0" w:line="240" w:lineRule="auto"/>
        <w:jc w:val="both"/>
        <w:rPr>
          <w:rFonts w:ascii="BrownPro" w:hAnsi="BrownPro"/>
          <w:sz w:val="20"/>
          <w:szCs w:val="20"/>
        </w:rPr>
      </w:pPr>
    </w:p>
    <w:p w14:paraId="1C70FB0E" w14:textId="5D50087F" w:rsidR="000171EB" w:rsidRPr="0059170B" w:rsidRDefault="000171EB" w:rsidP="0059170B">
      <w:pPr>
        <w:tabs>
          <w:tab w:val="left" w:pos="2835"/>
        </w:tabs>
        <w:spacing w:after="120" w:line="240" w:lineRule="auto"/>
        <w:jc w:val="center"/>
        <w:rPr>
          <w:rFonts w:ascii="BrownPro" w:hAnsi="BrownPro"/>
          <w:b/>
          <w:bCs/>
          <w:sz w:val="20"/>
          <w:szCs w:val="20"/>
        </w:rPr>
      </w:pPr>
      <w:r w:rsidRPr="0059170B">
        <w:rPr>
          <w:rFonts w:ascii="BrownPro" w:hAnsi="BrownPro"/>
          <w:b/>
          <w:bCs/>
          <w:sz w:val="20"/>
          <w:szCs w:val="20"/>
        </w:rPr>
        <w:t>II.</w:t>
      </w:r>
    </w:p>
    <w:p w14:paraId="0726FCBD" w14:textId="1E308953" w:rsidR="000171EB" w:rsidRPr="00F832AF" w:rsidRDefault="000171EB" w:rsidP="00F832AF">
      <w:pPr>
        <w:tabs>
          <w:tab w:val="left" w:pos="2835"/>
        </w:tabs>
        <w:spacing w:after="12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Obdarovaný tento dar přijímá pro</w:t>
      </w:r>
      <w:r w:rsidR="00F832AF" w:rsidRPr="00F832AF">
        <w:rPr>
          <w:rFonts w:ascii="BrownPro" w:hAnsi="BrownPro"/>
          <w:sz w:val="20"/>
          <w:szCs w:val="20"/>
        </w:rPr>
        <w:t xml:space="preserve"> svého zřizovatele, kterým je Pardubický kraj, k využití pro svou činnost v souladu s platnou Zřizovací listinou DSS Slatiňany a zavazuje se zaplatit darovací daň, pokud není ve smyslu platných zákonů od této daně osvobozen.</w:t>
      </w:r>
    </w:p>
    <w:p w14:paraId="661CD200" w14:textId="77777777" w:rsidR="0059170B" w:rsidRPr="00F832AF" w:rsidRDefault="0059170B" w:rsidP="0059170B">
      <w:pPr>
        <w:tabs>
          <w:tab w:val="left" w:pos="2835"/>
        </w:tabs>
        <w:spacing w:after="0" w:line="240" w:lineRule="auto"/>
        <w:jc w:val="both"/>
        <w:rPr>
          <w:rFonts w:ascii="BrownPro" w:hAnsi="BrownPro"/>
          <w:sz w:val="20"/>
          <w:szCs w:val="20"/>
        </w:rPr>
      </w:pPr>
    </w:p>
    <w:p w14:paraId="0EE257F2" w14:textId="2EE3856B" w:rsidR="00F832AF" w:rsidRPr="0059170B" w:rsidRDefault="00F832AF" w:rsidP="0059170B">
      <w:pPr>
        <w:tabs>
          <w:tab w:val="left" w:pos="2835"/>
        </w:tabs>
        <w:spacing w:after="120" w:line="240" w:lineRule="auto"/>
        <w:jc w:val="center"/>
        <w:rPr>
          <w:rFonts w:ascii="BrownPro" w:hAnsi="BrownPro"/>
          <w:b/>
          <w:bCs/>
          <w:sz w:val="20"/>
          <w:szCs w:val="20"/>
        </w:rPr>
      </w:pPr>
      <w:r w:rsidRPr="0059170B">
        <w:rPr>
          <w:rFonts w:ascii="BrownPro" w:hAnsi="BrownPro"/>
          <w:b/>
          <w:bCs/>
          <w:sz w:val="20"/>
          <w:szCs w:val="20"/>
        </w:rPr>
        <w:t>III.</w:t>
      </w:r>
    </w:p>
    <w:p w14:paraId="4093FAFB" w14:textId="13D6148A" w:rsidR="00F832AF" w:rsidRPr="00F832AF" w:rsidRDefault="00F832AF" w:rsidP="00F832AF">
      <w:pPr>
        <w:tabs>
          <w:tab w:val="left" w:pos="2835"/>
        </w:tabs>
        <w:spacing w:after="12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Smlouva nabývá účinnosti dnem podpisu oběma smluvními stranami, je zpracována ve dvou vyhotoveních, z nichž každá ze smluvních stran obdrží po jednom vyhotovení.</w:t>
      </w:r>
    </w:p>
    <w:p w14:paraId="77E8934E" w14:textId="77777777" w:rsidR="00F832AF" w:rsidRPr="00F832AF" w:rsidRDefault="00F832AF" w:rsidP="0059170B">
      <w:pPr>
        <w:tabs>
          <w:tab w:val="left" w:pos="2835"/>
        </w:tabs>
        <w:spacing w:after="0" w:line="240" w:lineRule="auto"/>
        <w:jc w:val="both"/>
        <w:rPr>
          <w:rFonts w:ascii="BrownPro" w:hAnsi="BrownPro"/>
          <w:sz w:val="20"/>
          <w:szCs w:val="20"/>
        </w:rPr>
      </w:pPr>
    </w:p>
    <w:p w14:paraId="227330DE" w14:textId="386E1D5F" w:rsidR="00F832AF" w:rsidRPr="0059170B" w:rsidRDefault="00F832AF" w:rsidP="0059170B">
      <w:pPr>
        <w:tabs>
          <w:tab w:val="left" w:pos="2835"/>
        </w:tabs>
        <w:spacing w:after="120" w:line="240" w:lineRule="auto"/>
        <w:jc w:val="center"/>
        <w:rPr>
          <w:rFonts w:ascii="BrownPro" w:hAnsi="BrownPro"/>
          <w:b/>
          <w:bCs/>
          <w:sz w:val="20"/>
          <w:szCs w:val="20"/>
        </w:rPr>
      </w:pPr>
      <w:r w:rsidRPr="0059170B">
        <w:rPr>
          <w:rFonts w:ascii="BrownPro" w:hAnsi="BrownPro"/>
          <w:b/>
          <w:bCs/>
          <w:sz w:val="20"/>
          <w:szCs w:val="20"/>
        </w:rPr>
        <w:t>IV.</w:t>
      </w:r>
    </w:p>
    <w:p w14:paraId="35B71582" w14:textId="14388BD1" w:rsidR="00F832AF" w:rsidRPr="00F832AF" w:rsidRDefault="00F832AF" w:rsidP="00F832AF">
      <w:pPr>
        <w:tabs>
          <w:tab w:val="left" w:pos="2835"/>
        </w:tabs>
        <w:spacing w:after="12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Smluvní strany shodně prohlašují, že tato smlouva je výrazem projevu jejich svobodné, pravé a vážné vůle, že ji uzavírají na základě svých pravdivých údajů bez jakékoliv tísně anebo nátlaku, což potvrzují svými podpisy.</w:t>
      </w:r>
    </w:p>
    <w:p w14:paraId="5951B8C4" w14:textId="77777777" w:rsidR="00F832AF" w:rsidRPr="00F832AF" w:rsidRDefault="00F832AF" w:rsidP="00F832AF">
      <w:pPr>
        <w:tabs>
          <w:tab w:val="left" w:pos="2835"/>
        </w:tabs>
        <w:spacing w:after="120" w:line="240" w:lineRule="auto"/>
        <w:jc w:val="both"/>
        <w:rPr>
          <w:rFonts w:ascii="BrownPro" w:hAnsi="BrownPro"/>
          <w:sz w:val="20"/>
          <w:szCs w:val="20"/>
        </w:rPr>
      </w:pPr>
    </w:p>
    <w:p w14:paraId="0D8710B6" w14:textId="7F6EB209" w:rsidR="00F832AF" w:rsidRDefault="00F832AF" w:rsidP="00F832AF">
      <w:pPr>
        <w:tabs>
          <w:tab w:val="left" w:pos="2835"/>
          <w:tab w:val="left" w:pos="4536"/>
        </w:tabs>
        <w:spacing w:after="12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Ve Slatiňanech dne</w:t>
      </w:r>
      <w:r w:rsidR="00A46386">
        <w:rPr>
          <w:rFonts w:ascii="BrownPro" w:hAnsi="BrownPro"/>
          <w:sz w:val="20"/>
          <w:szCs w:val="20"/>
        </w:rPr>
        <w:tab/>
      </w:r>
      <w:r w:rsidR="00A46386">
        <w:rPr>
          <w:rFonts w:ascii="BrownPro" w:hAnsi="BrownPro"/>
          <w:sz w:val="20"/>
          <w:szCs w:val="20"/>
        </w:rPr>
        <w:tab/>
      </w:r>
      <w:r w:rsidR="00A46386">
        <w:rPr>
          <w:rFonts w:ascii="BrownPro" w:hAnsi="BrownPro"/>
          <w:sz w:val="20"/>
          <w:szCs w:val="20"/>
        </w:rPr>
        <w:tab/>
      </w:r>
      <w:r w:rsidRPr="00F832AF">
        <w:rPr>
          <w:rFonts w:ascii="BrownPro" w:hAnsi="BrownPro"/>
          <w:sz w:val="20"/>
          <w:szCs w:val="20"/>
        </w:rPr>
        <w:t>V</w:t>
      </w:r>
      <w:r w:rsidR="00A46386">
        <w:rPr>
          <w:rFonts w:ascii="BrownPro" w:hAnsi="BrownPro"/>
          <w:sz w:val="20"/>
          <w:szCs w:val="20"/>
        </w:rPr>
        <w:t>e</w:t>
      </w:r>
      <w:r w:rsidRPr="00F832AF">
        <w:rPr>
          <w:rFonts w:ascii="BrownPro" w:hAnsi="BrownPro"/>
          <w:sz w:val="20"/>
          <w:szCs w:val="20"/>
        </w:rPr>
        <w:t> </w:t>
      </w:r>
      <w:r w:rsidR="00A46386">
        <w:rPr>
          <w:rFonts w:ascii="BrownPro" w:hAnsi="BrownPro"/>
          <w:sz w:val="20"/>
          <w:szCs w:val="20"/>
        </w:rPr>
        <w:t>Slatiňanech</w:t>
      </w:r>
      <w:r w:rsidRPr="00F832AF">
        <w:rPr>
          <w:rFonts w:ascii="BrownPro" w:hAnsi="BrownPro"/>
          <w:sz w:val="20"/>
          <w:szCs w:val="20"/>
        </w:rPr>
        <w:t xml:space="preserve"> dne </w:t>
      </w:r>
    </w:p>
    <w:p w14:paraId="1D8505F6" w14:textId="77777777" w:rsidR="0059170B" w:rsidRPr="00F832AF" w:rsidRDefault="0059170B" w:rsidP="00F832AF">
      <w:pPr>
        <w:tabs>
          <w:tab w:val="left" w:pos="2835"/>
          <w:tab w:val="left" w:pos="4536"/>
        </w:tabs>
        <w:spacing w:after="120" w:line="240" w:lineRule="auto"/>
        <w:jc w:val="both"/>
        <w:rPr>
          <w:rFonts w:ascii="BrownPro" w:hAnsi="BrownPro"/>
          <w:sz w:val="20"/>
          <w:szCs w:val="20"/>
        </w:rPr>
      </w:pPr>
    </w:p>
    <w:p w14:paraId="4DF78312" w14:textId="762477B2" w:rsidR="00F832AF" w:rsidRPr="00F832AF" w:rsidRDefault="00F832AF" w:rsidP="00F832AF">
      <w:pPr>
        <w:tabs>
          <w:tab w:val="left" w:pos="2835"/>
          <w:tab w:val="left" w:pos="4536"/>
        </w:tabs>
        <w:spacing w:after="120" w:line="240" w:lineRule="auto"/>
        <w:jc w:val="both"/>
        <w:rPr>
          <w:rFonts w:ascii="BrownPro" w:hAnsi="BrownPro"/>
          <w:sz w:val="20"/>
          <w:szCs w:val="20"/>
        </w:rPr>
      </w:pPr>
      <w:r w:rsidRPr="00F832AF">
        <w:rPr>
          <w:rFonts w:ascii="BrownPro" w:hAnsi="BrownPro"/>
          <w:sz w:val="20"/>
          <w:szCs w:val="20"/>
        </w:rPr>
        <w:t>…………………………………………………</w:t>
      </w:r>
      <w:r w:rsidRPr="00F832AF">
        <w:rPr>
          <w:rFonts w:ascii="BrownPro" w:hAnsi="BrownPro"/>
          <w:sz w:val="20"/>
          <w:szCs w:val="20"/>
        </w:rPr>
        <w:tab/>
      </w:r>
      <w:r w:rsidR="00A46386">
        <w:rPr>
          <w:rFonts w:ascii="BrownPro" w:hAnsi="BrownPro"/>
          <w:sz w:val="20"/>
          <w:szCs w:val="20"/>
        </w:rPr>
        <w:tab/>
      </w:r>
      <w:r w:rsidR="00A46386">
        <w:rPr>
          <w:rFonts w:ascii="BrownPro" w:hAnsi="BrownPro"/>
          <w:sz w:val="20"/>
          <w:szCs w:val="20"/>
        </w:rPr>
        <w:tab/>
      </w:r>
      <w:r w:rsidRPr="00F832AF">
        <w:rPr>
          <w:rFonts w:ascii="BrownPro" w:hAnsi="BrownPro"/>
          <w:sz w:val="20"/>
          <w:szCs w:val="20"/>
        </w:rPr>
        <w:t>…………………………………………………</w:t>
      </w:r>
    </w:p>
    <w:p w14:paraId="39077569" w14:textId="24C1E004" w:rsidR="00F832AF" w:rsidRPr="00F832AF" w:rsidRDefault="0059170B" w:rsidP="00F832AF">
      <w:pPr>
        <w:tabs>
          <w:tab w:val="left" w:pos="2835"/>
          <w:tab w:val="left" w:pos="4536"/>
        </w:tabs>
        <w:spacing w:after="120" w:line="240" w:lineRule="auto"/>
        <w:jc w:val="both"/>
        <w:rPr>
          <w:rFonts w:ascii="BrownPro" w:hAnsi="BrownPro"/>
          <w:sz w:val="20"/>
          <w:szCs w:val="20"/>
        </w:rPr>
      </w:pPr>
      <w:r>
        <w:rPr>
          <w:rFonts w:ascii="BrownPro" w:hAnsi="BrownPro"/>
          <w:sz w:val="20"/>
          <w:szCs w:val="20"/>
        </w:rPr>
        <w:t xml:space="preserve">                       </w:t>
      </w:r>
      <w:r w:rsidR="00F832AF" w:rsidRPr="00F832AF">
        <w:rPr>
          <w:rFonts w:ascii="BrownPro" w:hAnsi="BrownPro"/>
          <w:sz w:val="20"/>
          <w:szCs w:val="20"/>
        </w:rPr>
        <w:t>obdarovaný</w:t>
      </w:r>
      <w:r w:rsidR="00F832AF" w:rsidRPr="00F832AF">
        <w:rPr>
          <w:rFonts w:ascii="BrownPro" w:hAnsi="BrownPro"/>
          <w:sz w:val="20"/>
          <w:szCs w:val="20"/>
        </w:rPr>
        <w:tab/>
      </w:r>
      <w:r w:rsidR="00F832AF" w:rsidRPr="00F832AF">
        <w:rPr>
          <w:rFonts w:ascii="BrownPro" w:hAnsi="BrownPro"/>
          <w:sz w:val="20"/>
          <w:szCs w:val="20"/>
        </w:rPr>
        <w:tab/>
      </w:r>
      <w:r>
        <w:rPr>
          <w:rFonts w:ascii="BrownPro" w:hAnsi="BrownPro"/>
          <w:sz w:val="20"/>
          <w:szCs w:val="20"/>
        </w:rPr>
        <w:t xml:space="preserve">                             </w:t>
      </w:r>
      <w:r w:rsidR="00F832AF" w:rsidRPr="00F832AF">
        <w:rPr>
          <w:rFonts w:ascii="BrownPro" w:hAnsi="BrownPro"/>
          <w:sz w:val="20"/>
          <w:szCs w:val="20"/>
        </w:rPr>
        <w:t>dárce</w:t>
      </w:r>
    </w:p>
    <w:sectPr w:rsidR="00F832AF" w:rsidRPr="00F832AF" w:rsidSect="0059170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wnPro">
    <w:altName w:val="Calibri"/>
    <w:panose1 w:val="00000000000000000000"/>
    <w:charset w:val="00"/>
    <w:family w:val="modern"/>
    <w:notTrueType/>
    <w:pitch w:val="variable"/>
    <w:sig w:usb0="A00000BF" w:usb1="4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A5"/>
    <w:rsid w:val="000171EB"/>
    <w:rsid w:val="00283769"/>
    <w:rsid w:val="0032144D"/>
    <w:rsid w:val="0059170B"/>
    <w:rsid w:val="005C627D"/>
    <w:rsid w:val="005D653B"/>
    <w:rsid w:val="00690955"/>
    <w:rsid w:val="0072255E"/>
    <w:rsid w:val="009231A5"/>
    <w:rsid w:val="009D1513"/>
    <w:rsid w:val="00A46386"/>
    <w:rsid w:val="00E133F1"/>
    <w:rsid w:val="00F8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ADA2"/>
  <w15:chartTrackingRefBased/>
  <w15:docId w15:val="{B4B913BA-4122-4739-87EB-DC7814CD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Posládková</dc:creator>
  <cp:keywords/>
  <dc:description/>
  <cp:lastModifiedBy>Jitka Kubíčková</cp:lastModifiedBy>
  <cp:revision>2</cp:revision>
  <dcterms:created xsi:type="dcterms:W3CDTF">2025-01-02T09:55:00Z</dcterms:created>
  <dcterms:modified xsi:type="dcterms:W3CDTF">2025-01-02T09:55:00Z</dcterms:modified>
</cp:coreProperties>
</file>