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700"/>
        <w:gridCol w:w="4088"/>
      </w:tblGrid>
      <w:tr w:rsidR="00E87F06" w14:paraId="2E448672" w14:textId="77777777" w:rsidTr="00E8168F">
        <w:tc>
          <w:tcPr>
            <w:tcW w:w="4606" w:type="dxa"/>
          </w:tcPr>
          <w:p w14:paraId="5E28C367" w14:textId="77777777" w:rsidR="00E87F06" w:rsidRPr="001A5B63" w:rsidRDefault="00E87F06" w:rsidP="00E8168F">
            <w:pPr>
              <w:pStyle w:val="Nadpis3"/>
              <w:jc w:val="center"/>
              <w:rPr>
                <w:rFonts w:ascii="CKGinis" w:hAnsi="CKGinis" w:cs="Tahoma"/>
                <w:b w:val="0"/>
                <w:sz w:val="60"/>
                <w:szCs w:val="60"/>
              </w:rPr>
            </w:pPr>
            <w:bookmarkStart w:id="0" w:name="Text18"/>
            <w:r w:rsidRPr="001A5B63">
              <w:rPr>
                <w:rFonts w:ascii="CKGinis" w:hAnsi="CKGinis"/>
                <w:b w:val="0"/>
                <w:sz w:val="60"/>
                <w:szCs w:val="60"/>
              </w:rPr>
              <w:t>*</w:t>
            </w:r>
            <w:bookmarkStart w:id="1" w:name="Text1"/>
            <w:bookmarkEnd w:id="0"/>
            <w:r w:rsidRPr="001A5B63">
              <w:rPr>
                <w:rFonts w:ascii="CKGinis" w:hAnsi="CKGinis"/>
                <w:b w:val="0"/>
                <w:sz w:val="60"/>
                <w:szCs w:val="60"/>
              </w:rPr>
              <w:fldChar w:fldCharType="begin" w:fldLock="1">
                <w:ffData>
                  <w:name w:val="Text1"/>
                  <w:enabled/>
                  <w:calcOnExit w:val="0"/>
                  <w:statusText w:type="text" w:val="MSWField: SML_HLA_IXP"/>
                  <w:textInput>
                    <w:default w:val="KUMSX033FY37"/>
                  </w:textInput>
                </w:ffData>
              </w:fldChar>
            </w:r>
            <w:r w:rsidRPr="001A5B63">
              <w:rPr>
                <w:rFonts w:ascii="CKGinis" w:hAnsi="CKGinis"/>
                <w:b w:val="0"/>
                <w:sz w:val="60"/>
                <w:szCs w:val="60"/>
              </w:rPr>
              <w:instrText xml:space="preserve">FORMTEXT </w:instrText>
            </w:r>
            <w:r w:rsidRPr="001A5B63">
              <w:rPr>
                <w:rFonts w:ascii="CKGinis" w:hAnsi="CKGinis"/>
                <w:b w:val="0"/>
                <w:sz w:val="60"/>
                <w:szCs w:val="60"/>
              </w:rPr>
            </w:r>
            <w:r w:rsidRPr="001A5B63">
              <w:rPr>
                <w:rFonts w:ascii="CKGinis" w:hAnsi="CKGinis"/>
                <w:b w:val="0"/>
                <w:sz w:val="60"/>
                <w:szCs w:val="60"/>
              </w:rPr>
              <w:fldChar w:fldCharType="separate"/>
            </w:r>
            <w:r w:rsidRPr="001A5B63">
              <w:rPr>
                <w:rFonts w:ascii="CKGinis" w:hAnsi="CKGinis"/>
                <w:b w:val="0"/>
                <w:sz w:val="60"/>
                <w:szCs w:val="60"/>
              </w:rPr>
              <w:t>KUMSX033FY37</w:t>
            </w:r>
            <w:r w:rsidRPr="001A5B63">
              <w:rPr>
                <w:rFonts w:ascii="CKGinis" w:hAnsi="CKGinis"/>
                <w:b w:val="0"/>
                <w:sz w:val="60"/>
                <w:szCs w:val="60"/>
              </w:rPr>
              <w:fldChar w:fldCharType="end"/>
            </w:r>
            <w:bookmarkEnd w:id="1"/>
            <w:r w:rsidRPr="001A5B63">
              <w:rPr>
                <w:rFonts w:ascii="CKGinis" w:hAnsi="CKGinis"/>
                <w:b w:val="0"/>
                <w:sz w:val="60"/>
                <w:szCs w:val="60"/>
              </w:rPr>
              <w:t>*</w:t>
            </w:r>
          </w:p>
        </w:tc>
        <w:tc>
          <w:tcPr>
            <w:tcW w:w="4606" w:type="dxa"/>
          </w:tcPr>
          <w:p w14:paraId="5CDD3B9B" w14:textId="77777777" w:rsidR="00E87F06" w:rsidRPr="00484BAE" w:rsidRDefault="00E87F06" w:rsidP="00E8168F">
            <w:pPr>
              <w:pStyle w:val="Nadpis3"/>
              <w:jc w:val="right"/>
              <w:rPr>
                <w:rFonts w:ascii="Tahoma" w:hAnsi="Tahoma" w:cs="Tahoma"/>
                <w:b w:val="0"/>
                <w:sz w:val="22"/>
                <w:szCs w:val="22"/>
              </w:rPr>
            </w:pPr>
            <w:r w:rsidRPr="00484BAE">
              <w:rPr>
                <w:rFonts w:ascii="Tahoma" w:hAnsi="Tahoma" w:cs="Tahoma"/>
                <w:b w:val="0"/>
                <w:sz w:val="22"/>
                <w:szCs w:val="22"/>
              </w:rPr>
              <w:t xml:space="preserve">Agendové číslo: </w:t>
            </w:r>
            <w:bookmarkStart w:id="2" w:name="Text20"/>
            <w:r w:rsidRPr="00484BAE">
              <w:rPr>
                <w:rFonts w:ascii="Tahoma" w:hAnsi="Tahoma"/>
                <w:sz w:val="22"/>
                <w:szCs w:val="22"/>
              </w:rPr>
              <w:fldChar w:fldCharType="begin" w:fldLock="1">
                <w:ffData>
                  <w:name w:val="Text2"/>
                  <w:enabled/>
                  <w:calcOnExit w:val="0"/>
                  <w:statusText w:type="text" w:val="MSWField: SML_HLA_AC_SML"/>
                  <w:textInput>
                    <w:default w:val="06399/2024/ŠMS"/>
                  </w:textInput>
                </w:ffData>
              </w:fldChar>
            </w:r>
            <w:r w:rsidRPr="00484BAE">
              <w:rPr>
                <w:rFonts w:ascii="Tahoma" w:hAnsi="Tahoma"/>
                <w:sz w:val="22"/>
                <w:szCs w:val="22"/>
              </w:rPr>
              <w:instrText xml:space="preserve">FORMTEXT </w:instrText>
            </w:r>
            <w:r w:rsidRPr="00484BAE">
              <w:rPr>
                <w:rFonts w:ascii="Tahoma" w:hAnsi="Tahoma"/>
                <w:sz w:val="22"/>
                <w:szCs w:val="22"/>
              </w:rPr>
            </w:r>
            <w:r w:rsidRPr="00484BAE">
              <w:rPr>
                <w:rFonts w:ascii="Tahoma" w:hAnsi="Tahoma"/>
                <w:sz w:val="22"/>
                <w:szCs w:val="22"/>
              </w:rPr>
              <w:fldChar w:fldCharType="separate"/>
            </w:r>
            <w:r w:rsidRPr="00484BAE">
              <w:rPr>
                <w:rFonts w:ascii="Tahoma" w:hAnsi="Tahoma"/>
                <w:sz w:val="22"/>
                <w:szCs w:val="22"/>
              </w:rPr>
              <w:t>06399/2024/ŠMS</w:t>
            </w:r>
            <w:r w:rsidRPr="00484BAE">
              <w:rPr>
                <w:rFonts w:ascii="Tahoma" w:hAnsi="Tahoma"/>
                <w:sz w:val="22"/>
                <w:szCs w:val="22"/>
              </w:rPr>
              <w:fldChar w:fldCharType="end"/>
            </w:r>
            <w:bookmarkEnd w:id="2"/>
          </w:p>
        </w:tc>
      </w:tr>
      <w:tr w:rsidR="00E87F06" w14:paraId="35694444" w14:textId="77777777" w:rsidTr="00E8168F">
        <w:tc>
          <w:tcPr>
            <w:tcW w:w="4606" w:type="dxa"/>
          </w:tcPr>
          <w:p w14:paraId="15E694CA" w14:textId="77777777" w:rsidR="00E87F06" w:rsidRPr="00484BAE" w:rsidRDefault="00E87F06" w:rsidP="00E8168F">
            <w:pPr>
              <w:pStyle w:val="Nadpis3"/>
              <w:jc w:val="center"/>
              <w:rPr>
                <w:rFonts w:ascii="Tahoma" w:hAnsi="Tahoma" w:cs="Tahoma"/>
                <w:b w:val="0"/>
                <w:sz w:val="22"/>
                <w:szCs w:val="22"/>
              </w:rPr>
            </w:pPr>
            <w:r w:rsidRPr="00484BAE">
              <w:rPr>
                <w:rFonts w:ascii="Tahoma" w:hAnsi="Tahoma" w:cs="Tahoma"/>
                <w:b w:val="0"/>
                <w:sz w:val="22"/>
                <w:szCs w:val="22"/>
              </w:rPr>
              <w:t xml:space="preserve">Identifikátor: </w:t>
            </w:r>
            <w:bookmarkStart w:id="3" w:name="Text19"/>
            <w:r w:rsidRPr="00484BAE">
              <w:rPr>
                <w:rFonts w:ascii="Tahoma" w:hAnsi="Tahoma"/>
                <w:sz w:val="22"/>
                <w:szCs w:val="22"/>
              </w:rPr>
              <w:fldChar w:fldCharType="begin" w:fldLock="1">
                <w:ffData>
                  <w:name w:val="Text3"/>
                  <w:enabled/>
                  <w:calcOnExit w:val="0"/>
                  <w:statusText w:type="text" w:val="MSWField: SML_HLA_IXP"/>
                  <w:textInput>
                    <w:default w:val="KUMSX033FY37"/>
                  </w:textInput>
                </w:ffData>
              </w:fldChar>
            </w:r>
            <w:r w:rsidRPr="00484BAE">
              <w:rPr>
                <w:rFonts w:ascii="Tahoma" w:hAnsi="Tahoma"/>
                <w:sz w:val="22"/>
                <w:szCs w:val="22"/>
              </w:rPr>
              <w:instrText xml:space="preserve">FORMTEXT </w:instrText>
            </w:r>
            <w:r w:rsidRPr="00484BAE">
              <w:rPr>
                <w:rFonts w:ascii="Tahoma" w:hAnsi="Tahoma"/>
                <w:sz w:val="22"/>
                <w:szCs w:val="22"/>
              </w:rPr>
            </w:r>
            <w:r w:rsidRPr="00484BAE">
              <w:rPr>
                <w:rFonts w:ascii="Tahoma" w:hAnsi="Tahoma"/>
                <w:sz w:val="22"/>
                <w:szCs w:val="22"/>
              </w:rPr>
              <w:fldChar w:fldCharType="separate"/>
            </w:r>
            <w:r w:rsidRPr="00484BAE">
              <w:rPr>
                <w:rFonts w:ascii="Tahoma" w:hAnsi="Tahoma"/>
                <w:sz w:val="22"/>
                <w:szCs w:val="22"/>
              </w:rPr>
              <w:t>KUMSX033FY37</w:t>
            </w:r>
            <w:r w:rsidRPr="00484BAE">
              <w:rPr>
                <w:rFonts w:ascii="Tahoma" w:hAnsi="Tahoma"/>
                <w:sz w:val="22"/>
                <w:szCs w:val="22"/>
              </w:rPr>
              <w:fldChar w:fldCharType="end"/>
            </w:r>
            <w:bookmarkEnd w:id="3"/>
          </w:p>
        </w:tc>
        <w:tc>
          <w:tcPr>
            <w:tcW w:w="4606" w:type="dxa"/>
          </w:tcPr>
          <w:p w14:paraId="49E6C6E6" w14:textId="77777777" w:rsidR="00E87F06" w:rsidRPr="00022882" w:rsidRDefault="00E87F06" w:rsidP="00E8168F">
            <w:pPr>
              <w:pStyle w:val="Nadpis3"/>
              <w:jc w:val="center"/>
              <w:rPr>
                <w:rFonts w:ascii="Tahoma" w:hAnsi="Tahoma" w:cs="Tahoma"/>
              </w:rPr>
            </w:pPr>
          </w:p>
        </w:tc>
      </w:tr>
    </w:tbl>
    <w:p w14:paraId="3CEB482A" w14:textId="77777777" w:rsidR="00E87F06" w:rsidRDefault="00E87F06" w:rsidP="00064904">
      <w:pPr>
        <w:jc w:val="center"/>
        <w:rPr>
          <w:b/>
        </w:rPr>
      </w:pPr>
    </w:p>
    <w:p w14:paraId="582709D9" w14:textId="4222678C" w:rsidR="00555F31" w:rsidRPr="00D20BF8" w:rsidRDefault="00064904" w:rsidP="00064904">
      <w:pPr>
        <w:jc w:val="center"/>
        <w:rPr>
          <w:b/>
        </w:rPr>
      </w:pPr>
      <w:r w:rsidRPr="00D20BF8">
        <w:rPr>
          <w:b/>
        </w:rPr>
        <w:t>Nájemní smlouva</w:t>
      </w:r>
      <w:r w:rsidR="00165FC1">
        <w:rPr>
          <w:b/>
        </w:rPr>
        <w:t xml:space="preserve"> č.</w:t>
      </w:r>
      <w:r w:rsidR="00762464">
        <w:rPr>
          <w:b/>
        </w:rPr>
        <w:t xml:space="preserve"> </w:t>
      </w:r>
      <w:r w:rsidR="00C6568B">
        <w:rPr>
          <w:b/>
        </w:rPr>
        <w:t>5</w:t>
      </w:r>
      <w:r w:rsidR="00762464">
        <w:rPr>
          <w:b/>
        </w:rPr>
        <w:t>/2024</w:t>
      </w:r>
    </w:p>
    <w:p w14:paraId="79A3C3D4" w14:textId="2D419E09" w:rsidR="00064904" w:rsidRDefault="00C83FAA" w:rsidP="00064904">
      <w:pPr>
        <w:jc w:val="center"/>
      </w:pPr>
      <w:r>
        <w:t xml:space="preserve">uzavřená </w:t>
      </w:r>
      <w:r w:rsidR="00064904">
        <w:t>dle ust</w:t>
      </w:r>
      <w:r w:rsidR="00CE6F27">
        <w:t>anovení § 2201</w:t>
      </w:r>
      <w:r w:rsidR="00D20BF8">
        <w:t xml:space="preserve"> a násl. zákona č</w:t>
      </w:r>
      <w:r w:rsidR="00064904">
        <w:t>. 89/2012</w:t>
      </w:r>
      <w:r w:rsidR="00BB3D31">
        <w:t xml:space="preserve"> Sb.</w:t>
      </w:r>
      <w:r w:rsidR="00064904">
        <w:t>, Občanského zákoníku</w:t>
      </w:r>
      <w:r w:rsidR="00D03639">
        <w:t xml:space="preserve">, </w:t>
      </w:r>
      <w:r w:rsidR="00D03639" w:rsidRPr="00D03639">
        <w:t>ve znění pozdějších předpisů</w:t>
      </w:r>
      <w:r w:rsidR="00D03639">
        <w:t xml:space="preserve"> </w:t>
      </w:r>
      <w:r w:rsidR="00064904">
        <w:t>mezi níže uvedenými účastníky:</w:t>
      </w:r>
    </w:p>
    <w:p w14:paraId="1A9C9C5F" w14:textId="77777777" w:rsidR="00D20BF8" w:rsidRDefault="00D20BF8" w:rsidP="00064904">
      <w:pPr>
        <w:jc w:val="center"/>
      </w:pPr>
    </w:p>
    <w:p w14:paraId="0527A1D6" w14:textId="77777777" w:rsidR="00D20BF8" w:rsidRDefault="00D20BF8" w:rsidP="00064904">
      <w:pPr>
        <w:jc w:val="center"/>
      </w:pPr>
    </w:p>
    <w:p w14:paraId="5C78407E" w14:textId="77777777" w:rsidR="00D20BF8" w:rsidRPr="00DA5478" w:rsidRDefault="00D20BF8" w:rsidP="005B7A2B">
      <w:pPr>
        <w:spacing w:after="0" w:line="360" w:lineRule="auto"/>
      </w:pPr>
      <w:r w:rsidRPr="00DA5478">
        <w:t>1.</w:t>
      </w:r>
      <w:r w:rsidRPr="00DA5478">
        <w:tab/>
        <w:t>Správa účelových zařízení, příspěvková organizace</w:t>
      </w:r>
    </w:p>
    <w:p w14:paraId="0C4F12FE" w14:textId="77777777" w:rsidR="00D20BF8" w:rsidRPr="00DA5478" w:rsidRDefault="00D20BF8" w:rsidP="005B7A2B">
      <w:pPr>
        <w:spacing w:after="0" w:line="360" w:lineRule="auto"/>
      </w:pPr>
      <w:r w:rsidRPr="00DA5478">
        <w:tab/>
        <w:t>Se sídlem</w:t>
      </w:r>
      <w:r w:rsidR="00357DC2" w:rsidRPr="00DA5478">
        <w:t xml:space="preserve"> Svojsíkova 833, 737 01 Český Tě</w:t>
      </w:r>
      <w:r w:rsidRPr="00DA5478">
        <w:t>šín</w:t>
      </w:r>
    </w:p>
    <w:p w14:paraId="50985F5B" w14:textId="77777777" w:rsidR="00D20BF8" w:rsidRPr="00DA5478" w:rsidRDefault="00D20BF8" w:rsidP="005B7A2B">
      <w:pPr>
        <w:spacing w:after="0" w:line="360" w:lineRule="auto"/>
      </w:pPr>
      <w:r w:rsidRPr="00DA5478">
        <w:tab/>
        <w:t>IČ: 75107040</w:t>
      </w:r>
    </w:p>
    <w:p w14:paraId="06C9EAFE" w14:textId="40772877" w:rsidR="00EC717B" w:rsidRPr="00C743CB" w:rsidRDefault="00D20BF8" w:rsidP="005B7A2B">
      <w:pPr>
        <w:spacing w:after="0" w:line="360" w:lineRule="auto"/>
      </w:pPr>
      <w:r w:rsidRPr="00DA5478">
        <w:tab/>
      </w:r>
      <w:r w:rsidR="00EC717B">
        <w:t xml:space="preserve">DIČ: </w:t>
      </w:r>
      <w:r w:rsidR="00C743CB" w:rsidRPr="00C743CB">
        <w:t>CZ75107040</w:t>
      </w:r>
    </w:p>
    <w:p w14:paraId="008F1209" w14:textId="3F1AEB84" w:rsidR="00D20BF8" w:rsidRDefault="00D20BF8" w:rsidP="006337EA">
      <w:pPr>
        <w:spacing w:after="0" w:line="360" w:lineRule="auto"/>
        <w:ind w:firstLine="708"/>
      </w:pPr>
      <w:r w:rsidRPr="00DA5478">
        <w:t>Zastoupena</w:t>
      </w:r>
      <w:r w:rsidR="00762464">
        <w:t>:</w:t>
      </w:r>
      <w:r w:rsidRPr="00DA5478">
        <w:t xml:space="preserve"> Ing. </w:t>
      </w:r>
      <w:r w:rsidR="00F8461F">
        <w:t>Lenkou Tomkovou</w:t>
      </w:r>
      <w:r w:rsidRPr="00DA5478">
        <w:t xml:space="preserve"> – ředitel</w:t>
      </w:r>
      <w:r w:rsidR="00F8461F">
        <w:t>kou</w:t>
      </w:r>
    </w:p>
    <w:p w14:paraId="018E2B70" w14:textId="63940D9E" w:rsidR="00EC717B" w:rsidRPr="00DA5478" w:rsidRDefault="00EC717B" w:rsidP="005B7A2B">
      <w:pPr>
        <w:spacing w:after="0" w:line="360" w:lineRule="auto"/>
      </w:pPr>
      <w:r>
        <w:tab/>
      </w:r>
      <w:r w:rsidR="009B33B5">
        <w:t xml:space="preserve">bankovní spojení: </w:t>
      </w:r>
      <w:r w:rsidR="009D1951">
        <w:t xml:space="preserve">Česká spořitelna č.ú.: </w:t>
      </w:r>
      <w:r w:rsidR="00085F49">
        <w:t>xxxxxxxxxxxxxx</w:t>
      </w:r>
    </w:p>
    <w:p w14:paraId="0BB38CEF" w14:textId="77777777" w:rsidR="00F514C4" w:rsidRPr="00D20BF8" w:rsidRDefault="00F514C4" w:rsidP="005B7A2B">
      <w:pPr>
        <w:spacing w:after="0" w:line="360" w:lineRule="auto"/>
        <w:rPr>
          <w:b/>
        </w:rPr>
      </w:pPr>
      <w:r>
        <w:rPr>
          <w:b/>
        </w:rPr>
        <w:tab/>
        <w:t>(dále jen pronajímatel)</w:t>
      </w:r>
    </w:p>
    <w:p w14:paraId="02326001" w14:textId="77777777" w:rsidR="00D20BF8" w:rsidRPr="00D20BF8" w:rsidRDefault="00D20BF8" w:rsidP="005B7A2B">
      <w:pPr>
        <w:spacing w:after="0" w:line="360" w:lineRule="auto"/>
        <w:rPr>
          <w:b/>
        </w:rPr>
      </w:pPr>
    </w:p>
    <w:p w14:paraId="6199C7A9" w14:textId="6E80A345" w:rsidR="00D20BF8" w:rsidRDefault="005B7A2B" w:rsidP="005B7A2B">
      <w:pPr>
        <w:spacing w:after="0" w:line="360" w:lineRule="auto"/>
        <w:rPr>
          <w:b/>
        </w:rPr>
      </w:pPr>
      <w:r>
        <w:rPr>
          <w:b/>
        </w:rPr>
        <w:t>a</w:t>
      </w:r>
    </w:p>
    <w:p w14:paraId="512B924C" w14:textId="77777777" w:rsidR="005B7A2B" w:rsidRPr="005B7A2B" w:rsidRDefault="005B7A2B" w:rsidP="005B7A2B">
      <w:pPr>
        <w:spacing w:after="0" w:line="360" w:lineRule="auto"/>
      </w:pPr>
    </w:p>
    <w:p w14:paraId="4533874B" w14:textId="3359DEAF" w:rsidR="00646FC4" w:rsidRDefault="001B3831" w:rsidP="005B7A2B">
      <w:pPr>
        <w:spacing w:after="0" w:line="360" w:lineRule="auto"/>
      </w:pPr>
      <w:r w:rsidRPr="00DA5478">
        <w:t>2.</w:t>
      </w:r>
      <w:r w:rsidRPr="00DA5478">
        <w:tab/>
      </w:r>
      <w:r w:rsidR="00762464">
        <w:t>Moravskoslezský kraj</w:t>
      </w:r>
    </w:p>
    <w:p w14:paraId="19C0B1D9" w14:textId="125C8C57" w:rsidR="00762464" w:rsidRDefault="00762464" w:rsidP="005B7A2B">
      <w:pPr>
        <w:spacing w:after="0" w:line="360" w:lineRule="auto"/>
        <w:rPr>
          <w:color w:val="000000" w:themeColor="text1"/>
        </w:rPr>
      </w:pPr>
      <w:r>
        <w:rPr>
          <w:color w:val="000000" w:themeColor="text1"/>
        </w:rPr>
        <w:tab/>
        <w:t>Se sídlem 28. října 2771/117, 702 00 Ostrava</w:t>
      </w:r>
    </w:p>
    <w:p w14:paraId="03809557" w14:textId="07366561" w:rsidR="00762464" w:rsidRDefault="00762464" w:rsidP="005B7A2B">
      <w:pPr>
        <w:spacing w:after="0" w:line="360" w:lineRule="auto"/>
        <w:rPr>
          <w:color w:val="000000" w:themeColor="text1"/>
        </w:rPr>
      </w:pPr>
      <w:r>
        <w:rPr>
          <w:color w:val="000000" w:themeColor="text1"/>
        </w:rPr>
        <w:tab/>
        <w:t>IČ: 70890692</w:t>
      </w:r>
    </w:p>
    <w:p w14:paraId="4CDBF6C8" w14:textId="79311C88" w:rsidR="00762464" w:rsidRDefault="00762464" w:rsidP="005B7A2B">
      <w:pPr>
        <w:spacing w:after="0" w:line="360" w:lineRule="auto"/>
        <w:rPr>
          <w:color w:val="000000" w:themeColor="text1"/>
        </w:rPr>
      </w:pPr>
      <w:r>
        <w:rPr>
          <w:color w:val="000000" w:themeColor="text1"/>
        </w:rPr>
        <w:tab/>
      </w:r>
      <w:r w:rsidR="00742F6C" w:rsidRPr="00B05BE8">
        <w:rPr>
          <w:color w:val="000000" w:themeColor="text1"/>
        </w:rPr>
        <w:t>DIČ: CZ70890692</w:t>
      </w:r>
    </w:p>
    <w:p w14:paraId="3AB20AD2" w14:textId="15A4FE91" w:rsidR="00B05BE8" w:rsidRPr="00B05BE8" w:rsidRDefault="00F7246D" w:rsidP="006337EA">
      <w:pPr>
        <w:spacing w:after="0" w:line="360" w:lineRule="auto"/>
        <w:ind w:firstLine="708"/>
        <w:rPr>
          <w:color w:val="000000" w:themeColor="text1"/>
        </w:rPr>
      </w:pPr>
      <w:r w:rsidRPr="00F7246D">
        <w:rPr>
          <w:color w:val="000000" w:themeColor="text1"/>
        </w:rPr>
        <w:t>Zastoupen: RNDr. Janem Veřmiřovským, Ph.D., MBA, LL.M., náměstkem hejtmana kraje</w:t>
      </w:r>
    </w:p>
    <w:p w14:paraId="57DA01B3" w14:textId="34665421" w:rsidR="00B05BE8" w:rsidRPr="00DA5478" w:rsidRDefault="00B05BE8" w:rsidP="006337EA">
      <w:pPr>
        <w:spacing w:after="0" w:line="360" w:lineRule="auto"/>
        <w:ind w:firstLine="708"/>
        <w:rPr>
          <w:color w:val="000000" w:themeColor="text1"/>
        </w:rPr>
      </w:pPr>
      <w:r w:rsidRPr="00B05BE8">
        <w:rPr>
          <w:color w:val="000000" w:themeColor="text1"/>
        </w:rPr>
        <w:t>bankovní spojení: Česká spořitelna</w:t>
      </w:r>
      <w:r w:rsidR="009D1951">
        <w:rPr>
          <w:color w:val="000000" w:themeColor="text1"/>
        </w:rPr>
        <w:t xml:space="preserve"> č.ú.:</w:t>
      </w:r>
      <w:r w:rsidRPr="00B05BE8">
        <w:rPr>
          <w:color w:val="000000" w:themeColor="text1"/>
        </w:rPr>
        <w:t xml:space="preserve"> </w:t>
      </w:r>
      <w:r w:rsidR="00085F49">
        <w:rPr>
          <w:color w:val="000000" w:themeColor="text1"/>
        </w:rPr>
        <w:t>xxxxxxxxxxxxxxx</w:t>
      </w:r>
    </w:p>
    <w:p w14:paraId="64DA236F" w14:textId="6AA979D7" w:rsidR="00646FC4" w:rsidRPr="00646FC4" w:rsidRDefault="00646FC4" w:rsidP="005B7A2B">
      <w:pPr>
        <w:spacing w:after="0" w:line="360" w:lineRule="auto"/>
        <w:ind w:firstLine="708"/>
        <w:rPr>
          <w:b/>
          <w:color w:val="000000" w:themeColor="text1"/>
        </w:rPr>
      </w:pPr>
      <w:r>
        <w:rPr>
          <w:b/>
          <w:color w:val="000000" w:themeColor="text1"/>
        </w:rPr>
        <w:t>(dále jen nájemce)</w:t>
      </w:r>
    </w:p>
    <w:p w14:paraId="1490B9AF" w14:textId="77777777" w:rsidR="00D20BF8" w:rsidRDefault="00D20BF8" w:rsidP="00D20BF8">
      <w:pPr>
        <w:rPr>
          <w:b/>
        </w:rPr>
      </w:pPr>
    </w:p>
    <w:p w14:paraId="0F30214E" w14:textId="77777777" w:rsidR="00F514C4" w:rsidRDefault="00F514C4" w:rsidP="009078BC">
      <w:pPr>
        <w:spacing w:after="0"/>
        <w:jc w:val="center"/>
        <w:rPr>
          <w:b/>
        </w:rPr>
      </w:pPr>
      <w:r w:rsidRPr="009B0DDD">
        <w:rPr>
          <w:b/>
        </w:rPr>
        <w:t>I.</w:t>
      </w:r>
    </w:p>
    <w:p w14:paraId="447A5FB0" w14:textId="77777777" w:rsidR="009B0DDD" w:rsidRPr="009B0DDD" w:rsidRDefault="009B0DDD" w:rsidP="00F514C4">
      <w:pPr>
        <w:jc w:val="center"/>
        <w:rPr>
          <w:b/>
        </w:rPr>
      </w:pPr>
      <w:r>
        <w:rPr>
          <w:b/>
        </w:rPr>
        <w:t>Obecná ustanovení</w:t>
      </w:r>
    </w:p>
    <w:p w14:paraId="25B5BF2D" w14:textId="77777777" w:rsidR="00F514C4" w:rsidRDefault="001A213A" w:rsidP="00AC2795">
      <w:pPr>
        <w:ind w:left="708" w:hanging="708"/>
        <w:jc w:val="both"/>
      </w:pPr>
      <w:r>
        <w:t>1.1.</w:t>
      </w:r>
      <w:r>
        <w:tab/>
      </w:r>
      <w:r w:rsidR="00F514C4">
        <w:t xml:space="preserve">Pronajímatel prohlašuje, že </w:t>
      </w:r>
      <w:r>
        <w:t xml:space="preserve">vystupuje v právních vztazích svým jménem a nese odpovědnost z těchto vztahů vyplývající. </w:t>
      </w:r>
    </w:p>
    <w:p w14:paraId="4873EBD4" w14:textId="0FBDFB60" w:rsidR="001A213A" w:rsidRDefault="001A213A" w:rsidP="00AC2795">
      <w:pPr>
        <w:ind w:left="708" w:hanging="708"/>
        <w:jc w:val="both"/>
      </w:pPr>
      <w:r>
        <w:t>1.2.</w:t>
      </w:r>
      <w:r>
        <w:tab/>
        <w:t>Pronajímatel</w:t>
      </w:r>
      <w:r w:rsidR="005C26F3">
        <w:t>i</w:t>
      </w:r>
      <w:r>
        <w:t xml:space="preserve"> je na základě</w:t>
      </w:r>
      <w:r w:rsidR="001B3831">
        <w:t xml:space="preserve"> </w:t>
      </w:r>
      <w:r w:rsidR="001B3831" w:rsidRPr="00384ED5">
        <w:rPr>
          <w:color w:val="000000" w:themeColor="text1"/>
        </w:rPr>
        <w:t>přílo</w:t>
      </w:r>
      <w:r w:rsidR="00F71706">
        <w:rPr>
          <w:color w:val="000000" w:themeColor="text1"/>
        </w:rPr>
        <w:t>hy</w:t>
      </w:r>
      <w:r w:rsidR="001B3831" w:rsidRPr="00384ED5">
        <w:rPr>
          <w:color w:val="000000" w:themeColor="text1"/>
        </w:rPr>
        <w:t xml:space="preserve"> č.</w:t>
      </w:r>
      <w:r w:rsidR="00253AF8">
        <w:rPr>
          <w:color w:val="000000" w:themeColor="text1"/>
        </w:rPr>
        <w:t xml:space="preserve"> </w:t>
      </w:r>
      <w:r w:rsidR="001B3831" w:rsidRPr="00384ED5">
        <w:rPr>
          <w:color w:val="000000" w:themeColor="text1"/>
        </w:rPr>
        <w:t xml:space="preserve">1 </w:t>
      </w:r>
      <w:r w:rsidR="00253AF8" w:rsidRPr="00384ED5">
        <w:rPr>
          <w:color w:val="000000" w:themeColor="text1"/>
        </w:rPr>
        <w:t>zř</w:t>
      </w:r>
      <w:r w:rsidR="00253AF8">
        <w:rPr>
          <w:color w:val="000000" w:themeColor="text1"/>
        </w:rPr>
        <w:t>i</w:t>
      </w:r>
      <w:r w:rsidR="00253AF8" w:rsidRPr="00384ED5">
        <w:rPr>
          <w:color w:val="000000" w:themeColor="text1"/>
        </w:rPr>
        <w:t xml:space="preserve">zovací </w:t>
      </w:r>
      <w:r w:rsidR="001B3831" w:rsidRPr="00384ED5">
        <w:rPr>
          <w:color w:val="000000" w:themeColor="text1"/>
        </w:rPr>
        <w:t xml:space="preserve">listiny </w:t>
      </w:r>
      <w:r w:rsidR="005C26F3" w:rsidRPr="00384ED5">
        <w:rPr>
          <w:color w:val="000000" w:themeColor="text1"/>
        </w:rPr>
        <w:t>svěřen do správy</w:t>
      </w:r>
      <w:r w:rsidR="001B3831" w:rsidRPr="00384ED5">
        <w:rPr>
          <w:color w:val="000000" w:themeColor="text1"/>
        </w:rPr>
        <w:t xml:space="preserve"> </w:t>
      </w:r>
      <w:r w:rsidR="00CF76B0" w:rsidRPr="00384ED5">
        <w:rPr>
          <w:color w:val="000000" w:themeColor="text1"/>
        </w:rPr>
        <w:t>nebytový prostor</w:t>
      </w:r>
      <w:r w:rsidR="001B3831" w:rsidRPr="00384ED5">
        <w:rPr>
          <w:color w:val="000000" w:themeColor="text1"/>
        </w:rPr>
        <w:t xml:space="preserve"> </w:t>
      </w:r>
      <w:r w:rsidR="00A92690">
        <w:rPr>
          <w:color w:val="000000" w:themeColor="text1"/>
        </w:rPr>
        <w:t>–</w:t>
      </w:r>
      <w:r w:rsidR="001B3831" w:rsidRPr="00384ED5">
        <w:rPr>
          <w:color w:val="000000" w:themeColor="text1"/>
        </w:rPr>
        <w:t xml:space="preserve"> </w:t>
      </w:r>
      <w:r w:rsidR="00A92690" w:rsidRPr="00A92690">
        <w:rPr>
          <w:b/>
          <w:bCs/>
          <w:color w:val="000000" w:themeColor="text1"/>
        </w:rPr>
        <w:t>všechny místnosti</w:t>
      </w:r>
      <w:r w:rsidR="005C26F3" w:rsidRPr="00384ED5">
        <w:rPr>
          <w:color w:val="000000" w:themeColor="text1"/>
        </w:rPr>
        <w:t xml:space="preserve"> nacházející se v</w:t>
      </w:r>
      <w:r w:rsidR="001B3831" w:rsidRPr="00384ED5">
        <w:rPr>
          <w:color w:val="000000" w:themeColor="text1"/>
        </w:rPr>
        <w:t xml:space="preserve"> budově Z</w:t>
      </w:r>
      <w:r w:rsidR="00A92690">
        <w:rPr>
          <w:color w:val="000000" w:themeColor="text1"/>
        </w:rPr>
        <w:t xml:space="preserve">imního </w:t>
      </w:r>
      <w:r w:rsidR="005D2D40">
        <w:rPr>
          <w:color w:val="000000" w:themeColor="text1"/>
        </w:rPr>
        <w:t>stadionu</w:t>
      </w:r>
      <w:r w:rsidR="005D2D40" w:rsidRPr="00384ED5">
        <w:rPr>
          <w:color w:val="000000" w:themeColor="text1"/>
        </w:rPr>
        <w:t xml:space="preserve"> </w:t>
      </w:r>
      <w:r w:rsidR="001B3831" w:rsidRPr="00384ED5">
        <w:rPr>
          <w:color w:val="000000" w:themeColor="text1"/>
        </w:rPr>
        <w:t>na ul. Svojsíkové č</w:t>
      </w:r>
      <w:r w:rsidR="00253AF8">
        <w:rPr>
          <w:color w:val="000000" w:themeColor="text1"/>
        </w:rPr>
        <w:t xml:space="preserve">. </w:t>
      </w:r>
      <w:r w:rsidR="001B3831" w:rsidRPr="00384ED5">
        <w:rPr>
          <w:color w:val="000000" w:themeColor="text1"/>
        </w:rPr>
        <w:t xml:space="preserve">p. </w:t>
      </w:r>
      <w:r w:rsidR="00384ED5" w:rsidRPr="00384ED5">
        <w:rPr>
          <w:color w:val="000000" w:themeColor="text1"/>
        </w:rPr>
        <w:t>1860</w:t>
      </w:r>
      <w:r w:rsidR="001B3831" w:rsidRPr="00384ED5">
        <w:rPr>
          <w:color w:val="000000" w:themeColor="text1"/>
        </w:rPr>
        <w:t>, Český Těšín</w:t>
      </w:r>
      <w:r w:rsidR="005C26F3" w:rsidRPr="00384ED5">
        <w:rPr>
          <w:color w:val="000000" w:themeColor="text1"/>
        </w:rPr>
        <w:t xml:space="preserve">, kterýžto je ve vlastnictví Města Český Těšín, se sídlem náměstí ČSA 1/1, Český </w:t>
      </w:r>
      <w:r w:rsidR="005C26F3" w:rsidRPr="00384ED5">
        <w:rPr>
          <w:color w:val="000000" w:themeColor="text1"/>
        </w:rPr>
        <w:lastRenderedPageBreak/>
        <w:t xml:space="preserve">Těšín, IČ: </w:t>
      </w:r>
      <w:r w:rsidR="00AC2795" w:rsidRPr="00384ED5">
        <w:rPr>
          <w:color w:val="000000" w:themeColor="text1"/>
        </w:rPr>
        <w:t xml:space="preserve">00297437 a je </w:t>
      </w:r>
      <w:r w:rsidR="00AC2795">
        <w:t>zapsán na listu vlastnictví č</w:t>
      </w:r>
      <w:r w:rsidR="00384ED5">
        <w:t>.</w:t>
      </w:r>
      <w:r w:rsidR="00253AF8">
        <w:t xml:space="preserve"> </w:t>
      </w:r>
      <w:r w:rsidR="00384ED5">
        <w:t>10001</w:t>
      </w:r>
      <w:r w:rsidR="00AC2795">
        <w:t xml:space="preserve">, vedeném katastrálním úřadem pro Moravskoslezský kraj, Katastrální pracoviště Karviná. </w:t>
      </w:r>
    </w:p>
    <w:p w14:paraId="63C469F9" w14:textId="6C220460" w:rsidR="00384ED5" w:rsidRDefault="00AC2795" w:rsidP="00D03511">
      <w:pPr>
        <w:spacing w:after="0"/>
        <w:ind w:left="709" w:hanging="709"/>
        <w:jc w:val="both"/>
      </w:pPr>
      <w:r>
        <w:t>1.3.</w:t>
      </w:r>
      <w:r>
        <w:tab/>
      </w:r>
      <w:r w:rsidR="00CF76B0">
        <w:t>V</w:t>
      </w:r>
      <w:r w:rsidR="001B3831">
        <w:t xml:space="preserve"> </w:t>
      </w:r>
      <w:r w:rsidR="001B3831" w:rsidRPr="00384ED5">
        <w:rPr>
          <w:color w:val="000000" w:themeColor="text1"/>
        </w:rPr>
        <w:t xml:space="preserve">budově </w:t>
      </w:r>
      <w:r w:rsidR="0086222A" w:rsidRPr="00384ED5">
        <w:rPr>
          <w:color w:val="000000" w:themeColor="text1"/>
        </w:rPr>
        <w:t>Z</w:t>
      </w:r>
      <w:r w:rsidR="0086222A">
        <w:rPr>
          <w:color w:val="000000" w:themeColor="text1"/>
        </w:rPr>
        <w:t>imního stadionu</w:t>
      </w:r>
      <w:r w:rsidR="0086222A" w:rsidRPr="00384ED5">
        <w:rPr>
          <w:color w:val="000000" w:themeColor="text1"/>
        </w:rPr>
        <w:t xml:space="preserve"> </w:t>
      </w:r>
      <w:r w:rsidR="00CF76B0">
        <w:t>se nac</w:t>
      </w:r>
      <w:r w:rsidR="0050052D">
        <w:t>hází nebytov</w:t>
      </w:r>
      <w:r w:rsidR="00384ED5">
        <w:t>é</w:t>
      </w:r>
      <w:r w:rsidR="0050052D">
        <w:t xml:space="preserve"> prostor</w:t>
      </w:r>
      <w:r w:rsidR="00384ED5">
        <w:t xml:space="preserve">y </w:t>
      </w:r>
      <w:r w:rsidR="00A92690">
        <w:t>určené k pronájmu</w:t>
      </w:r>
      <w:r w:rsidR="00384ED5">
        <w:t xml:space="preserve">: </w:t>
      </w:r>
    </w:p>
    <w:p w14:paraId="17684D13" w14:textId="298C8A8E" w:rsidR="000713B3" w:rsidRDefault="00A92690" w:rsidP="00D03511">
      <w:pPr>
        <w:ind w:left="709" w:hanging="709"/>
        <w:contextualSpacing/>
        <w:jc w:val="both"/>
      </w:pPr>
      <w:r>
        <w:tab/>
      </w:r>
      <w:r w:rsidR="0086222A">
        <w:t>- Ledová plocha</w:t>
      </w:r>
      <w:r w:rsidR="002C2BA4">
        <w:t>,</w:t>
      </w:r>
    </w:p>
    <w:p w14:paraId="3DADFCBA" w14:textId="4C2844C1" w:rsidR="00A92690" w:rsidRDefault="0086222A" w:rsidP="00D03511">
      <w:pPr>
        <w:ind w:left="709" w:hanging="1"/>
        <w:contextualSpacing/>
        <w:jc w:val="both"/>
      </w:pPr>
      <w:r>
        <w:t xml:space="preserve">- </w:t>
      </w:r>
      <w:r w:rsidR="00A92690">
        <w:t xml:space="preserve">Šatny – </w:t>
      </w:r>
      <w:r w:rsidR="00B07930">
        <w:t>čísla místností – 222, 225, 137, 138, 145, 155, 163</w:t>
      </w:r>
      <w:r w:rsidR="002C2BA4" w:rsidRPr="00904BC5">
        <w:t>,</w:t>
      </w:r>
    </w:p>
    <w:p w14:paraId="511791C1" w14:textId="59D255C0" w:rsidR="0086222A" w:rsidRDefault="0086222A" w:rsidP="00D03511">
      <w:pPr>
        <w:ind w:left="709" w:hanging="1"/>
        <w:contextualSpacing/>
        <w:jc w:val="both"/>
      </w:pPr>
      <w:r>
        <w:t>- Víceúčelové hřiště (tenisový kurt)</w:t>
      </w:r>
      <w:r w:rsidRPr="0086222A">
        <w:t xml:space="preserve"> </w:t>
      </w:r>
      <w:r>
        <w:t>– 1 místnost</w:t>
      </w:r>
      <w:r w:rsidR="002C2BA4">
        <w:t>,</w:t>
      </w:r>
    </w:p>
    <w:p w14:paraId="3B00BAC7" w14:textId="7530835C" w:rsidR="00A92690" w:rsidRDefault="00A92690" w:rsidP="00D03511">
      <w:pPr>
        <w:ind w:left="709" w:hanging="709"/>
        <w:contextualSpacing/>
        <w:jc w:val="both"/>
      </w:pPr>
      <w:r>
        <w:tab/>
      </w:r>
      <w:r w:rsidR="0086222A">
        <w:t>- T</w:t>
      </w:r>
      <w:r>
        <w:t>ělocvična – 1 místnost</w:t>
      </w:r>
      <w:r w:rsidR="002C2BA4">
        <w:t>,</w:t>
      </w:r>
    </w:p>
    <w:p w14:paraId="48D0A709" w14:textId="612C4DBE" w:rsidR="00A92690" w:rsidRDefault="00A92690" w:rsidP="00D03511">
      <w:pPr>
        <w:ind w:left="708" w:hanging="708"/>
        <w:jc w:val="both"/>
      </w:pPr>
      <w:r>
        <w:tab/>
      </w:r>
      <w:r w:rsidR="00A37DE6">
        <w:t xml:space="preserve">- </w:t>
      </w:r>
      <w:r w:rsidR="000713B3">
        <w:t>Ostatní prostory pro zabezpečení sportovní činnosti</w:t>
      </w:r>
      <w:r w:rsidR="00997930">
        <w:t xml:space="preserve"> (prostor na chodbách a před bufetem)</w:t>
      </w:r>
      <w:r w:rsidR="002C2BA4">
        <w:t>.</w:t>
      </w:r>
    </w:p>
    <w:p w14:paraId="7A815C0A" w14:textId="77777777" w:rsidR="00C21082" w:rsidRDefault="00C21082" w:rsidP="00997930">
      <w:pPr>
        <w:ind w:left="708" w:hanging="708"/>
        <w:jc w:val="both"/>
      </w:pPr>
    </w:p>
    <w:p w14:paraId="02CCA53D" w14:textId="6FF08DEB" w:rsidR="00997930" w:rsidRDefault="00997930" w:rsidP="00997930">
      <w:pPr>
        <w:ind w:left="708" w:hanging="708"/>
        <w:jc w:val="both"/>
      </w:pPr>
      <w:r>
        <w:t>Součástí pronájmu rovněž</w:t>
      </w:r>
      <w:r w:rsidRPr="00997930">
        <w:t xml:space="preserve"> </w:t>
      </w:r>
      <w:r>
        <w:t>bude:</w:t>
      </w:r>
    </w:p>
    <w:p w14:paraId="20F3CE45" w14:textId="16A23EEE" w:rsidR="00997930" w:rsidRPr="00997930" w:rsidRDefault="00997930" w:rsidP="00314FCB">
      <w:pPr>
        <w:pStyle w:val="Odstavecseseznamem"/>
        <w:numPr>
          <w:ilvl w:val="0"/>
          <w:numId w:val="1"/>
        </w:numPr>
        <w:spacing w:after="0" w:line="240" w:lineRule="auto"/>
        <w:jc w:val="both"/>
        <w:rPr>
          <w:rFonts w:eastAsia="Times New Roman" w:cstheme="minorHAnsi"/>
          <w:lang w:eastAsia="cs-CZ"/>
        </w:rPr>
      </w:pPr>
      <w:bookmarkStart w:id="4" w:name="_Hlk94650808"/>
      <w:r>
        <w:rPr>
          <w:rFonts w:eastAsia="Times New Roman" w:cstheme="minorHAnsi"/>
          <w:lang w:eastAsia="cs-CZ"/>
        </w:rPr>
        <w:t>z</w:t>
      </w:r>
      <w:r w:rsidRPr="00997930">
        <w:rPr>
          <w:rFonts w:eastAsia="Times New Roman" w:cstheme="minorHAnsi"/>
          <w:lang w:eastAsia="cs-CZ"/>
        </w:rPr>
        <w:t>ajištění úklidu a doplnění hygienických prostředků v hale a na toaletách i v průběhu soutěžního dne</w:t>
      </w:r>
      <w:r>
        <w:rPr>
          <w:rFonts w:eastAsia="Times New Roman" w:cstheme="minorHAnsi"/>
          <w:lang w:eastAsia="cs-CZ"/>
        </w:rPr>
        <w:t>,</w:t>
      </w:r>
    </w:p>
    <w:p w14:paraId="443D003D" w14:textId="443B2199" w:rsidR="00997930" w:rsidRPr="00997930" w:rsidRDefault="00997930" w:rsidP="00314FCB">
      <w:pPr>
        <w:pStyle w:val="Odstavecseseznamem"/>
        <w:numPr>
          <w:ilvl w:val="0"/>
          <w:numId w:val="1"/>
        </w:numPr>
        <w:spacing w:after="0" w:line="240" w:lineRule="auto"/>
        <w:jc w:val="both"/>
        <w:rPr>
          <w:rFonts w:eastAsia="Times New Roman" w:cstheme="minorHAnsi"/>
          <w:lang w:eastAsia="cs-CZ"/>
        </w:rPr>
      </w:pPr>
      <w:r w:rsidRPr="00997930">
        <w:rPr>
          <w:rFonts w:eastAsia="Times New Roman" w:cstheme="minorHAnsi"/>
          <w:lang w:eastAsia="cs-CZ"/>
        </w:rPr>
        <w:t>úprav</w:t>
      </w:r>
      <w:r>
        <w:rPr>
          <w:rFonts w:eastAsia="Times New Roman" w:cstheme="minorHAnsi"/>
          <w:lang w:eastAsia="cs-CZ"/>
        </w:rPr>
        <w:t>a</w:t>
      </w:r>
      <w:r w:rsidRPr="00997930">
        <w:rPr>
          <w:rFonts w:eastAsia="Times New Roman" w:cstheme="minorHAnsi"/>
          <w:lang w:eastAsia="cs-CZ"/>
        </w:rPr>
        <w:t xml:space="preserve">/zakrytí podlahy </w:t>
      </w:r>
      <w:r>
        <w:rPr>
          <w:rFonts w:eastAsia="Times New Roman" w:cstheme="minorHAnsi"/>
          <w:lang w:eastAsia="cs-CZ"/>
        </w:rPr>
        <w:t>víceúčelového</w:t>
      </w:r>
      <w:r w:rsidRPr="00997930">
        <w:rPr>
          <w:rFonts w:eastAsia="Times New Roman" w:cstheme="minorHAnsi"/>
          <w:lang w:eastAsia="cs-CZ"/>
        </w:rPr>
        <w:t xml:space="preserve"> hřiště, které bude během akce sloužit jako rozcvičovací sál pro sportovce</w:t>
      </w:r>
      <w:r>
        <w:rPr>
          <w:rFonts w:eastAsia="Times New Roman" w:cstheme="minorHAnsi"/>
          <w:lang w:eastAsia="cs-CZ"/>
        </w:rPr>
        <w:t>,</w:t>
      </w:r>
    </w:p>
    <w:p w14:paraId="733EEF76" w14:textId="5DF50215" w:rsidR="00997930" w:rsidRPr="00997930" w:rsidRDefault="00997930" w:rsidP="00314FCB">
      <w:pPr>
        <w:pStyle w:val="Odstavecseseznamem"/>
        <w:numPr>
          <w:ilvl w:val="0"/>
          <w:numId w:val="1"/>
        </w:numPr>
        <w:spacing w:after="0" w:line="240" w:lineRule="auto"/>
        <w:jc w:val="both"/>
        <w:rPr>
          <w:rFonts w:eastAsia="Times New Roman" w:cstheme="minorHAnsi"/>
          <w:lang w:eastAsia="cs-CZ"/>
        </w:rPr>
      </w:pPr>
      <w:r w:rsidRPr="00997930">
        <w:rPr>
          <w:rFonts w:eastAsia="Times New Roman" w:cstheme="minorHAnsi"/>
          <w:lang w:eastAsia="cs-CZ"/>
        </w:rPr>
        <w:t>úprav</w:t>
      </w:r>
      <w:r>
        <w:rPr>
          <w:rFonts w:eastAsia="Times New Roman" w:cstheme="minorHAnsi"/>
          <w:lang w:eastAsia="cs-CZ"/>
        </w:rPr>
        <w:t>a</w:t>
      </w:r>
      <w:r w:rsidRPr="00997930">
        <w:rPr>
          <w:rFonts w:eastAsia="Times New Roman" w:cstheme="minorHAnsi"/>
          <w:lang w:eastAsia="cs-CZ"/>
        </w:rPr>
        <w:t>/zakrytí podlahy v </w:t>
      </w:r>
      <w:r>
        <w:rPr>
          <w:rFonts w:eastAsia="Times New Roman" w:cstheme="minorHAnsi"/>
          <w:lang w:eastAsia="cs-CZ"/>
        </w:rPr>
        <w:t>tělocvičně</w:t>
      </w:r>
      <w:r w:rsidRPr="00997930">
        <w:rPr>
          <w:rFonts w:eastAsia="Times New Roman" w:cstheme="minorHAnsi"/>
          <w:lang w:eastAsia="cs-CZ"/>
        </w:rPr>
        <w:t>, kter</w:t>
      </w:r>
      <w:r>
        <w:rPr>
          <w:rFonts w:eastAsia="Times New Roman" w:cstheme="minorHAnsi"/>
          <w:lang w:eastAsia="cs-CZ"/>
        </w:rPr>
        <w:t>á</w:t>
      </w:r>
      <w:r w:rsidRPr="00997930">
        <w:rPr>
          <w:rFonts w:eastAsia="Times New Roman" w:cstheme="minorHAnsi"/>
          <w:lang w:eastAsia="cs-CZ"/>
        </w:rPr>
        <w:t xml:space="preserve"> bude během akce sloužit jako VIP zóna</w:t>
      </w:r>
      <w:r>
        <w:rPr>
          <w:rFonts w:eastAsia="Times New Roman" w:cstheme="minorHAnsi"/>
          <w:lang w:eastAsia="cs-CZ"/>
        </w:rPr>
        <w:t>,</w:t>
      </w:r>
    </w:p>
    <w:p w14:paraId="507570C3" w14:textId="4D12E476" w:rsidR="00997930" w:rsidRPr="00997930" w:rsidRDefault="00997930" w:rsidP="00314FCB">
      <w:pPr>
        <w:pStyle w:val="Odstavecseseznamem"/>
        <w:numPr>
          <w:ilvl w:val="0"/>
          <w:numId w:val="1"/>
        </w:numPr>
        <w:spacing w:after="0" w:line="240" w:lineRule="auto"/>
        <w:jc w:val="both"/>
        <w:rPr>
          <w:rFonts w:eastAsia="Times New Roman" w:cstheme="minorHAnsi"/>
          <w:lang w:eastAsia="cs-CZ"/>
        </w:rPr>
      </w:pPr>
      <w:r>
        <w:rPr>
          <w:rFonts w:eastAsia="Times New Roman" w:cstheme="minorHAnsi"/>
          <w:lang w:eastAsia="cs-CZ"/>
        </w:rPr>
        <w:t>p</w:t>
      </w:r>
      <w:r w:rsidRPr="00997930">
        <w:rPr>
          <w:rFonts w:eastAsia="Times New Roman" w:cstheme="minorHAnsi"/>
          <w:lang w:eastAsia="cs-CZ"/>
        </w:rPr>
        <w:t>ronájem parkoviště u haly</w:t>
      </w:r>
      <w:r>
        <w:rPr>
          <w:rFonts w:eastAsia="Times New Roman" w:cstheme="minorHAnsi"/>
          <w:lang w:eastAsia="cs-CZ"/>
        </w:rPr>
        <w:t>,</w:t>
      </w:r>
    </w:p>
    <w:p w14:paraId="4473BC16" w14:textId="1551429B" w:rsidR="00997930" w:rsidRPr="00997930" w:rsidRDefault="00997930" w:rsidP="00314FCB">
      <w:pPr>
        <w:pStyle w:val="Odstavecseseznamem"/>
        <w:numPr>
          <w:ilvl w:val="0"/>
          <w:numId w:val="1"/>
        </w:numPr>
        <w:spacing w:after="0" w:line="240" w:lineRule="auto"/>
        <w:jc w:val="both"/>
        <w:rPr>
          <w:rFonts w:eastAsia="Times New Roman" w:cstheme="minorHAnsi"/>
          <w:lang w:eastAsia="cs-CZ"/>
        </w:rPr>
      </w:pPr>
      <w:r>
        <w:rPr>
          <w:rFonts w:eastAsia="Times New Roman" w:cstheme="minorHAnsi"/>
          <w:lang w:eastAsia="cs-CZ"/>
        </w:rPr>
        <w:t>z</w:t>
      </w:r>
      <w:r w:rsidRPr="00997930">
        <w:rPr>
          <w:rFonts w:eastAsia="Times New Roman" w:cstheme="minorHAnsi"/>
          <w:lang w:eastAsia="cs-CZ"/>
        </w:rPr>
        <w:t>ajištění internetového připojení v rychlosti 1000/1000 Mb/s</w:t>
      </w:r>
      <w:r>
        <w:rPr>
          <w:rFonts w:eastAsia="Times New Roman" w:cstheme="minorHAnsi"/>
          <w:lang w:eastAsia="cs-CZ"/>
        </w:rPr>
        <w:t>,</w:t>
      </w:r>
    </w:p>
    <w:p w14:paraId="48BEA6B4" w14:textId="6D850FA6" w:rsidR="00997930" w:rsidRPr="005B7A2B" w:rsidRDefault="00997930" w:rsidP="00314FCB">
      <w:pPr>
        <w:pStyle w:val="Odstavecseseznamem"/>
        <w:numPr>
          <w:ilvl w:val="0"/>
          <w:numId w:val="1"/>
        </w:numPr>
        <w:spacing w:after="0" w:line="240" w:lineRule="auto"/>
        <w:jc w:val="both"/>
        <w:rPr>
          <w:rFonts w:cstheme="minorHAnsi"/>
        </w:rPr>
      </w:pPr>
      <w:r>
        <w:rPr>
          <w:rFonts w:eastAsia="Times New Roman" w:cstheme="minorHAnsi"/>
          <w:lang w:eastAsia="cs-CZ"/>
        </w:rPr>
        <w:t>i</w:t>
      </w:r>
      <w:r w:rsidRPr="00997930">
        <w:rPr>
          <w:rFonts w:eastAsia="Times New Roman" w:cstheme="minorHAnsi"/>
          <w:lang w:eastAsia="cs-CZ"/>
        </w:rPr>
        <w:t>nstalace reklamního banneru typu „muší křídla“ před hlavním vchodem do haly (bannery dodá Moravskoslezský kraj)</w:t>
      </w:r>
      <w:bookmarkEnd w:id="4"/>
      <w:r>
        <w:rPr>
          <w:rFonts w:eastAsia="Times New Roman" w:cstheme="minorHAnsi"/>
          <w:lang w:eastAsia="cs-CZ"/>
        </w:rPr>
        <w:t>.</w:t>
      </w:r>
    </w:p>
    <w:p w14:paraId="4D9F9E86" w14:textId="77777777" w:rsidR="00997930" w:rsidRPr="005B7A2B" w:rsidRDefault="00997930" w:rsidP="005B7A2B">
      <w:pPr>
        <w:spacing w:after="0" w:line="240" w:lineRule="auto"/>
        <w:rPr>
          <w:rFonts w:cstheme="minorHAnsi"/>
        </w:rPr>
      </w:pPr>
    </w:p>
    <w:p w14:paraId="20483A3E" w14:textId="77777777" w:rsidR="00D96CC3" w:rsidRDefault="00D96CC3" w:rsidP="000E268E">
      <w:pPr>
        <w:ind w:left="708" w:hanging="708"/>
        <w:jc w:val="both"/>
      </w:pPr>
      <w:r>
        <w:t>1.4.</w:t>
      </w:r>
      <w:r>
        <w:tab/>
        <w:t>Pronajímatel prohlašuje, že je oprávněn tuto smlouvu uzavřít a v uzavření této smlouvy mu nebrání žádný závazek vůči jiné osobě, či právo nebo nárok státu,</w:t>
      </w:r>
      <w:r w:rsidR="0042667C">
        <w:t xml:space="preserve"> finančního úřadu nebo jiné instituce. </w:t>
      </w:r>
    </w:p>
    <w:p w14:paraId="0DEF2CA0" w14:textId="4E57E587" w:rsidR="0042667C" w:rsidRDefault="0042667C" w:rsidP="000E268E">
      <w:pPr>
        <w:ind w:left="708" w:hanging="708"/>
        <w:jc w:val="both"/>
      </w:pPr>
      <w:r>
        <w:t>1.5.</w:t>
      </w:r>
      <w:r>
        <w:tab/>
        <w:t xml:space="preserve">Nájemce prohlašuje, že je způsobilý uzavřít tuto smlouvu a je v předmětu nájmu oprávněn provozovat </w:t>
      </w:r>
      <w:r w:rsidR="002C7E43">
        <w:t>činnost dle účelu sjednaného v té</w:t>
      </w:r>
      <w:r w:rsidR="00DE3461">
        <w:t xml:space="preserve">to smlouvě. Účelem užívání předmětu nájmu </w:t>
      </w:r>
      <w:r w:rsidR="002C7E43">
        <w:t>v této provozo</w:t>
      </w:r>
      <w:r w:rsidR="00DE3461">
        <w:t>vně bude</w:t>
      </w:r>
      <w:r w:rsidR="00204C18">
        <w:t xml:space="preserve"> </w:t>
      </w:r>
      <w:r w:rsidR="00204C18" w:rsidRPr="00165FC1">
        <w:rPr>
          <w:b/>
          <w:color w:val="000000" w:themeColor="text1"/>
        </w:rPr>
        <w:t>sportovní činnost</w:t>
      </w:r>
      <w:r w:rsidR="00997930">
        <w:rPr>
          <w:b/>
          <w:color w:val="000000" w:themeColor="text1"/>
        </w:rPr>
        <w:t>.</w:t>
      </w:r>
      <w:r w:rsidR="00204C18" w:rsidRPr="00165FC1">
        <w:rPr>
          <w:b/>
          <w:color w:val="000000" w:themeColor="text1"/>
        </w:rPr>
        <w:t xml:space="preserve"> </w:t>
      </w:r>
    </w:p>
    <w:p w14:paraId="2B8FBBC6" w14:textId="77777777" w:rsidR="009B0DDD" w:rsidRDefault="009B0DDD" w:rsidP="000E268E">
      <w:pPr>
        <w:ind w:left="708" w:hanging="708"/>
        <w:jc w:val="both"/>
      </w:pPr>
    </w:p>
    <w:p w14:paraId="44235B41" w14:textId="77777777" w:rsidR="009B0DDD" w:rsidRDefault="009B0DDD" w:rsidP="009078BC">
      <w:pPr>
        <w:spacing w:after="0"/>
        <w:ind w:left="708" w:hanging="708"/>
        <w:jc w:val="center"/>
        <w:rPr>
          <w:b/>
        </w:rPr>
      </w:pPr>
      <w:r>
        <w:rPr>
          <w:b/>
        </w:rPr>
        <w:t>II.</w:t>
      </w:r>
    </w:p>
    <w:p w14:paraId="1B70B747" w14:textId="77777777" w:rsidR="009B0DDD" w:rsidRDefault="009B0DDD" w:rsidP="009B0DDD">
      <w:pPr>
        <w:ind w:left="708" w:hanging="708"/>
        <w:jc w:val="center"/>
        <w:rPr>
          <w:b/>
        </w:rPr>
      </w:pPr>
      <w:r>
        <w:rPr>
          <w:b/>
        </w:rPr>
        <w:t>Účel nájmu</w:t>
      </w:r>
    </w:p>
    <w:p w14:paraId="4E33D4BE" w14:textId="29D5A26B" w:rsidR="00314F7E" w:rsidRDefault="003409DC" w:rsidP="00103EB9">
      <w:pPr>
        <w:ind w:left="708" w:hanging="708"/>
        <w:jc w:val="both"/>
      </w:pPr>
      <w:r>
        <w:t>2.1.</w:t>
      </w:r>
      <w:r>
        <w:tab/>
        <w:t>Pronajímatel</w:t>
      </w:r>
      <w:r w:rsidR="009B0DDD">
        <w:t xml:space="preserve"> se na základě této sm</w:t>
      </w:r>
      <w:r>
        <w:t>louvy zavazuje přenechat nájemci</w:t>
      </w:r>
      <w:r w:rsidR="009B0DDD">
        <w:t xml:space="preserve"> do užívání nebytov</w:t>
      </w:r>
      <w:r w:rsidR="00FD79FF">
        <w:t>é</w:t>
      </w:r>
      <w:r w:rsidR="009B0DDD">
        <w:t xml:space="preserve"> prostor</w:t>
      </w:r>
      <w:r w:rsidR="00FD79FF">
        <w:t>y</w:t>
      </w:r>
      <w:r w:rsidR="009B0DDD">
        <w:t xml:space="preserve"> za účelem</w:t>
      </w:r>
      <w:r w:rsidR="00BB5AD1">
        <w:t xml:space="preserve"> zajištění konání Olympiády dětí a mládeže</w:t>
      </w:r>
      <w:r w:rsidR="00BB6ADE">
        <w:t xml:space="preserve"> 2025</w:t>
      </w:r>
      <w:r w:rsidR="00FD79FF">
        <w:rPr>
          <w:color w:val="000000" w:themeColor="text1"/>
        </w:rPr>
        <w:t>.</w:t>
      </w:r>
    </w:p>
    <w:p w14:paraId="35754E79" w14:textId="77777777" w:rsidR="00626B1B" w:rsidRDefault="00626B1B" w:rsidP="00103EB9">
      <w:pPr>
        <w:ind w:left="708" w:hanging="708"/>
        <w:jc w:val="both"/>
      </w:pPr>
      <w:r>
        <w:t>2.2.</w:t>
      </w:r>
      <w:r>
        <w:tab/>
        <w:t>Nájemce nemá právo provozovat v nebytovém prostoru</w:t>
      </w:r>
      <w:r w:rsidR="00757D80">
        <w:t xml:space="preserve"> jinou činnost nebo měnit způso</w:t>
      </w:r>
      <w:r>
        <w:t xml:space="preserve">b či podmínky jejího výkonu, než jak vyplývá z účelu nájmu. </w:t>
      </w:r>
    </w:p>
    <w:p w14:paraId="70503C70" w14:textId="0E929403" w:rsidR="00626B1B" w:rsidRDefault="00626B1B" w:rsidP="00103EB9">
      <w:pPr>
        <w:ind w:left="708" w:hanging="708"/>
        <w:jc w:val="both"/>
      </w:pPr>
      <w:r>
        <w:t>2.3.</w:t>
      </w:r>
      <w:r>
        <w:tab/>
      </w:r>
      <w:r w:rsidR="00757D80">
        <w:t xml:space="preserve">Nájemce se zavazuje hradit pronajímateli za užívání nebytového prostoru </w:t>
      </w:r>
      <w:r w:rsidR="00BB5AD1">
        <w:t>cenu</w:t>
      </w:r>
      <w:r w:rsidR="00BB6ADE">
        <w:t>,</w:t>
      </w:r>
      <w:r w:rsidR="00BB5AD1">
        <w:t xml:space="preserve"> </w:t>
      </w:r>
      <w:r w:rsidR="00757D80">
        <w:t xml:space="preserve">a to ve výši a způsobem stanoveným v článku III. této smlouvy. </w:t>
      </w:r>
    </w:p>
    <w:p w14:paraId="512B95A3" w14:textId="5AEE3460" w:rsidR="00757D80" w:rsidRDefault="00757D80" w:rsidP="00103EB9">
      <w:pPr>
        <w:ind w:left="708" w:hanging="708"/>
        <w:jc w:val="both"/>
      </w:pPr>
      <w:r>
        <w:t>2.4.</w:t>
      </w:r>
      <w:r>
        <w:tab/>
        <w:t xml:space="preserve">Nájemce se seznámil s nebytovým prostorem ještě před podpisem této smlouvy a prohlašuje, že sjednané podmínky </w:t>
      </w:r>
      <w:r w:rsidR="00103EB9">
        <w:t>v této smlouvě a stejně tak i nebytový prostor odpoví</w:t>
      </w:r>
      <w:r w:rsidR="00302F84">
        <w:t>dají sjednanému účelu užívání</w:t>
      </w:r>
      <w:r w:rsidR="00103EB9">
        <w:t xml:space="preserve">. </w:t>
      </w:r>
    </w:p>
    <w:p w14:paraId="16D7CAAB" w14:textId="77777777" w:rsidR="00C44F5E" w:rsidRDefault="00C44F5E" w:rsidP="009078BC">
      <w:pPr>
        <w:spacing w:after="0"/>
        <w:ind w:left="708" w:hanging="708"/>
        <w:jc w:val="center"/>
        <w:rPr>
          <w:b/>
        </w:rPr>
      </w:pPr>
      <w:r>
        <w:rPr>
          <w:b/>
        </w:rPr>
        <w:lastRenderedPageBreak/>
        <w:t>III.</w:t>
      </w:r>
    </w:p>
    <w:p w14:paraId="6F86CFF8" w14:textId="77777777" w:rsidR="00C44F5E" w:rsidRDefault="00C44F5E" w:rsidP="00C44F5E">
      <w:pPr>
        <w:ind w:left="708" w:hanging="708"/>
        <w:jc w:val="center"/>
        <w:rPr>
          <w:b/>
        </w:rPr>
      </w:pPr>
      <w:r>
        <w:rPr>
          <w:b/>
        </w:rPr>
        <w:t>Platební podmínky</w:t>
      </w:r>
    </w:p>
    <w:p w14:paraId="1F6300A3" w14:textId="3A2409AD" w:rsidR="00D676CE" w:rsidRDefault="00E33921" w:rsidP="00E04D88">
      <w:pPr>
        <w:ind w:left="708" w:hanging="708"/>
        <w:jc w:val="both"/>
      </w:pPr>
      <w:r>
        <w:t>3.1.</w:t>
      </w:r>
      <w:r>
        <w:tab/>
        <w:t>Nájemné za užívání nebytov</w:t>
      </w:r>
      <w:r w:rsidR="00FD79FF">
        <w:t>ých</w:t>
      </w:r>
      <w:r>
        <w:t xml:space="preserve"> prost</w:t>
      </w:r>
      <w:r w:rsidR="00E04D88">
        <w:t>or</w:t>
      </w:r>
      <w:r w:rsidR="008572F3">
        <w:t>ů</w:t>
      </w:r>
      <w:r w:rsidR="006C0E31">
        <w:t xml:space="preserve"> </w:t>
      </w:r>
      <w:r w:rsidR="00D676CE">
        <w:t>bylo sjednáno následovně:</w:t>
      </w:r>
    </w:p>
    <w:p w14:paraId="1393F9B5" w14:textId="65D93F19" w:rsidR="00D676CE" w:rsidRPr="00904BC5" w:rsidRDefault="00D676CE" w:rsidP="006337EA">
      <w:pPr>
        <w:spacing w:after="0"/>
        <w:ind w:left="1418" w:hanging="708"/>
        <w:jc w:val="both"/>
      </w:pPr>
      <w:r>
        <w:t>Pronájem ledové plochy –</w:t>
      </w:r>
      <w:r w:rsidR="00B07930">
        <w:t xml:space="preserve"> </w:t>
      </w:r>
      <w:r w:rsidR="00BB3D31" w:rsidRPr="00904BC5">
        <w:t xml:space="preserve">hodinová sazba </w:t>
      </w:r>
      <w:r w:rsidR="00666BCF">
        <w:t>20</w:t>
      </w:r>
      <w:r w:rsidR="00DE343C">
        <w:t>00 Kč/h</w:t>
      </w:r>
    </w:p>
    <w:p w14:paraId="2214D33F" w14:textId="5A5695EB" w:rsidR="00D676CE" w:rsidRDefault="00D676CE" w:rsidP="006337EA">
      <w:pPr>
        <w:spacing w:after="0"/>
        <w:ind w:left="1418" w:hanging="708"/>
        <w:jc w:val="both"/>
      </w:pPr>
      <w:r w:rsidRPr="00904BC5">
        <w:t>Pronájem víceúčelového hřiště –</w:t>
      </w:r>
      <w:r w:rsidR="00B07930" w:rsidRPr="00904BC5">
        <w:t xml:space="preserve"> </w:t>
      </w:r>
      <w:r w:rsidR="00BB3D31" w:rsidRPr="00904BC5">
        <w:t xml:space="preserve">hodinová sazba </w:t>
      </w:r>
      <w:r w:rsidR="00BC6502">
        <w:t>550Kč/h</w:t>
      </w:r>
    </w:p>
    <w:p w14:paraId="03CBC315" w14:textId="7F847958" w:rsidR="00560AC0" w:rsidRDefault="00D400F3" w:rsidP="006337EA">
      <w:pPr>
        <w:tabs>
          <w:tab w:val="left" w:pos="710"/>
        </w:tabs>
        <w:spacing w:after="0"/>
        <w:ind w:left="709"/>
        <w:jc w:val="both"/>
      </w:pPr>
      <w:r w:rsidRPr="00D400F3">
        <w:t xml:space="preserve">Vyúčtování energií bude </w:t>
      </w:r>
      <w:r w:rsidR="00560AC0">
        <w:t xml:space="preserve">hrazeno </w:t>
      </w:r>
      <w:r w:rsidRPr="00D400F3">
        <w:t>na základě podružného měření umístěného v prostorách nájemce a na základě cen platných v období nájmu.</w:t>
      </w:r>
    </w:p>
    <w:p w14:paraId="6A50BEB0" w14:textId="12F9F373" w:rsidR="00987259" w:rsidRDefault="00987259" w:rsidP="006337EA">
      <w:pPr>
        <w:spacing w:after="0"/>
        <w:ind w:left="708"/>
        <w:jc w:val="both"/>
      </w:pPr>
      <w:r>
        <w:t>Celková cena nájemného</w:t>
      </w:r>
      <w:r w:rsidR="00691C41">
        <w:t xml:space="preserve"> (včetně </w:t>
      </w:r>
      <w:r w:rsidR="00346D69">
        <w:t>energií</w:t>
      </w:r>
      <w:r w:rsidR="00691C41">
        <w:t>)</w:t>
      </w:r>
      <w:r>
        <w:t xml:space="preserve"> </w:t>
      </w:r>
      <w:r w:rsidR="00346D69">
        <w:t>bude hrazena dle skuteč</w:t>
      </w:r>
      <w:r w:rsidR="00C74FE5">
        <w:t>né doby nájmu</w:t>
      </w:r>
      <w:r w:rsidR="00346D69">
        <w:t xml:space="preserve"> </w:t>
      </w:r>
      <w:r w:rsidR="0009179D">
        <w:t xml:space="preserve">dle výše uvedených hodinových sazeb </w:t>
      </w:r>
      <w:r w:rsidR="00346D69">
        <w:t xml:space="preserve">a </w:t>
      </w:r>
      <w:r>
        <w:t>nepřekročí částku ve výši 200.000 Kč včetně DPH.</w:t>
      </w:r>
    </w:p>
    <w:p w14:paraId="22FC4B0F" w14:textId="3B07A444" w:rsidR="00D400F3" w:rsidRPr="00D400F3" w:rsidRDefault="00D400F3" w:rsidP="00560AC0">
      <w:pPr>
        <w:spacing w:after="0"/>
        <w:jc w:val="both"/>
      </w:pPr>
    </w:p>
    <w:p w14:paraId="64A6CEDC" w14:textId="5C475CFA" w:rsidR="00204C18" w:rsidRPr="008572F3" w:rsidRDefault="00204C18" w:rsidP="00204C18">
      <w:pPr>
        <w:ind w:left="708" w:hanging="708"/>
        <w:jc w:val="both"/>
        <w:rPr>
          <w:color w:val="000000" w:themeColor="text1"/>
        </w:rPr>
      </w:pPr>
      <w:r w:rsidRPr="008572F3">
        <w:rPr>
          <w:color w:val="000000" w:themeColor="text1"/>
        </w:rPr>
        <w:t>3.</w:t>
      </w:r>
      <w:r w:rsidR="00C02772">
        <w:rPr>
          <w:color w:val="000000" w:themeColor="text1"/>
        </w:rPr>
        <w:t>2</w:t>
      </w:r>
      <w:r w:rsidRPr="008572F3">
        <w:rPr>
          <w:color w:val="000000" w:themeColor="text1"/>
        </w:rPr>
        <w:t>.</w:t>
      </w:r>
      <w:r w:rsidRPr="008572F3">
        <w:rPr>
          <w:color w:val="000000" w:themeColor="text1"/>
        </w:rPr>
        <w:tab/>
        <w:t>Nájemné za užívání</w:t>
      </w:r>
      <w:r w:rsidR="002770CA">
        <w:rPr>
          <w:color w:val="000000" w:themeColor="text1"/>
        </w:rPr>
        <w:t xml:space="preserve"> tělocvičny, šaten a</w:t>
      </w:r>
      <w:r w:rsidRPr="008572F3">
        <w:rPr>
          <w:color w:val="000000" w:themeColor="text1"/>
        </w:rPr>
        <w:t xml:space="preserve"> společných prostor se sjednává bezúplatné</w:t>
      </w:r>
      <w:r w:rsidR="006C0E31">
        <w:rPr>
          <w:color w:val="000000" w:themeColor="text1"/>
        </w:rPr>
        <w:t>.</w:t>
      </w:r>
    </w:p>
    <w:p w14:paraId="6E5ACD13" w14:textId="27BE9D3C" w:rsidR="003D713F" w:rsidRDefault="003D713F" w:rsidP="00C85E58">
      <w:pPr>
        <w:ind w:left="708" w:hanging="708"/>
        <w:jc w:val="both"/>
      </w:pPr>
      <w:r>
        <w:t>3.</w:t>
      </w:r>
      <w:r w:rsidR="00C02772">
        <w:t>3</w:t>
      </w:r>
      <w:r>
        <w:t>.</w:t>
      </w:r>
      <w:r>
        <w:tab/>
        <w:t>Nájemné se hradí</w:t>
      </w:r>
      <w:r w:rsidR="00EB5CDF">
        <w:t xml:space="preserve"> dle článku VI. Smlouvy, bodu 6.1</w:t>
      </w:r>
      <w:r>
        <w:t xml:space="preserve"> </w:t>
      </w:r>
      <w:r w:rsidR="00204C18" w:rsidRPr="008572F3">
        <w:rPr>
          <w:color w:val="000000" w:themeColor="text1"/>
        </w:rPr>
        <w:t>na základě vystaven</w:t>
      </w:r>
      <w:r w:rsidR="00C02772">
        <w:rPr>
          <w:color w:val="000000" w:themeColor="text1"/>
        </w:rPr>
        <w:t>é</w:t>
      </w:r>
      <w:r w:rsidR="00204C18" w:rsidRPr="008572F3">
        <w:rPr>
          <w:color w:val="000000" w:themeColor="text1"/>
        </w:rPr>
        <w:t xml:space="preserve"> faktur</w:t>
      </w:r>
      <w:r w:rsidR="00C02772">
        <w:rPr>
          <w:color w:val="000000" w:themeColor="text1"/>
        </w:rPr>
        <w:t>y</w:t>
      </w:r>
      <w:r w:rsidR="00204C18">
        <w:t>.</w:t>
      </w:r>
      <w:r>
        <w:t xml:space="preserve"> </w:t>
      </w:r>
    </w:p>
    <w:p w14:paraId="2C7A351C" w14:textId="76B7969E" w:rsidR="002933FC" w:rsidRDefault="00911D4D" w:rsidP="00C85E58">
      <w:pPr>
        <w:ind w:left="708" w:hanging="708"/>
        <w:jc w:val="both"/>
      </w:pPr>
      <w:r>
        <w:t>3.</w:t>
      </w:r>
      <w:r w:rsidR="00C02772">
        <w:t>4</w:t>
      </w:r>
      <w:r>
        <w:t>.</w:t>
      </w:r>
      <w:r>
        <w:tab/>
        <w:t>V případě prodlení</w:t>
      </w:r>
      <w:r w:rsidR="002933FC">
        <w:t xml:space="preserve"> nájemce s jakýmkoliv peněžitým plněním, ke kterému je nájemce zavázán touto smlouvou, je nájemce vedle </w:t>
      </w:r>
      <w:r w:rsidR="0069472A">
        <w:t xml:space="preserve">úhrady </w:t>
      </w:r>
      <w:r w:rsidR="002933FC">
        <w:t>dlužného závazku povinen hradit pronajímateli úroky z prodlení v souladu s nařízením vlády č. 351/2013 Sb.</w:t>
      </w:r>
      <w:r w:rsidR="0052091B" w:rsidRPr="0052091B">
        <w:t>, ve znění pozdějších předpisů</w:t>
      </w:r>
      <w:r w:rsidR="0052091B">
        <w:t>.</w:t>
      </w:r>
      <w:r w:rsidR="004C7529">
        <w:t xml:space="preserve"> Pokud výše úroku z prodlení není určena obecně závazným přepisem, dohodly si smluvní strany úrok odpovídající ročně výši repo sazby stanovené Českou národní bankou pro první den kalendářního pololetí, v němž došlo k prodlení zvýšené o </w:t>
      </w:r>
      <w:r w:rsidR="004C7529" w:rsidRPr="002D3683">
        <w:rPr>
          <w:bCs/>
        </w:rPr>
        <w:t>osm</w:t>
      </w:r>
      <w:r w:rsidR="004C7529">
        <w:t xml:space="preserve"> procentních bodů</w:t>
      </w:r>
      <w:r w:rsidR="00FE48C4">
        <w:t>.</w:t>
      </w:r>
      <w:r w:rsidR="004C7529">
        <w:t xml:space="preserve"> </w:t>
      </w:r>
    </w:p>
    <w:p w14:paraId="67543987" w14:textId="6BE6E5B3" w:rsidR="007E5A42" w:rsidRDefault="008572F3" w:rsidP="00C85E58">
      <w:pPr>
        <w:ind w:left="708" w:hanging="708"/>
        <w:jc w:val="both"/>
      </w:pPr>
      <w:r>
        <w:t>3.</w:t>
      </w:r>
      <w:r w:rsidR="00C02772">
        <w:t>5</w:t>
      </w:r>
      <w:r w:rsidR="007E5A42">
        <w:t>.</w:t>
      </w:r>
      <w:r w:rsidR="007E5A42">
        <w:tab/>
        <w:t xml:space="preserve">Nájemce a pronajímatel se výslovně dohodli, že peněžní prostředky zaslané nájemcem na bankovní účty pronajímatele budou přednostně použity na umoření těch pohledávek, které mají nejstarší datum splatnosti a to při zachování zásady, že úhrada jistiny má vždy přednost před úhradou úroku z prodlení. </w:t>
      </w:r>
    </w:p>
    <w:p w14:paraId="252FDF63" w14:textId="77777777" w:rsidR="00DA5478" w:rsidRPr="009078BC" w:rsidRDefault="00DA5478" w:rsidP="009078BC">
      <w:pPr>
        <w:rPr>
          <w:b/>
          <w:sz w:val="20"/>
          <w:szCs w:val="20"/>
        </w:rPr>
      </w:pPr>
    </w:p>
    <w:p w14:paraId="3899AFA8" w14:textId="77777777" w:rsidR="003039B2" w:rsidRDefault="003039B2" w:rsidP="009078BC">
      <w:pPr>
        <w:spacing w:after="0"/>
        <w:ind w:left="709" w:hanging="709"/>
        <w:jc w:val="center"/>
        <w:rPr>
          <w:b/>
        </w:rPr>
      </w:pPr>
      <w:r>
        <w:rPr>
          <w:b/>
        </w:rPr>
        <w:t>IV.</w:t>
      </w:r>
    </w:p>
    <w:p w14:paraId="7AF49FF0" w14:textId="77777777" w:rsidR="003039B2" w:rsidRDefault="003039B2" w:rsidP="003039B2">
      <w:pPr>
        <w:ind w:left="708" w:hanging="708"/>
        <w:jc w:val="center"/>
        <w:rPr>
          <w:b/>
        </w:rPr>
      </w:pPr>
      <w:r>
        <w:rPr>
          <w:b/>
        </w:rPr>
        <w:t>Změny nebytového prostoru</w:t>
      </w:r>
    </w:p>
    <w:p w14:paraId="15A8A736" w14:textId="77777777" w:rsidR="003039B2" w:rsidRDefault="003039B2" w:rsidP="00300F7A">
      <w:pPr>
        <w:ind w:left="708" w:hanging="708"/>
        <w:jc w:val="both"/>
      </w:pPr>
      <w:r>
        <w:t>4.1.</w:t>
      </w:r>
      <w:r>
        <w:tab/>
        <w:t>Jakékoliv změny nebytového prostoru je nájemce oprávněn provádět pouze na základě předchozí písemné dohody s</w:t>
      </w:r>
      <w:r w:rsidR="00300F7A">
        <w:t> </w:t>
      </w:r>
      <w:r>
        <w:t>pronajímatelem</w:t>
      </w:r>
      <w:r w:rsidR="00300F7A">
        <w:t xml:space="preserve">, v níž bude zamýšlená stavební změna podrobně popsána a bude dohodnut i způsob vypořádání případného technického zhodnocení předmětu nájmu. </w:t>
      </w:r>
    </w:p>
    <w:p w14:paraId="02238130" w14:textId="77777777" w:rsidR="00300F7A" w:rsidRDefault="00EE2A8E" w:rsidP="00300F7A">
      <w:pPr>
        <w:ind w:left="708" w:hanging="708"/>
        <w:jc w:val="both"/>
      </w:pPr>
      <w:r>
        <w:t>4.2.</w:t>
      </w:r>
      <w:r>
        <w:tab/>
        <w:t>Provede-li nájemce na předmětu nájmu změny bez souhlasu pronajímatele</w:t>
      </w:r>
      <w:r w:rsidR="001F0547">
        <w:t>, je povinen uvést předmět nájmu do původního stavu na své náklady. Tím není d</w:t>
      </w:r>
      <w:r w:rsidR="00A7170C">
        <w:t>ot</w:t>
      </w:r>
      <w:r w:rsidR="001F0547">
        <w:t xml:space="preserve">čen nárok pronajímatele na úhradu vzniklé škody nebo nárok pronajímatele dát nájemci výpověď z titulu užívání nebytového prostoru v rozporu s touto smlouvou. </w:t>
      </w:r>
    </w:p>
    <w:p w14:paraId="271FB541" w14:textId="77777777" w:rsidR="00A7170C" w:rsidRDefault="00A7170C" w:rsidP="00300F7A">
      <w:pPr>
        <w:ind w:left="708" w:hanging="708"/>
        <w:jc w:val="both"/>
      </w:pPr>
      <w:r>
        <w:t>4.3.</w:t>
      </w:r>
      <w:r>
        <w:tab/>
        <w:t xml:space="preserve">V případě, že pronajímatel poskytne souhlas se změnami v předmětu nájmu, může nájemce požadovat úhradu nákladů na jejich provedení jen tehdy, pokud se k tomu pronajímatel písemně zaváže. </w:t>
      </w:r>
    </w:p>
    <w:p w14:paraId="0679358B" w14:textId="77777777" w:rsidR="00FA09B3" w:rsidRDefault="00FA09B3" w:rsidP="00300F7A">
      <w:pPr>
        <w:ind w:left="708" w:hanging="708"/>
        <w:jc w:val="both"/>
      </w:pPr>
    </w:p>
    <w:p w14:paraId="7307BF14" w14:textId="77777777" w:rsidR="00FA09B3" w:rsidRDefault="008572F3" w:rsidP="009078BC">
      <w:pPr>
        <w:spacing w:after="0"/>
        <w:ind w:left="709" w:hanging="709"/>
        <w:jc w:val="center"/>
        <w:rPr>
          <w:b/>
        </w:rPr>
      </w:pPr>
      <w:r>
        <w:rPr>
          <w:b/>
        </w:rPr>
        <w:lastRenderedPageBreak/>
        <w:t>V</w:t>
      </w:r>
      <w:r w:rsidR="00FA09B3">
        <w:rPr>
          <w:b/>
        </w:rPr>
        <w:t>.</w:t>
      </w:r>
    </w:p>
    <w:p w14:paraId="0B3A5B34" w14:textId="77777777" w:rsidR="00FA09B3" w:rsidRDefault="00FA09B3" w:rsidP="00FA09B3">
      <w:pPr>
        <w:ind w:left="708" w:hanging="708"/>
        <w:jc w:val="center"/>
        <w:rPr>
          <w:b/>
        </w:rPr>
      </w:pPr>
      <w:r>
        <w:rPr>
          <w:b/>
        </w:rPr>
        <w:t>Práva a povinnosti stran</w:t>
      </w:r>
    </w:p>
    <w:p w14:paraId="58C993F5" w14:textId="102B599B" w:rsidR="00A14E39" w:rsidRDefault="00FA09B3" w:rsidP="00A14E39">
      <w:pPr>
        <w:ind w:left="708" w:hanging="708"/>
        <w:jc w:val="both"/>
      </w:pPr>
      <w:r>
        <w:t>5.1.</w:t>
      </w:r>
      <w:r>
        <w:tab/>
        <w:t xml:space="preserve">Pronajímatel je povinen předat nebytový prostor nájemci </w:t>
      </w:r>
      <w:r w:rsidR="00C02772">
        <w:t xml:space="preserve">v termínu uvedeném v článku </w:t>
      </w:r>
      <w:r w:rsidR="0069472A">
        <w:br/>
      </w:r>
      <w:r w:rsidR="00C02772">
        <w:t>VI. této smlouvy.</w:t>
      </w:r>
      <w:r w:rsidR="00AB10E8">
        <w:t xml:space="preserve"> </w:t>
      </w:r>
      <w:r w:rsidR="00C02772">
        <w:t xml:space="preserve"> </w:t>
      </w:r>
      <w:r w:rsidR="00B030C7">
        <w:t>O předání a převzetí nebytového prostoru bude sepsán předávací protokol</w:t>
      </w:r>
      <w:r w:rsidR="004C3184">
        <w:t xml:space="preserve">, který bude obsahovat popis stavu nebytového prostoru, stav měřidel služeb spojených s užíváním nebytového prostoru a případné další významné skutečnosti. </w:t>
      </w:r>
    </w:p>
    <w:p w14:paraId="483E1570" w14:textId="2E8927A5" w:rsidR="00B030C7" w:rsidRDefault="00B030C7" w:rsidP="00B030C7">
      <w:pPr>
        <w:ind w:left="708" w:hanging="708"/>
        <w:jc w:val="both"/>
      </w:pPr>
      <w:r>
        <w:t>5.2.</w:t>
      </w:r>
      <w:r>
        <w:tab/>
      </w:r>
      <w:r w:rsidR="00A14E39">
        <w:t>Nájemce je povinen udržovat nebyto</w:t>
      </w:r>
      <w:r w:rsidR="009C22D4">
        <w:t xml:space="preserve">vý prostor </w:t>
      </w:r>
      <w:r w:rsidR="005C60B7">
        <w:t>ve stavu odpovídajícím stavu, v</w:t>
      </w:r>
      <w:r w:rsidR="009C22D4">
        <w:t xml:space="preserve"> jakém byl prostor převzat s přihlédnutím k obvyklému opotřebení</w:t>
      </w:r>
      <w:r w:rsidR="00904BC5">
        <w:t xml:space="preserve">. </w:t>
      </w:r>
      <w:r w:rsidR="005C60B7">
        <w:t xml:space="preserve">V případě, že stav nebytového prostoru bude vyžadovat opravy, které provádí svým nákladem pronajímatel, je nájemce povinen bez zbytečného odkladu poté, kdy vznikne potřeba provedení takových oprav, </w:t>
      </w:r>
      <w:r w:rsidR="00A43BF1">
        <w:t xml:space="preserve">informovat pronajímatele </w:t>
      </w:r>
      <w:r w:rsidR="005C60B7">
        <w:t>o existenci s</w:t>
      </w:r>
      <w:r w:rsidR="00A43BF1">
        <w:t xml:space="preserve">tavu vyžadujícího takovéto opravy. Nájemce je povinen umožnit pronajímateli provedení takových oprav. </w:t>
      </w:r>
    </w:p>
    <w:p w14:paraId="10C9580F" w14:textId="77777777" w:rsidR="009C0429" w:rsidRDefault="009C0429" w:rsidP="00B030C7">
      <w:pPr>
        <w:ind w:left="708" w:hanging="708"/>
        <w:jc w:val="both"/>
      </w:pPr>
      <w:r>
        <w:t>5.3.</w:t>
      </w:r>
      <w:r>
        <w:tab/>
        <w:t xml:space="preserve">Nájemce je oprávněn pronajatý nebytový prostor přenechat dále do podnájmu pouze na základě přechozího písemného souhlasu pronajímatele. </w:t>
      </w:r>
    </w:p>
    <w:p w14:paraId="26CB92EA" w14:textId="59667945" w:rsidR="00752695" w:rsidRDefault="00752695" w:rsidP="00B030C7">
      <w:pPr>
        <w:ind w:left="708" w:hanging="708"/>
        <w:jc w:val="both"/>
      </w:pPr>
      <w:r>
        <w:t>5.</w:t>
      </w:r>
      <w:r w:rsidR="00C02772">
        <w:t>4</w:t>
      </w:r>
      <w:r>
        <w:t>.</w:t>
      </w:r>
      <w:r>
        <w:tab/>
        <w:t>Nájemce odpovídá za škody vzniklé na nebytovém prostoru v souvislosti s provozováním jeho činnosti, včetně škod způsobených jeho zaměstnanci nebo jednáním třetích osob přítomných v nebytovém prostoru</w:t>
      </w:r>
      <w:r w:rsidR="00BA44CA">
        <w:t xml:space="preserve"> v souvislosti s provozováním činnosti nájemce nebo s jeho vědomím. </w:t>
      </w:r>
    </w:p>
    <w:p w14:paraId="6ACFDCCB" w14:textId="06D04110" w:rsidR="00BA44CA" w:rsidRDefault="00236493" w:rsidP="00B030C7">
      <w:pPr>
        <w:ind w:left="708" w:hanging="708"/>
        <w:jc w:val="both"/>
      </w:pPr>
      <w:r>
        <w:t>5.</w:t>
      </w:r>
      <w:r w:rsidR="00C02772">
        <w:t>5</w:t>
      </w:r>
      <w:r w:rsidR="00BA44CA">
        <w:t>.</w:t>
      </w:r>
      <w:r w:rsidR="00BA44CA">
        <w:tab/>
        <w:t xml:space="preserve">Nájemce nesmí svým výkonem práva nájmu dle této smlouvy omezovat ostatní uživatele předmětné budovy, v níž se nachází nebytový prostor. </w:t>
      </w:r>
    </w:p>
    <w:p w14:paraId="43564405" w14:textId="48BE048B" w:rsidR="00263D29" w:rsidRDefault="00236493" w:rsidP="0050052D">
      <w:pPr>
        <w:ind w:left="708" w:hanging="708"/>
        <w:jc w:val="both"/>
      </w:pPr>
      <w:r>
        <w:t>5.</w:t>
      </w:r>
      <w:r w:rsidR="00C02772">
        <w:t>6</w:t>
      </w:r>
      <w:r w:rsidR="007F4722">
        <w:t>.</w:t>
      </w:r>
      <w:r w:rsidR="007F4722">
        <w:tab/>
        <w:t xml:space="preserve">Nájemce je povinen dodržovat platné hygienické, bezpečnostní a protipožární předpisy a technické normy, které se vztahují na užívání nebytového prostoru. Tato povinnost se přiměřeně vztahuje i na zaměstnance nájemce a osoby, jimž je nájemcem umožněn vstup do nebytového prostoru. </w:t>
      </w:r>
      <w:r w:rsidR="00263D29">
        <w:t xml:space="preserve"> </w:t>
      </w:r>
    </w:p>
    <w:p w14:paraId="5F7C396C" w14:textId="56CDE03E" w:rsidR="00236493" w:rsidRPr="009078BC" w:rsidRDefault="00236493" w:rsidP="009078BC">
      <w:pPr>
        <w:ind w:left="708" w:hanging="708"/>
        <w:jc w:val="both"/>
      </w:pPr>
      <w:r>
        <w:t>5.</w:t>
      </w:r>
      <w:r w:rsidR="00C02772">
        <w:t>7</w:t>
      </w:r>
      <w:r w:rsidR="00E84D04">
        <w:t>.</w:t>
      </w:r>
      <w:r w:rsidR="00E84D04">
        <w:tab/>
        <w:t xml:space="preserve">Pronajímatel je oprávněn provádět kontrolu nebytového prostoru a to po přechozím oznámení nájemci a za jeho přítomnosti. Nájemce je povinen kontrolu umožnit. </w:t>
      </w:r>
    </w:p>
    <w:p w14:paraId="03B61C1D" w14:textId="77777777" w:rsidR="00C02772" w:rsidRDefault="00C02772" w:rsidP="009078BC">
      <w:pPr>
        <w:spacing w:after="0"/>
        <w:jc w:val="center"/>
        <w:rPr>
          <w:b/>
        </w:rPr>
      </w:pPr>
    </w:p>
    <w:p w14:paraId="3BB3DA9F" w14:textId="3320930D" w:rsidR="00E84D04" w:rsidRDefault="00E84D04" w:rsidP="009078BC">
      <w:pPr>
        <w:spacing w:after="0"/>
        <w:jc w:val="center"/>
        <w:rPr>
          <w:b/>
        </w:rPr>
      </w:pPr>
      <w:r>
        <w:rPr>
          <w:b/>
        </w:rPr>
        <w:t>VI.</w:t>
      </w:r>
    </w:p>
    <w:p w14:paraId="7DD6DF4C" w14:textId="77777777" w:rsidR="00E84D04" w:rsidRDefault="00E84D04" w:rsidP="00E84D04">
      <w:pPr>
        <w:ind w:left="708" w:hanging="708"/>
        <w:jc w:val="center"/>
        <w:rPr>
          <w:b/>
        </w:rPr>
      </w:pPr>
      <w:r>
        <w:rPr>
          <w:b/>
        </w:rPr>
        <w:t xml:space="preserve">Doba trvání nájmu </w:t>
      </w:r>
    </w:p>
    <w:p w14:paraId="37416923" w14:textId="61191B44" w:rsidR="00E84D04" w:rsidRDefault="006E3E17" w:rsidP="00D03511">
      <w:pPr>
        <w:ind w:left="708" w:hanging="708"/>
        <w:jc w:val="both"/>
      </w:pPr>
      <w:r>
        <w:t>6.1.</w:t>
      </w:r>
      <w:r>
        <w:tab/>
        <w:t xml:space="preserve">Nájem nebytového prostoru se sjednává na dobu </w:t>
      </w:r>
      <w:r w:rsidR="00601F8B" w:rsidRPr="00904BC5">
        <w:rPr>
          <w:bCs/>
        </w:rPr>
        <w:t>od 26. 1. 2025 15:00 hod do 30. 1. 2025 12:00 hod.</w:t>
      </w:r>
    </w:p>
    <w:p w14:paraId="636B2760" w14:textId="04D2397D" w:rsidR="0012167F" w:rsidRDefault="0012167F" w:rsidP="009078BC">
      <w:pPr>
        <w:spacing w:after="0"/>
        <w:ind w:left="709" w:hanging="709"/>
        <w:jc w:val="both"/>
      </w:pPr>
      <w:r>
        <w:t>6.2.</w:t>
      </w:r>
      <w:r>
        <w:tab/>
        <w:t>Tato smlouva může být ukončena pouze z následujících důvodů:</w:t>
      </w:r>
    </w:p>
    <w:p w14:paraId="20D2688A" w14:textId="77777777" w:rsidR="0012167F" w:rsidRDefault="0012167F" w:rsidP="0012167F">
      <w:pPr>
        <w:ind w:left="709" w:hanging="709"/>
        <w:contextualSpacing/>
        <w:jc w:val="both"/>
      </w:pPr>
      <w:r>
        <w:tab/>
        <w:t>- na základě písemné dohody obou smluvních stran,</w:t>
      </w:r>
    </w:p>
    <w:p w14:paraId="430147BB" w14:textId="77777777" w:rsidR="0012167F" w:rsidRDefault="0012167F" w:rsidP="0012167F">
      <w:pPr>
        <w:ind w:left="709" w:hanging="709"/>
        <w:contextualSpacing/>
        <w:jc w:val="both"/>
      </w:pPr>
      <w:r>
        <w:tab/>
        <w:t>- výpovědí některé smluvní strany,</w:t>
      </w:r>
    </w:p>
    <w:p w14:paraId="2329A35B" w14:textId="77777777" w:rsidR="0012167F" w:rsidRDefault="0012167F" w:rsidP="0012167F">
      <w:pPr>
        <w:ind w:left="709" w:hanging="709"/>
        <w:contextualSpacing/>
        <w:jc w:val="both"/>
      </w:pPr>
      <w:r>
        <w:tab/>
        <w:t>- odstoupení jedné ze smluvních stran z důvodu uvedeného v této smlouvě.</w:t>
      </w:r>
    </w:p>
    <w:p w14:paraId="0F6CAC68" w14:textId="77777777" w:rsidR="0012167F" w:rsidRDefault="0012167F" w:rsidP="0012167F">
      <w:pPr>
        <w:ind w:left="709" w:hanging="709"/>
        <w:contextualSpacing/>
        <w:jc w:val="both"/>
      </w:pPr>
    </w:p>
    <w:p w14:paraId="56173D64" w14:textId="56A2BD92" w:rsidR="0012167F" w:rsidRDefault="0012167F" w:rsidP="0012167F">
      <w:pPr>
        <w:ind w:left="708" w:hanging="708"/>
        <w:jc w:val="both"/>
      </w:pPr>
      <w:r>
        <w:t>6.</w:t>
      </w:r>
      <w:r w:rsidR="004E1F0C">
        <w:t>3</w:t>
      </w:r>
      <w:r>
        <w:t>.</w:t>
      </w:r>
      <w:r>
        <w:tab/>
        <w:t xml:space="preserve">Pronajímatel je oprávněn od této smlouvy odstoupit pouze v případě, že nájemce provede v nebytovém prostoru stavební změny bez písemného souhlasu. Účinky odstoupení od </w:t>
      </w:r>
      <w:r>
        <w:lastRenderedPageBreak/>
        <w:t xml:space="preserve">smlouvy nastávají dnem doručení písemného a odůvodněného oznámení o odstoupení od smlouvy nájemci. </w:t>
      </w:r>
    </w:p>
    <w:p w14:paraId="3F9D1AE4" w14:textId="77777777" w:rsidR="00545A04" w:rsidRDefault="00545A04" w:rsidP="009078BC">
      <w:pPr>
        <w:spacing w:after="0"/>
        <w:ind w:left="709" w:hanging="709"/>
        <w:jc w:val="center"/>
        <w:rPr>
          <w:b/>
        </w:rPr>
      </w:pPr>
    </w:p>
    <w:p w14:paraId="0F049D62" w14:textId="77777777" w:rsidR="00545A04" w:rsidRDefault="00545A04" w:rsidP="009078BC">
      <w:pPr>
        <w:spacing w:after="0"/>
        <w:ind w:left="709" w:hanging="709"/>
        <w:jc w:val="center"/>
        <w:rPr>
          <w:b/>
        </w:rPr>
      </w:pPr>
    </w:p>
    <w:p w14:paraId="66F11C0F" w14:textId="77777777" w:rsidR="00545A04" w:rsidRDefault="00545A04" w:rsidP="009078BC">
      <w:pPr>
        <w:spacing w:after="0"/>
        <w:ind w:left="709" w:hanging="709"/>
        <w:jc w:val="center"/>
        <w:rPr>
          <w:b/>
        </w:rPr>
      </w:pPr>
    </w:p>
    <w:p w14:paraId="5D609692" w14:textId="284B2C59" w:rsidR="00BF1FD4" w:rsidRDefault="00BF1FD4" w:rsidP="009078BC">
      <w:pPr>
        <w:spacing w:after="0"/>
        <w:ind w:left="709" w:hanging="709"/>
        <w:jc w:val="center"/>
        <w:rPr>
          <w:b/>
        </w:rPr>
      </w:pPr>
      <w:r>
        <w:rPr>
          <w:b/>
        </w:rPr>
        <w:t>VII.</w:t>
      </w:r>
    </w:p>
    <w:p w14:paraId="5D7D464A" w14:textId="77777777" w:rsidR="00BF1FD4" w:rsidRDefault="00BF1FD4" w:rsidP="00BF1FD4">
      <w:pPr>
        <w:ind w:left="708" w:hanging="708"/>
        <w:jc w:val="center"/>
        <w:rPr>
          <w:b/>
        </w:rPr>
      </w:pPr>
      <w:r>
        <w:rPr>
          <w:b/>
        </w:rPr>
        <w:t>Vyklizení a předání nebytového prostoru</w:t>
      </w:r>
    </w:p>
    <w:p w14:paraId="29FE6A43" w14:textId="51655C52" w:rsidR="00BF1FD4" w:rsidRDefault="00BF1FD4" w:rsidP="00C44231">
      <w:pPr>
        <w:ind w:left="708" w:hanging="708"/>
        <w:jc w:val="both"/>
      </w:pPr>
      <w:r>
        <w:t>7.1.</w:t>
      </w:r>
      <w:r>
        <w:tab/>
      </w:r>
      <w:r w:rsidR="00C44231">
        <w:t>Ke dni skončení nájmu je nájemce povinen předat vyklizený nebytový prostor pronajímateli v</w:t>
      </w:r>
      <w:r w:rsidR="00601F8B">
        <w:t> </w:t>
      </w:r>
      <w:r w:rsidR="00C44231">
        <w:t>řádném</w:t>
      </w:r>
      <w:r w:rsidR="00601F8B">
        <w:t xml:space="preserve"> stavu</w:t>
      </w:r>
      <w:r w:rsidR="00C44231">
        <w:t>. O předání nebytového prostotu bude sepsán předávací protokol.</w:t>
      </w:r>
    </w:p>
    <w:p w14:paraId="203F5CF7" w14:textId="42630381" w:rsidR="00C44231" w:rsidRDefault="00C44231" w:rsidP="00C44231">
      <w:pPr>
        <w:ind w:left="708" w:hanging="708"/>
        <w:jc w:val="both"/>
      </w:pPr>
      <w:r>
        <w:t>7.2.</w:t>
      </w:r>
      <w:r>
        <w:tab/>
        <w:t>Pokud nájemce po skončení nájemního vztahu dle této sm</w:t>
      </w:r>
      <w:r w:rsidR="00CA24F1">
        <w:t>louvy nepředá vyklizený nebytový</w:t>
      </w:r>
      <w:r>
        <w:t xml:space="preserve"> prostor pronajímateli</w:t>
      </w:r>
      <w:r w:rsidR="00CA24F1">
        <w:t>, je pronajímatel</w:t>
      </w:r>
      <w:r>
        <w:t xml:space="preserve"> oprávněn učinit veškeré kroky nutné k vyklizení nebytového prostoru svépomocí a to vše na náklady nájemce. </w:t>
      </w:r>
      <w:r w:rsidR="009E035F">
        <w:t>Tímto ujednáním není dotčeno právo pronajímatele na náhradu škody nebo vydání bezdůvodného obohacení.</w:t>
      </w:r>
    </w:p>
    <w:p w14:paraId="000B08F3" w14:textId="77777777" w:rsidR="005B7A2B" w:rsidRDefault="005B7A2B" w:rsidP="00C44231">
      <w:pPr>
        <w:ind w:left="708" w:hanging="708"/>
        <w:jc w:val="both"/>
      </w:pPr>
    </w:p>
    <w:p w14:paraId="1C88DC71" w14:textId="77777777" w:rsidR="00C116E3" w:rsidRDefault="00C116E3" w:rsidP="009078BC">
      <w:pPr>
        <w:spacing w:after="0"/>
        <w:ind w:left="709" w:hanging="709"/>
        <w:jc w:val="center"/>
        <w:rPr>
          <w:b/>
        </w:rPr>
      </w:pPr>
      <w:r>
        <w:rPr>
          <w:b/>
        </w:rPr>
        <w:t>VIII.</w:t>
      </w:r>
    </w:p>
    <w:p w14:paraId="497DA18F" w14:textId="77777777" w:rsidR="00C116E3" w:rsidRDefault="00C116E3" w:rsidP="00C116E3">
      <w:pPr>
        <w:ind w:left="708" w:hanging="708"/>
        <w:jc w:val="center"/>
        <w:rPr>
          <w:b/>
        </w:rPr>
      </w:pPr>
      <w:r>
        <w:rPr>
          <w:b/>
        </w:rPr>
        <w:t>Společná ustanovení</w:t>
      </w:r>
    </w:p>
    <w:p w14:paraId="73ABC1DD" w14:textId="65F54FB1" w:rsidR="00C116E3" w:rsidRDefault="00C116E3" w:rsidP="00FE249E">
      <w:pPr>
        <w:ind w:left="708" w:hanging="708"/>
        <w:jc w:val="both"/>
      </w:pPr>
      <w:r>
        <w:t>8.1.</w:t>
      </w:r>
      <w:r>
        <w:tab/>
        <w:t xml:space="preserve">V případě, že </w:t>
      </w:r>
      <w:r w:rsidR="00C769A8">
        <w:t xml:space="preserve">obě </w:t>
      </w:r>
      <w:r>
        <w:t>smluvní strany budou mít zřízeno</w:t>
      </w:r>
      <w:r w:rsidR="00067EF5">
        <w:t>u</w:t>
      </w:r>
      <w:r>
        <w:t xml:space="preserve"> datovou schránku ve smyslu zákona č. 300/2008 Sb., </w:t>
      </w:r>
      <w:r w:rsidR="00FE249E">
        <w:t>bude korespondence doručována na adresu datové schránky. Pronajímatel je současně oprávněn doručovat s účinky doručení a oznámení dle této smlouvy nájemci jako</w:t>
      </w:r>
      <w:r w:rsidR="00AA18B3">
        <w:t>u</w:t>
      </w:r>
      <w:r w:rsidR="00FE249E">
        <w:t xml:space="preserve">koliv korespondenci rovněž na adrese jeho provozovny. </w:t>
      </w:r>
      <w:r w:rsidR="00665628">
        <w:t xml:space="preserve">Nájemce je povinen písemně sdělit pronajímateli jakoukoliv změnu svého sídla, do doby sdělení nového sídla je pronajímatel oprávněn doručovat korespondenci na adresu sídla, která je pronajímateli známa ze záhlaví této smlouvy či z posledního sdělení nájemce o adrese sídla a to vše s účinky doručení a to i tehdy, pokud si nájemce tuto korespondenci nepřevezme. </w:t>
      </w:r>
    </w:p>
    <w:p w14:paraId="1F39301A" w14:textId="77777777" w:rsidR="0089531E" w:rsidRDefault="0089531E" w:rsidP="00FE249E">
      <w:pPr>
        <w:ind w:left="708" w:hanging="708"/>
        <w:jc w:val="both"/>
      </w:pPr>
      <w:r>
        <w:t>8.2.</w:t>
      </w:r>
      <w:r>
        <w:tab/>
        <w:t xml:space="preserve">Smluvní strany prohlašují, že tato smlouva byla uzavřena dle jejich pravé, svobodné a vážné vůle a na důkaz toho připojují své podpisy. </w:t>
      </w:r>
    </w:p>
    <w:p w14:paraId="0CA5B98A" w14:textId="77777777" w:rsidR="00904BC5" w:rsidRDefault="0089531E" w:rsidP="00D8125D">
      <w:pPr>
        <w:ind w:left="709" w:hanging="709"/>
        <w:jc w:val="both"/>
      </w:pPr>
      <w:r>
        <w:t>8.3.</w:t>
      </w:r>
      <w:r>
        <w:tab/>
        <w:t xml:space="preserve">Jakékoliv změny či doplňky této smlouvy je možno pod sankcí neplatnosti provádět výlučně v písemné formě. </w:t>
      </w:r>
    </w:p>
    <w:p w14:paraId="6ED05600" w14:textId="3CE3DD18" w:rsidR="00D8125D" w:rsidRDefault="00236493" w:rsidP="00D8125D">
      <w:pPr>
        <w:ind w:left="709" w:hanging="709"/>
        <w:jc w:val="both"/>
        <w:rPr>
          <w:color w:val="000000" w:themeColor="text1"/>
        </w:rPr>
      </w:pPr>
      <w:r w:rsidRPr="00F71706">
        <w:rPr>
          <w:color w:val="000000" w:themeColor="text1"/>
        </w:rPr>
        <w:t>8.4.</w:t>
      </w:r>
      <w:r w:rsidRPr="00F71706">
        <w:rPr>
          <w:color w:val="000000" w:themeColor="text1"/>
        </w:rPr>
        <w:tab/>
        <w:t>Tato smlouva nabývá platnosti dnem podpisu této smlouvy</w:t>
      </w:r>
      <w:r w:rsidR="00D8125D">
        <w:rPr>
          <w:color w:val="000000" w:themeColor="text1"/>
        </w:rPr>
        <w:t xml:space="preserve"> </w:t>
      </w:r>
      <w:r w:rsidR="00D8125D" w:rsidRPr="00F71706">
        <w:rPr>
          <w:color w:val="000000" w:themeColor="text1"/>
        </w:rPr>
        <w:t>a účinnosti dnem</w:t>
      </w:r>
      <w:r w:rsidR="00D8125D">
        <w:rPr>
          <w:color w:val="000000" w:themeColor="text1"/>
        </w:rPr>
        <w:t xml:space="preserve"> zveřejnění v registru smluv</w:t>
      </w:r>
      <w:r w:rsidRPr="00F71706">
        <w:rPr>
          <w:color w:val="000000" w:themeColor="text1"/>
        </w:rPr>
        <w:t>.</w:t>
      </w:r>
      <w:r w:rsidR="00D8125D" w:rsidRPr="00D8125D">
        <w:rPr>
          <w:color w:val="000000" w:themeColor="text1"/>
        </w:rPr>
        <w:t xml:space="preserve"> Správa účelových zařízení, příspěvková organizace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Správa účelových zařízení, příspěvková organizace, a to i v případě, kdy druhou smluvní stranou bude rovněž povinný subjekt ze zákona.</w:t>
      </w:r>
    </w:p>
    <w:p w14:paraId="604A9385" w14:textId="77777777" w:rsidR="00573C3B" w:rsidRPr="006337EA" w:rsidRDefault="00573C3B" w:rsidP="006337EA">
      <w:pPr>
        <w:ind w:left="709" w:hanging="709"/>
        <w:jc w:val="both"/>
        <w:rPr>
          <w:color w:val="000000" w:themeColor="text1"/>
        </w:rPr>
      </w:pPr>
      <w:r>
        <w:rPr>
          <w:color w:val="000000" w:themeColor="text1"/>
        </w:rPr>
        <w:t>8.5</w:t>
      </w:r>
      <w:r>
        <w:rPr>
          <w:color w:val="000000" w:themeColor="text1"/>
        </w:rPr>
        <w:tab/>
      </w:r>
      <w:r w:rsidRPr="006337EA">
        <w:rPr>
          <w:color w:val="000000" w:themeColor="text1"/>
        </w:rPr>
        <w:t>Doložka platnosti právního jednání dle § 23 zákona č. 129/2000 Sb., o krajích (krajské zřízení), ve znění pozdějších předpisů:</w:t>
      </w:r>
    </w:p>
    <w:p w14:paraId="779038F9" w14:textId="07614916" w:rsidR="00573C3B" w:rsidRPr="00D8125D" w:rsidRDefault="00573C3B" w:rsidP="006337EA">
      <w:pPr>
        <w:ind w:left="709" w:hanging="1"/>
        <w:jc w:val="both"/>
        <w:rPr>
          <w:color w:val="000000" w:themeColor="text1"/>
        </w:rPr>
      </w:pPr>
      <w:r w:rsidRPr="006337EA">
        <w:rPr>
          <w:color w:val="000000" w:themeColor="text1"/>
        </w:rPr>
        <w:lastRenderedPageBreak/>
        <w:t>O uzavření této smlouvy rozhodla rada kraje svým usnesením č. </w:t>
      </w:r>
      <w:r w:rsidR="00E77DCF" w:rsidRPr="00E77DCF">
        <w:rPr>
          <w:color w:val="000000" w:themeColor="text1"/>
        </w:rPr>
        <w:t>5/371 ze dne 16.12.202</w:t>
      </w:r>
      <w:r w:rsidR="000F024A">
        <w:rPr>
          <w:color w:val="000000" w:themeColor="text1"/>
        </w:rPr>
        <w:t>4</w:t>
      </w:r>
      <w:r w:rsidR="00E77DCF" w:rsidRPr="00E77DCF">
        <w:rPr>
          <w:color w:val="000000" w:themeColor="text1"/>
        </w:rPr>
        <w:t>.</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4"/>
      </w:tblGrid>
      <w:tr w:rsidR="007F3079" w14:paraId="58AC1D04" w14:textId="77777777" w:rsidTr="00AC152F">
        <w:trPr>
          <w:jc w:val="center"/>
        </w:trPr>
        <w:tc>
          <w:tcPr>
            <w:tcW w:w="4530" w:type="dxa"/>
            <w:tcBorders>
              <w:right w:val="single" w:sz="4" w:space="0" w:color="auto"/>
            </w:tcBorders>
          </w:tcPr>
          <w:p w14:paraId="302E6890" w14:textId="77777777" w:rsidR="007F3079" w:rsidRPr="00AD55CF" w:rsidRDefault="007F3079" w:rsidP="00AC152F">
            <w:pPr>
              <w:jc w:val="center"/>
            </w:pPr>
          </w:p>
          <w:p w14:paraId="7F6E1C73" w14:textId="77777777" w:rsidR="007F3079" w:rsidRPr="00AD55CF" w:rsidRDefault="007F3079" w:rsidP="00AC152F">
            <w:pPr>
              <w:jc w:val="center"/>
            </w:pPr>
          </w:p>
          <w:p w14:paraId="3E465433" w14:textId="07C243AE" w:rsidR="007F3079" w:rsidRPr="00B774AE" w:rsidRDefault="007F3079" w:rsidP="00AC152F">
            <w:pPr>
              <w:jc w:val="center"/>
            </w:pPr>
            <w:r w:rsidRPr="00B774AE">
              <w:t>v</w:t>
            </w:r>
            <w:r w:rsidR="00B774AE" w:rsidRPr="00B774AE">
              <w:t> </w:t>
            </w:r>
            <w:r w:rsidR="00B774AE" w:rsidRPr="00B774AE">
              <w:rPr>
                <w:rFonts w:ascii="Calibri" w:hAnsi="Calibri" w:cs="Calibri"/>
              </w:rPr>
              <w:t>Českém Těšíně</w:t>
            </w:r>
            <w:r w:rsidRPr="00B774AE">
              <w:t xml:space="preserve"> dne ……………………</w:t>
            </w:r>
          </w:p>
          <w:p w14:paraId="2B18FC13" w14:textId="77777777" w:rsidR="007F3079" w:rsidRPr="00B774AE" w:rsidRDefault="007F3079" w:rsidP="00AC152F">
            <w:pPr>
              <w:jc w:val="center"/>
            </w:pPr>
          </w:p>
          <w:p w14:paraId="788B2CAE" w14:textId="77777777" w:rsidR="007F3079" w:rsidRPr="00B774AE" w:rsidRDefault="007F3079" w:rsidP="00AC152F">
            <w:pPr>
              <w:jc w:val="center"/>
            </w:pPr>
          </w:p>
          <w:p w14:paraId="0E3E0FDE" w14:textId="77777777" w:rsidR="007F3079" w:rsidRPr="00B774AE" w:rsidRDefault="007F3079" w:rsidP="00AC152F">
            <w:pPr>
              <w:jc w:val="center"/>
            </w:pPr>
          </w:p>
          <w:p w14:paraId="7DF3667A" w14:textId="77777777" w:rsidR="007F3079" w:rsidRPr="00B774AE" w:rsidRDefault="007F3079" w:rsidP="00AC152F">
            <w:pPr>
              <w:jc w:val="center"/>
            </w:pPr>
            <w:r w:rsidRPr="00B774AE">
              <w:t>…………………………………………</w:t>
            </w:r>
          </w:p>
          <w:p w14:paraId="7DAF4450" w14:textId="03D7D38E" w:rsidR="007F3079" w:rsidRPr="00B774AE" w:rsidRDefault="007F3079" w:rsidP="00AC152F">
            <w:pPr>
              <w:jc w:val="center"/>
            </w:pPr>
            <w:r w:rsidRPr="00B774AE">
              <w:t>Ing. Lenka Tomková</w:t>
            </w:r>
          </w:p>
          <w:p w14:paraId="47DCA3C7" w14:textId="0C1CD0CD" w:rsidR="007F3079" w:rsidRPr="00B774AE" w:rsidRDefault="007F3079" w:rsidP="00AC152F">
            <w:pPr>
              <w:jc w:val="center"/>
              <w:rPr>
                <w:rFonts w:ascii="Calibri" w:hAnsi="Calibri" w:cs="Calibri"/>
              </w:rPr>
            </w:pPr>
            <w:r w:rsidRPr="00B774AE">
              <w:rPr>
                <w:rFonts w:ascii="Calibri" w:hAnsi="Calibri" w:cs="Calibri"/>
              </w:rPr>
              <w:t>ředitelka</w:t>
            </w:r>
          </w:p>
          <w:p w14:paraId="7683E6BA" w14:textId="77777777" w:rsidR="007F3079" w:rsidRPr="00B774AE" w:rsidRDefault="007F3079" w:rsidP="00AC152F">
            <w:pPr>
              <w:jc w:val="center"/>
            </w:pPr>
          </w:p>
        </w:tc>
        <w:tc>
          <w:tcPr>
            <w:tcW w:w="4530" w:type="dxa"/>
            <w:tcBorders>
              <w:left w:val="single" w:sz="4" w:space="0" w:color="auto"/>
            </w:tcBorders>
          </w:tcPr>
          <w:p w14:paraId="3D375AD1" w14:textId="77777777" w:rsidR="007F3079" w:rsidRPr="00B774AE" w:rsidRDefault="007F3079" w:rsidP="00AC152F">
            <w:pPr>
              <w:jc w:val="center"/>
            </w:pPr>
          </w:p>
          <w:p w14:paraId="0FA3D779" w14:textId="77777777" w:rsidR="007F3079" w:rsidRPr="00B774AE" w:rsidRDefault="007F3079" w:rsidP="00AC152F">
            <w:pPr>
              <w:jc w:val="center"/>
            </w:pPr>
          </w:p>
          <w:p w14:paraId="1B8E04BE" w14:textId="77777777" w:rsidR="007F3079" w:rsidRPr="00B774AE" w:rsidRDefault="007F3079" w:rsidP="00AC152F">
            <w:pPr>
              <w:jc w:val="center"/>
            </w:pPr>
            <w:r w:rsidRPr="00B774AE">
              <w:t>v …………………… dne ……………………</w:t>
            </w:r>
          </w:p>
          <w:p w14:paraId="3258A0F3" w14:textId="77777777" w:rsidR="007F3079" w:rsidRPr="00B774AE" w:rsidRDefault="007F3079" w:rsidP="00AC152F">
            <w:pPr>
              <w:jc w:val="center"/>
            </w:pPr>
          </w:p>
          <w:p w14:paraId="0D235F66" w14:textId="77777777" w:rsidR="007F3079" w:rsidRPr="00B774AE" w:rsidRDefault="007F3079" w:rsidP="00AC152F">
            <w:pPr>
              <w:jc w:val="center"/>
            </w:pPr>
          </w:p>
          <w:p w14:paraId="210F8CB8" w14:textId="77777777" w:rsidR="007F3079" w:rsidRPr="00B774AE" w:rsidRDefault="007F3079" w:rsidP="00AC152F">
            <w:pPr>
              <w:jc w:val="center"/>
            </w:pPr>
          </w:p>
          <w:p w14:paraId="6C963F50" w14:textId="77777777" w:rsidR="007F3079" w:rsidRPr="00B774AE" w:rsidRDefault="007F3079" w:rsidP="00AC152F">
            <w:pPr>
              <w:jc w:val="center"/>
            </w:pPr>
            <w:r w:rsidRPr="00B774AE">
              <w:t>…………………………………………</w:t>
            </w:r>
          </w:p>
          <w:p w14:paraId="4AC8D052" w14:textId="2F04AEC1" w:rsidR="00F7246D" w:rsidRDefault="00F7246D" w:rsidP="008779C7">
            <w:pPr>
              <w:jc w:val="center"/>
              <w:rPr>
                <w:color w:val="000000" w:themeColor="text1"/>
              </w:rPr>
            </w:pPr>
            <w:r w:rsidRPr="00F7246D">
              <w:rPr>
                <w:color w:val="000000" w:themeColor="text1"/>
              </w:rPr>
              <w:t>RNDr. Jan Veřmiřovský, Ph.D., MBA, LL.M.,</w:t>
            </w:r>
          </w:p>
          <w:p w14:paraId="0509B56A" w14:textId="5428439A" w:rsidR="00F7246D" w:rsidRPr="00B05BE8" w:rsidRDefault="00F7246D" w:rsidP="008779C7">
            <w:pPr>
              <w:ind w:firstLine="708"/>
              <w:rPr>
                <w:color w:val="000000" w:themeColor="text1"/>
              </w:rPr>
            </w:pPr>
            <w:r w:rsidRPr="00F7246D">
              <w:rPr>
                <w:color w:val="000000" w:themeColor="text1"/>
              </w:rPr>
              <w:t>náměst</w:t>
            </w:r>
            <w:r w:rsidR="008779C7">
              <w:rPr>
                <w:color w:val="000000" w:themeColor="text1"/>
              </w:rPr>
              <w:t>ek</w:t>
            </w:r>
            <w:r w:rsidRPr="00F7246D">
              <w:rPr>
                <w:color w:val="000000" w:themeColor="text1"/>
              </w:rPr>
              <w:t xml:space="preserve"> hejtmana kraje</w:t>
            </w:r>
          </w:p>
          <w:p w14:paraId="5B07E369" w14:textId="2030A3D4" w:rsidR="007F3079" w:rsidRDefault="007F3079" w:rsidP="00AC152F">
            <w:pPr>
              <w:jc w:val="center"/>
            </w:pPr>
          </w:p>
        </w:tc>
      </w:tr>
    </w:tbl>
    <w:p w14:paraId="18043EE0" w14:textId="69685539" w:rsidR="003039B2" w:rsidRDefault="003039B2" w:rsidP="007F3079">
      <w:pPr>
        <w:ind w:left="708" w:hanging="708"/>
        <w:jc w:val="both"/>
      </w:pPr>
    </w:p>
    <w:p w14:paraId="3ED84CB2" w14:textId="77777777" w:rsidR="00984645" w:rsidRPr="006337EA" w:rsidRDefault="00984645" w:rsidP="00984645">
      <w:pPr>
        <w:jc w:val="both"/>
        <w:rPr>
          <w:rFonts w:cstheme="minorHAnsi"/>
        </w:rPr>
      </w:pPr>
      <w:r w:rsidRPr="006337EA">
        <w:rPr>
          <w:rFonts w:cstheme="minorHAnsi"/>
        </w:rPr>
        <w:t>Tuto smlouvu je na základě pověření uděleného se souhlasem rady kraje oprávněn podepsat náměstek hejtmana kraje. V případě nepřítomnosti náměstka hejtmana kraje podepisuje smlouvu hejtman kraje, případně jeho zástupce v pořadí určeném usnesením zastupitelstva č. 1/11 ze dne 21. 10. 2024.</w:t>
      </w:r>
    </w:p>
    <w:p w14:paraId="2E387F6D" w14:textId="77777777" w:rsidR="00984645" w:rsidRPr="00DA5478" w:rsidRDefault="00984645" w:rsidP="007F3079">
      <w:pPr>
        <w:ind w:left="708" w:hanging="708"/>
        <w:jc w:val="both"/>
      </w:pPr>
    </w:p>
    <w:sectPr w:rsidR="00984645" w:rsidRPr="00DA5478" w:rsidSect="00E87F06">
      <w:footerReference w:type="even" r:id="rId10"/>
      <w:footerReference w:type="default" r:id="rId11"/>
      <w:footerReference w:type="first" r:id="rId12"/>
      <w:pgSz w:w="11906" w:h="16838"/>
      <w:pgMar w:top="1417" w:right="1558"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505F6" w14:textId="77777777" w:rsidR="006C04B0" w:rsidRDefault="006C04B0" w:rsidP="00F007C5">
      <w:pPr>
        <w:spacing w:after="0" w:line="240" w:lineRule="auto"/>
      </w:pPr>
      <w:r>
        <w:separator/>
      </w:r>
    </w:p>
  </w:endnote>
  <w:endnote w:type="continuationSeparator" w:id="0">
    <w:p w14:paraId="2C090AEE" w14:textId="77777777" w:rsidR="006C04B0" w:rsidRDefault="006C04B0" w:rsidP="00F007C5">
      <w:pPr>
        <w:spacing w:after="0" w:line="240" w:lineRule="auto"/>
      </w:pPr>
      <w:r>
        <w:continuationSeparator/>
      </w:r>
    </w:p>
  </w:endnote>
  <w:endnote w:type="continuationNotice" w:id="1">
    <w:p w14:paraId="621948AE" w14:textId="77777777" w:rsidR="006C04B0" w:rsidRDefault="006C04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CKGinis">
    <w:altName w:val="Calibri"/>
    <w:charset w:val="EE"/>
    <w:family w:val="swiss"/>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1ACFA" w14:textId="610C2B3A" w:rsidR="00F007C5" w:rsidRDefault="00F007C5">
    <w:pPr>
      <w:pStyle w:val="Zpat"/>
    </w:pPr>
    <w:r>
      <w:rPr>
        <w:noProof/>
      </w:rPr>
      <mc:AlternateContent>
        <mc:Choice Requires="wps">
          <w:drawing>
            <wp:anchor distT="0" distB="0" distL="0" distR="0" simplePos="0" relativeHeight="251658241" behindDoc="0" locked="0" layoutInCell="1" allowOverlap="1" wp14:anchorId="39F75888" wp14:editId="0EC264CD">
              <wp:simplePos x="635" y="635"/>
              <wp:positionH relativeFrom="page">
                <wp:align>left</wp:align>
              </wp:positionH>
              <wp:positionV relativeFrom="page">
                <wp:align>bottom</wp:align>
              </wp:positionV>
              <wp:extent cx="1743075" cy="351155"/>
              <wp:effectExtent l="0" t="0" r="9525" b="0"/>
              <wp:wrapNone/>
              <wp:docPr id="139202722"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51155"/>
                      </a:xfrm>
                      <a:prstGeom prst="rect">
                        <a:avLst/>
                      </a:prstGeom>
                      <a:noFill/>
                      <a:ln>
                        <a:noFill/>
                      </a:ln>
                    </wps:spPr>
                    <wps:txbx>
                      <w:txbxContent>
                        <w:p w14:paraId="69D10A09" w14:textId="137AEE23" w:rsidR="00F007C5" w:rsidRPr="00F007C5" w:rsidRDefault="00F007C5" w:rsidP="00F007C5">
                          <w:pPr>
                            <w:spacing w:after="0"/>
                            <w:rPr>
                              <w:rFonts w:ascii="Calibri" w:eastAsia="Calibri" w:hAnsi="Calibri" w:cs="Calibri"/>
                              <w:noProof/>
                              <w:color w:val="000000"/>
                              <w:sz w:val="18"/>
                              <w:szCs w:val="18"/>
                            </w:rPr>
                          </w:pPr>
                          <w:r w:rsidRPr="00F007C5">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F75888"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137.25pt;height:27.6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" filled="f" stroked="f">
              <v:textbox style="mso-fit-shape-to-text:t" inset="20pt,0,0,15pt">
                <w:txbxContent>
                  <w:p w14:paraId="69D10A09" w14:textId="137AEE23" w:rsidR="00F007C5" w:rsidRPr="00F007C5" w:rsidRDefault="00F007C5" w:rsidP="00F007C5">
                    <w:pPr>
                      <w:spacing w:after="0"/>
                      <w:rPr>
                        <w:rFonts w:ascii="Calibri" w:eastAsia="Calibri" w:hAnsi="Calibri" w:cs="Calibri"/>
                        <w:noProof/>
                        <w:color w:val="000000"/>
                        <w:sz w:val="18"/>
                        <w:szCs w:val="18"/>
                      </w:rPr>
                    </w:pPr>
                    <w:r w:rsidRPr="00F007C5">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3260D" w14:textId="3C5DB357" w:rsidR="00F007C5" w:rsidRDefault="00F007C5">
    <w:pPr>
      <w:pStyle w:val="Zpat"/>
    </w:pPr>
    <w:r>
      <w:rPr>
        <w:noProof/>
      </w:rPr>
      <mc:AlternateContent>
        <mc:Choice Requires="wps">
          <w:drawing>
            <wp:anchor distT="0" distB="0" distL="0" distR="0" simplePos="0" relativeHeight="251658242" behindDoc="0" locked="0" layoutInCell="1" allowOverlap="1" wp14:anchorId="6E0E79A5" wp14:editId="52A1C258">
              <wp:simplePos x="635" y="635"/>
              <wp:positionH relativeFrom="page">
                <wp:align>left</wp:align>
              </wp:positionH>
              <wp:positionV relativeFrom="page">
                <wp:align>bottom</wp:align>
              </wp:positionV>
              <wp:extent cx="1743075" cy="351155"/>
              <wp:effectExtent l="0" t="0" r="9525" b="0"/>
              <wp:wrapNone/>
              <wp:docPr id="79249680"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51155"/>
                      </a:xfrm>
                      <a:prstGeom prst="rect">
                        <a:avLst/>
                      </a:prstGeom>
                      <a:noFill/>
                      <a:ln>
                        <a:noFill/>
                      </a:ln>
                    </wps:spPr>
                    <wps:txbx>
                      <w:txbxContent>
                        <w:p w14:paraId="6AB66BAC" w14:textId="734D84B7" w:rsidR="00F007C5" w:rsidRPr="00F007C5" w:rsidRDefault="00F007C5" w:rsidP="00F007C5">
                          <w:pPr>
                            <w:spacing w:after="0"/>
                            <w:rPr>
                              <w:rFonts w:ascii="Calibri" w:eastAsia="Calibri" w:hAnsi="Calibri" w:cs="Calibri"/>
                              <w:noProof/>
                              <w:color w:val="000000"/>
                              <w:sz w:val="18"/>
                              <w:szCs w:val="18"/>
                            </w:rPr>
                          </w:pPr>
                          <w:r w:rsidRPr="00F007C5">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0E79A5"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137.25pt;height:27.6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" filled="f" stroked="f">
              <v:textbox style="mso-fit-shape-to-text:t" inset="20pt,0,0,15pt">
                <w:txbxContent>
                  <w:p w14:paraId="6AB66BAC" w14:textId="734D84B7" w:rsidR="00F007C5" w:rsidRPr="00F007C5" w:rsidRDefault="00F007C5" w:rsidP="00F007C5">
                    <w:pPr>
                      <w:spacing w:after="0"/>
                      <w:rPr>
                        <w:rFonts w:ascii="Calibri" w:eastAsia="Calibri" w:hAnsi="Calibri" w:cs="Calibri"/>
                        <w:noProof/>
                        <w:color w:val="000000"/>
                        <w:sz w:val="18"/>
                        <w:szCs w:val="18"/>
                      </w:rPr>
                    </w:pPr>
                    <w:r w:rsidRPr="00F007C5">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C0CA" w14:textId="7FF7C822" w:rsidR="00F007C5" w:rsidRDefault="00F007C5">
    <w:pPr>
      <w:pStyle w:val="Zpat"/>
    </w:pPr>
    <w:r>
      <w:rPr>
        <w:noProof/>
      </w:rPr>
      <mc:AlternateContent>
        <mc:Choice Requires="wps">
          <w:drawing>
            <wp:anchor distT="0" distB="0" distL="0" distR="0" simplePos="0" relativeHeight="251658240" behindDoc="0" locked="0" layoutInCell="1" allowOverlap="1" wp14:anchorId="2A57A8E9" wp14:editId="22A99AD0">
              <wp:simplePos x="635" y="635"/>
              <wp:positionH relativeFrom="page">
                <wp:align>left</wp:align>
              </wp:positionH>
              <wp:positionV relativeFrom="page">
                <wp:align>bottom</wp:align>
              </wp:positionV>
              <wp:extent cx="1743075" cy="351155"/>
              <wp:effectExtent l="0" t="0" r="9525" b="0"/>
              <wp:wrapNone/>
              <wp:docPr id="2138886870"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51155"/>
                      </a:xfrm>
                      <a:prstGeom prst="rect">
                        <a:avLst/>
                      </a:prstGeom>
                      <a:noFill/>
                      <a:ln>
                        <a:noFill/>
                      </a:ln>
                    </wps:spPr>
                    <wps:txbx>
                      <w:txbxContent>
                        <w:p w14:paraId="41EBA893" w14:textId="08AEEE44" w:rsidR="00F007C5" w:rsidRPr="00F007C5" w:rsidRDefault="00F007C5" w:rsidP="00F007C5">
                          <w:pPr>
                            <w:spacing w:after="0"/>
                            <w:rPr>
                              <w:rFonts w:ascii="Calibri" w:eastAsia="Calibri" w:hAnsi="Calibri" w:cs="Calibri"/>
                              <w:noProof/>
                              <w:color w:val="000000"/>
                              <w:sz w:val="18"/>
                              <w:szCs w:val="18"/>
                            </w:rPr>
                          </w:pPr>
                          <w:r w:rsidRPr="00F007C5">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57A8E9"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137.25pt;height:27.6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" filled="f" stroked="f">
              <v:textbox style="mso-fit-shape-to-text:t" inset="20pt,0,0,15pt">
                <w:txbxContent>
                  <w:p w14:paraId="41EBA893" w14:textId="08AEEE44" w:rsidR="00F007C5" w:rsidRPr="00F007C5" w:rsidRDefault="00F007C5" w:rsidP="00F007C5">
                    <w:pPr>
                      <w:spacing w:after="0"/>
                      <w:rPr>
                        <w:rFonts w:ascii="Calibri" w:eastAsia="Calibri" w:hAnsi="Calibri" w:cs="Calibri"/>
                        <w:noProof/>
                        <w:color w:val="000000"/>
                        <w:sz w:val="18"/>
                        <w:szCs w:val="18"/>
                      </w:rPr>
                    </w:pPr>
                    <w:r w:rsidRPr="00F007C5">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94E2B" w14:textId="77777777" w:rsidR="006C04B0" w:rsidRDefault="006C04B0" w:rsidP="00F007C5">
      <w:pPr>
        <w:spacing w:after="0" w:line="240" w:lineRule="auto"/>
      </w:pPr>
      <w:r>
        <w:separator/>
      </w:r>
    </w:p>
  </w:footnote>
  <w:footnote w:type="continuationSeparator" w:id="0">
    <w:p w14:paraId="0DC394FE" w14:textId="77777777" w:rsidR="006C04B0" w:rsidRDefault="006C04B0" w:rsidP="00F007C5">
      <w:pPr>
        <w:spacing w:after="0" w:line="240" w:lineRule="auto"/>
      </w:pPr>
      <w:r>
        <w:continuationSeparator/>
      </w:r>
    </w:p>
  </w:footnote>
  <w:footnote w:type="continuationNotice" w:id="1">
    <w:p w14:paraId="22CD3488" w14:textId="77777777" w:rsidR="006C04B0" w:rsidRDefault="006C04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3131A5D"/>
    <w:multiLevelType w:val="hybridMultilevel"/>
    <w:tmpl w:val="AF2EF7FC"/>
    <w:lvl w:ilvl="0" w:tplc="6E46028A">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6C2446D"/>
    <w:multiLevelType w:val="hybridMultilevel"/>
    <w:tmpl w:val="63CABC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595628">
    <w:abstractNumId w:val="1"/>
  </w:num>
  <w:num w:numId="2" w16cid:durableId="1659839828">
    <w:abstractNumId w:val="2"/>
  </w:num>
  <w:num w:numId="3" w16cid:durableId="1732656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ED"/>
    <w:rsid w:val="00023D3A"/>
    <w:rsid w:val="00064904"/>
    <w:rsid w:val="00067726"/>
    <w:rsid w:val="00067EF5"/>
    <w:rsid w:val="000713B3"/>
    <w:rsid w:val="00071998"/>
    <w:rsid w:val="00085F49"/>
    <w:rsid w:val="0009179D"/>
    <w:rsid w:val="000B027B"/>
    <w:rsid w:val="000C02AC"/>
    <w:rsid w:val="000D4333"/>
    <w:rsid w:val="000E268E"/>
    <w:rsid w:val="000F024A"/>
    <w:rsid w:val="000F5208"/>
    <w:rsid w:val="00103EB9"/>
    <w:rsid w:val="00107B46"/>
    <w:rsid w:val="0012167F"/>
    <w:rsid w:val="00132F0B"/>
    <w:rsid w:val="00157820"/>
    <w:rsid w:val="00165FC1"/>
    <w:rsid w:val="001740C5"/>
    <w:rsid w:val="001A213A"/>
    <w:rsid w:val="001B3831"/>
    <w:rsid w:val="001C38A0"/>
    <w:rsid w:val="001E3DD2"/>
    <w:rsid w:val="001E45ED"/>
    <w:rsid w:val="001E7651"/>
    <w:rsid w:val="001F0547"/>
    <w:rsid w:val="00204C18"/>
    <w:rsid w:val="00236493"/>
    <w:rsid w:val="0025282C"/>
    <w:rsid w:val="00253AF8"/>
    <w:rsid w:val="00263D29"/>
    <w:rsid w:val="002770CA"/>
    <w:rsid w:val="0028715C"/>
    <w:rsid w:val="002933FC"/>
    <w:rsid w:val="002B0455"/>
    <w:rsid w:val="002C2BA4"/>
    <w:rsid w:val="002C7E43"/>
    <w:rsid w:val="002D3683"/>
    <w:rsid w:val="002F4BDB"/>
    <w:rsid w:val="00300F7A"/>
    <w:rsid w:val="00302F84"/>
    <w:rsid w:val="003039B2"/>
    <w:rsid w:val="00314F7E"/>
    <w:rsid w:val="00314FCB"/>
    <w:rsid w:val="003306A9"/>
    <w:rsid w:val="003409DC"/>
    <w:rsid w:val="00346D69"/>
    <w:rsid w:val="00357DC2"/>
    <w:rsid w:val="00362594"/>
    <w:rsid w:val="00384ED5"/>
    <w:rsid w:val="003D713F"/>
    <w:rsid w:val="003E5EA5"/>
    <w:rsid w:val="0042667C"/>
    <w:rsid w:val="0045664C"/>
    <w:rsid w:val="004A58FE"/>
    <w:rsid w:val="004C3184"/>
    <w:rsid w:val="004C7529"/>
    <w:rsid w:val="004D0753"/>
    <w:rsid w:val="004E1F0C"/>
    <w:rsid w:val="004F5B37"/>
    <w:rsid w:val="0050052D"/>
    <w:rsid w:val="00515475"/>
    <w:rsid w:val="0052091B"/>
    <w:rsid w:val="00545A04"/>
    <w:rsid w:val="00555F31"/>
    <w:rsid w:val="00560AC0"/>
    <w:rsid w:val="00573C3B"/>
    <w:rsid w:val="005A311A"/>
    <w:rsid w:val="005B7A2B"/>
    <w:rsid w:val="005C26F3"/>
    <w:rsid w:val="005C60B7"/>
    <w:rsid w:val="005D2D40"/>
    <w:rsid w:val="005E58CF"/>
    <w:rsid w:val="005F6B41"/>
    <w:rsid w:val="00601F8B"/>
    <w:rsid w:val="006127A3"/>
    <w:rsid w:val="00617583"/>
    <w:rsid w:val="00626B1B"/>
    <w:rsid w:val="0063086E"/>
    <w:rsid w:val="006337EA"/>
    <w:rsid w:val="006408AB"/>
    <w:rsid w:val="00641A64"/>
    <w:rsid w:val="00646474"/>
    <w:rsid w:val="00646FC4"/>
    <w:rsid w:val="006501FC"/>
    <w:rsid w:val="00652D27"/>
    <w:rsid w:val="00662CCC"/>
    <w:rsid w:val="00665628"/>
    <w:rsid w:val="00666BCF"/>
    <w:rsid w:val="006740BC"/>
    <w:rsid w:val="00691C41"/>
    <w:rsid w:val="0069472A"/>
    <w:rsid w:val="006A3598"/>
    <w:rsid w:val="006B374E"/>
    <w:rsid w:val="006C04B0"/>
    <w:rsid w:val="006C0E31"/>
    <w:rsid w:val="006C2379"/>
    <w:rsid w:val="006E3E17"/>
    <w:rsid w:val="006F44A9"/>
    <w:rsid w:val="007201CE"/>
    <w:rsid w:val="007336AE"/>
    <w:rsid w:val="00742F6C"/>
    <w:rsid w:val="00752695"/>
    <w:rsid w:val="007540D3"/>
    <w:rsid w:val="00757D80"/>
    <w:rsid w:val="00762464"/>
    <w:rsid w:val="007C1803"/>
    <w:rsid w:val="007E2D78"/>
    <w:rsid w:val="007E5A42"/>
    <w:rsid w:val="007F3079"/>
    <w:rsid w:val="007F4722"/>
    <w:rsid w:val="007F4F42"/>
    <w:rsid w:val="00801CC1"/>
    <w:rsid w:val="008075C9"/>
    <w:rsid w:val="008204BC"/>
    <w:rsid w:val="008301F7"/>
    <w:rsid w:val="00845672"/>
    <w:rsid w:val="008572F3"/>
    <w:rsid w:val="0086222A"/>
    <w:rsid w:val="00870D07"/>
    <w:rsid w:val="008779C7"/>
    <w:rsid w:val="0089346F"/>
    <w:rsid w:val="0089531E"/>
    <w:rsid w:val="008D2454"/>
    <w:rsid w:val="008F4030"/>
    <w:rsid w:val="00904BC5"/>
    <w:rsid w:val="009078BC"/>
    <w:rsid w:val="00911A86"/>
    <w:rsid w:val="00911D4D"/>
    <w:rsid w:val="009156BE"/>
    <w:rsid w:val="0095038C"/>
    <w:rsid w:val="00984645"/>
    <w:rsid w:val="00987259"/>
    <w:rsid w:val="00997930"/>
    <w:rsid w:val="009B0DDD"/>
    <w:rsid w:val="009B33B5"/>
    <w:rsid w:val="009C0429"/>
    <w:rsid w:val="009C0440"/>
    <w:rsid w:val="009C22D4"/>
    <w:rsid w:val="009D1951"/>
    <w:rsid w:val="009E035F"/>
    <w:rsid w:val="009E3A7A"/>
    <w:rsid w:val="00A14E39"/>
    <w:rsid w:val="00A21548"/>
    <w:rsid w:val="00A220ED"/>
    <w:rsid w:val="00A37DE6"/>
    <w:rsid w:val="00A43BF1"/>
    <w:rsid w:val="00A7170C"/>
    <w:rsid w:val="00A7209A"/>
    <w:rsid w:val="00A92690"/>
    <w:rsid w:val="00A94A69"/>
    <w:rsid w:val="00AA18B3"/>
    <w:rsid w:val="00AA68AE"/>
    <w:rsid w:val="00AA6E7E"/>
    <w:rsid w:val="00AB10E8"/>
    <w:rsid w:val="00AB116B"/>
    <w:rsid w:val="00AC2795"/>
    <w:rsid w:val="00AD64AE"/>
    <w:rsid w:val="00AF4C94"/>
    <w:rsid w:val="00B030C7"/>
    <w:rsid w:val="00B05BE8"/>
    <w:rsid w:val="00B07930"/>
    <w:rsid w:val="00B22EB2"/>
    <w:rsid w:val="00B524C2"/>
    <w:rsid w:val="00B61C41"/>
    <w:rsid w:val="00B76DA5"/>
    <w:rsid w:val="00B774AE"/>
    <w:rsid w:val="00B90792"/>
    <w:rsid w:val="00BA44CA"/>
    <w:rsid w:val="00BB3D31"/>
    <w:rsid w:val="00BB5AD1"/>
    <w:rsid w:val="00BB6ADE"/>
    <w:rsid w:val="00BC452E"/>
    <w:rsid w:val="00BC6502"/>
    <w:rsid w:val="00BE7A64"/>
    <w:rsid w:val="00BF1FD4"/>
    <w:rsid w:val="00C02772"/>
    <w:rsid w:val="00C116E3"/>
    <w:rsid w:val="00C21082"/>
    <w:rsid w:val="00C44231"/>
    <w:rsid w:val="00C44F5E"/>
    <w:rsid w:val="00C6568B"/>
    <w:rsid w:val="00C65C50"/>
    <w:rsid w:val="00C72E59"/>
    <w:rsid w:val="00C743CB"/>
    <w:rsid w:val="00C74FE5"/>
    <w:rsid w:val="00C769A8"/>
    <w:rsid w:val="00C77A54"/>
    <w:rsid w:val="00C83FAA"/>
    <w:rsid w:val="00C85E58"/>
    <w:rsid w:val="00CA24F1"/>
    <w:rsid w:val="00CC4522"/>
    <w:rsid w:val="00CC787E"/>
    <w:rsid w:val="00CD34CA"/>
    <w:rsid w:val="00CE6F27"/>
    <w:rsid w:val="00CF76B0"/>
    <w:rsid w:val="00CF7A64"/>
    <w:rsid w:val="00D03511"/>
    <w:rsid w:val="00D03639"/>
    <w:rsid w:val="00D07538"/>
    <w:rsid w:val="00D20BF8"/>
    <w:rsid w:val="00D2488E"/>
    <w:rsid w:val="00D32589"/>
    <w:rsid w:val="00D400F3"/>
    <w:rsid w:val="00D514A0"/>
    <w:rsid w:val="00D52B58"/>
    <w:rsid w:val="00D676CE"/>
    <w:rsid w:val="00D7184A"/>
    <w:rsid w:val="00D7383A"/>
    <w:rsid w:val="00D8125D"/>
    <w:rsid w:val="00D96CC3"/>
    <w:rsid w:val="00D97679"/>
    <w:rsid w:val="00DA4BD7"/>
    <w:rsid w:val="00DA5478"/>
    <w:rsid w:val="00DB7492"/>
    <w:rsid w:val="00DD125E"/>
    <w:rsid w:val="00DE343C"/>
    <w:rsid w:val="00DE3461"/>
    <w:rsid w:val="00E04D88"/>
    <w:rsid w:val="00E06C85"/>
    <w:rsid w:val="00E33921"/>
    <w:rsid w:val="00E33D22"/>
    <w:rsid w:val="00E65608"/>
    <w:rsid w:val="00E77DCF"/>
    <w:rsid w:val="00E80E9C"/>
    <w:rsid w:val="00E84D04"/>
    <w:rsid w:val="00E86DD8"/>
    <w:rsid w:val="00E87F06"/>
    <w:rsid w:val="00EB2C4D"/>
    <w:rsid w:val="00EB5CDF"/>
    <w:rsid w:val="00EC717B"/>
    <w:rsid w:val="00EE2A8E"/>
    <w:rsid w:val="00EF70FE"/>
    <w:rsid w:val="00F007C5"/>
    <w:rsid w:val="00F1156C"/>
    <w:rsid w:val="00F11DA1"/>
    <w:rsid w:val="00F257F0"/>
    <w:rsid w:val="00F46F6A"/>
    <w:rsid w:val="00F514C4"/>
    <w:rsid w:val="00F5484D"/>
    <w:rsid w:val="00F71706"/>
    <w:rsid w:val="00F71ED1"/>
    <w:rsid w:val="00F7246D"/>
    <w:rsid w:val="00F8461F"/>
    <w:rsid w:val="00F8530B"/>
    <w:rsid w:val="00FA09B3"/>
    <w:rsid w:val="00FA3594"/>
    <w:rsid w:val="00FC5A8A"/>
    <w:rsid w:val="00FD79FF"/>
    <w:rsid w:val="00FE249E"/>
    <w:rsid w:val="00FE296A"/>
    <w:rsid w:val="00FE48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6CCA"/>
  <w15:docId w15:val="{05005C9D-E819-426E-B574-79386F3B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CCC"/>
  </w:style>
  <w:style w:type="paragraph" w:styleId="Nadpis3">
    <w:name w:val="heading 3"/>
    <w:basedOn w:val="Normln"/>
    <w:next w:val="Normln"/>
    <w:link w:val="Nadpis3Char"/>
    <w:uiPriority w:val="9"/>
    <w:qFormat/>
    <w:rsid w:val="00E87F06"/>
    <w:pPr>
      <w:keepNext/>
      <w:spacing w:after="0" w:line="240" w:lineRule="auto"/>
      <w:outlineLvl w:val="2"/>
    </w:pPr>
    <w:rPr>
      <w:rFonts w:ascii="Arial" w:eastAsia="Times New Roman" w:hAnsi="Arial" w:cs="Arial"/>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C787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787E"/>
    <w:rPr>
      <w:rFonts w:ascii="Segoe UI" w:hAnsi="Segoe UI" w:cs="Segoe UI"/>
      <w:sz w:val="18"/>
      <w:szCs w:val="18"/>
    </w:rPr>
  </w:style>
  <w:style w:type="paragraph" w:styleId="Odstavecseseznamem">
    <w:name w:val="List Paragraph"/>
    <w:basedOn w:val="Normln"/>
    <w:uiPriority w:val="34"/>
    <w:qFormat/>
    <w:rsid w:val="00BC452E"/>
    <w:pPr>
      <w:ind w:left="720"/>
      <w:contextualSpacing/>
    </w:pPr>
  </w:style>
  <w:style w:type="paragraph" w:customStyle="1" w:styleId="Standard">
    <w:name w:val="Standard"/>
    <w:rsid w:val="00D400F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cs-CZ"/>
    </w:rPr>
  </w:style>
  <w:style w:type="paragraph" w:styleId="Revize">
    <w:name w:val="Revision"/>
    <w:hidden/>
    <w:uiPriority w:val="99"/>
    <w:semiHidden/>
    <w:rsid w:val="00F007C5"/>
    <w:pPr>
      <w:spacing w:after="0" w:line="240" w:lineRule="auto"/>
    </w:pPr>
  </w:style>
  <w:style w:type="paragraph" w:styleId="Zpat">
    <w:name w:val="footer"/>
    <w:basedOn w:val="Normln"/>
    <w:link w:val="ZpatChar"/>
    <w:uiPriority w:val="99"/>
    <w:unhideWhenUsed/>
    <w:rsid w:val="00F007C5"/>
    <w:pPr>
      <w:tabs>
        <w:tab w:val="center" w:pos="4536"/>
        <w:tab w:val="right" w:pos="9072"/>
      </w:tabs>
      <w:spacing w:after="0" w:line="240" w:lineRule="auto"/>
    </w:pPr>
  </w:style>
  <w:style w:type="character" w:customStyle="1" w:styleId="ZpatChar">
    <w:name w:val="Zápatí Char"/>
    <w:basedOn w:val="Standardnpsmoodstavce"/>
    <w:link w:val="Zpat"/>
    <w:uiPriority w:val="99"/>
    <w:rsid w:val="00F007C5"/>
  </w:style>
  <w:style w:type="table" w:styleId="Mkatabulky">
    <w:name w:val="Table Grid"/>
    <w:basedOn w:val="Normlntabulka"/>
    <w:uiPriority w:val="59"/>
    <w:rsid w:val="007F3079"/>
    <w:pPr>
      <w:spacing w:after="0" w:line="240" w:lineRule="auto"/>
    </w:pPr>
    <w:rPr>
      <w:rFonts w:ascii="Helvetica Neue" w:eastAsia="Calibri" w:hAnsi="Helvetica Neue"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86DD8"/>
    <w:rPr>
      <w:sz w:val="16"/>
      <w:szCs w:val="16"/>
    </w:rPr>
  </w:style>
  <w:style w:type="paragraph" w:styleId="Textkomente">
    <w:name w:val="annotation text"/>
    <w:basedOn w:val="Normln"/>
    <w:link w:val="TextkomenteChar"/>
    <w:uiPriority w:val="99"/>
    <w:unhideWhenUsed/>
    <w:rsid w:val="00E86DD8"/>
    <w:pPr>
      <w:spacing w:line="240" w:lineRule="auto"/>
    </w:pPr>
    <w:rPr>
      <w:sz w:val="20"/>
      <w:szCs w:val="20"/>
    </w:rPr>
  </w:style>
  <w:style w:type="character" w:customStyle="1" w:styleId="TextkomenteChar">
    <w:name w:val="Text komentáře Char"/>
    <w:basedOn w:val="Standardnpsmoodstavce"/>
    <w:link w:val="Textkomente"/>
    <w:uiPriority w:val="99"/>
    <w:rsid w:val="00E86DD8"/>
    <w:rPr>
      <w:sz w:val="20"/>
      <w:szCs w:val="20"/>
    </w:rPr>
  </w:style>
  <w:style w:type="paragraph" w:styleId="Pedmtkomente">
    <w:name w:val="annotation subject"/>
    <w:basedOn w:val="Textkomente"/>
    <w:next w:val="Textkomente"/>
    <w:link w:val="PedmtkomenteChar"/>
    <w:uiPriority w:val="99"/>
    <w:semiHidden/>
    <w:unhideWhenUsed/>
    <w:rsid w:val="00E86DD8"/>
    <w:rPr>
      <w:b/>
      <w:bCs/>
    </w:rPr>
  </w:style>
  <w:style w:type="character" w:customStyle="1" w:styleId="PedmtkomenteChar">
    <w:name w:val="Předmět komentáře Char"/>
    <w:basedOn w:val="TextkomenteChar"/>
    <w:link w:val="Pedmtkomente"/>
    <w:uiPriority w:val="99"/>
    <w:semiHidden/>
    <w:rsid w:val="00E86DD8"/>
    <w:rPr>
      <w:b/>
      <w:bCs/>
      <w:sz w:val="20"/>
      <w:szCs w:val="20"/>
    </w:rPr>
  </w:style>
  <w:style w:type="paragraph" w:styleId="Zhlav">
    <w:name w:val="header"/>
    <w:basedOn w:val="Normln"/>
    <w:link w:val="ZhlavChar"/>
    <w:uiPriority w:val="99"/>
    <w:semiHidden/>
    <w:unhideWhenUsed/>
    <w:rsid w:val="0028715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8715C"/>
  </w:style>
  <w:style w:type="character" w:customStyle="1" w:styleId="Nadpis3Char">
    <w:name w:val="Nadpis 3 Char"/>
    <w:basedOn w:val="Standardnpsmoodstavce"/>
    <w:link w:val="Nadpis3"/>
    <w:uiPriority w:val="9"/>
    <w:rsid w:val="00E87F06"/>
    <w:rPr>
      <w:rFonts w:ascii="Arial" w:eastAsia="Times New Roman" w:hAnsi="Arial" w:cs="Arial"/>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098067">
      <w:bodyDiv w:val="1"/>
      <w:marLeft w:val="0"/>
      <w:marRight w:val="0"/>
      <w:marTop w:val="0"/>
      <w:marBottom w:val="0"/>
      <w:divBdr>
        <w:top w:val="none" w:sz="0" w:space="0" w:color="auto"/>
        <w:left w:val="none" w:sz="0" w:space="0" w:color="auto"/>
        <w:bottom w:val="none" w:sz="0" w:space="0" w:color="auto"/>
        <w:right w:val="none" w:sz="0" w:space="0" w:color="auto"/>
      </w:divBdr>
    </w:div>
    <w:div w:id="214021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642047-fb70-4277-87f0-488a0eb56c29">
      <Terms xmlns="http://schemas.microsoft.com/office/infopath/2007/PartnerControls"/>
    </lcf76f155ced4ddcb4097134ff3c332f>
    <TaxCatchAll xmlns="5b8d469c-4a3a-4cda-86aa-a86ccd89d6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5164289173EF4BA467EB3AE686BF26" ma:contentTypeVersion="15" ma:contentTypeDescription="Create a new document." ma:contentTypeScope="" ma:versionID="8c71fe21fb54d99cabe1f06b776f868a">
  <xsd:schema xmlns:xsd="http://www.w3.org/2001/XMLSchema" xmlns:xs="http://www.w3.org/2001/XMLSchema" xmlns:p="http://schemas.microsoft.com/office/2006/metadata/properties" xmlns:ns2="ec642047-fb70-4277-87f0-488a0eb56c29" xmlns:ns3="5b8d469c-4a3a-4cda-86aa-a86ccd89d66f" targetNamespace="http://schemas.microsoft.com/office/2006/metadata/properties" ma:root="true" ma:fieldsID="c17378c7b46392004e7040ce94f0a9de" ns2:_="" ns3:_="">
    <xsd:import namespace="ec642047-fb70-4277-87f0-488a0eb56c29"/>
    <xsd:import namespace="5b8d469c-4a3a-4cda-86aa-a86ccd89d66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42047-fb70-4277-87f0-488a0eb56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8d469c-4a3a-4cda-86aa-a86ccd89d66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2d131a-10b8-44fe-968e-efb60b8e146c}" ma:internalName="TaxCatchAll" ma:showField="CatchAllData" ma:web="5b8d469c-4a3a-4cda-86aa-a86ccd89d6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C51C0-1B54-435C-8737-4CA5E63FBA50}">
  <ds:schemaRefs>
    <ds:schemaRef ds:uri="http://schemas.microsoft.com/sharepoint/v3/contenttype/forms"/>
  </ds:schemaRefs>
</ds:datastoreItem>
</file>

<file path=customXml/itemProps2.xml><?xml version="1.0" encoding="utf-8"?>
<ds:datastoreItem xmlns:ds="http://schemas.openxmlformats.org/officeDocument/2006/customXml" ds:itemID="{EB985F05-267C-4248-9724-C3E5C0A868D5}">
  <ds:schemaRefs>
    <ds:schemaRef ds:uri="http://schemas.microsoft.com/office/2006/metadata/properties"/>
    <ds:schemaRef ds:uri="http://schemas.microsoft.com/office/infopath/2007/PartnerControls"/>
    <ds:schemaRef ds:uri="ec642047-fb70-4277-87f0-488a0eb56c29"/>
    <ds:schemaRef ds:uri="5b8d469c-4a3a-4cda-86aa-a86ccd89d66f"/>
  </ds:schemaRefs>
</ds:datastoreItem>
</file>

<file path=customXml/itemProps3.xml><?xml version="1.0" encoding="utf-8"?>
<ds:datastoreItem xmlns:ds="http://schemas.openxmlformats.org/officeDocument/2006/customXml" ds:itemID="{C52BF4B8-CCD1-46E6-9824-B4457EC41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42047-fb70-4277-87f0-488a0eb56c29"/>
    <ds:schemaRef ds:uri="5b8d469c-4a3a-4cda-86aa-a86ccd89d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1590</Words>
  <Characters>9384</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HC Vlci Č.T.</vt:lpstr>
    </vt:vector>
  </TitlesOfParts>
  <Company>HP</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Vlci Č.T.</dc:title>
  <dc:subject>Šatny ZS</dc:subject>
  <dc:creator>trnav</dc:creator>
  <cp:lastModifiedBy>asistentka</cp:lastModifiedBy>
  <cp:revision>10</cp:revision>
  <cp:lastPrinted>2024-11-12T07:39:00Z</cp:lastPrinted>
  <dcterms:created xsi:type="dcterms:W3CDTF">2024-12-17T10:02:00Z</dcterms:created>
  <dcterms:modified xsi:type="dcterms:W3CDTF">2025-01-02T08:51:00Z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0x0101004B5164289173EF4BA467EB3AE686BF26</vt:lpwstr>
  </property>
  <property fmtid="{D5CDD505-2E9C-101B-9397-08002B2CF9AE}" pid="3" name="Podruhe">
    <vt:bool>false</vt:bool>
  </property>
  <property fmtid="{D5CDD505-2E9C-101B-9397-08002B2CF9AE}" pid="4" name="ClassificationContentMarkingFooterShapeIds">
    <vt:lpwstr>7f7cd2d6,84c10a2,4b94110</vt:lpwstr>
  </property>
  <property fmtid="{D5CDD505-2E9C-101B-9397-08002B2CF9AE}" pid="5" name="ClassificationContentMarkingFooterFontProps">
    <vt:lpwstr>#000000,9,Calibri</vt:lpwstr>
  </property>
  <property fmtid="{D5CDD505-2E9C-101B-9397-08002B2CF9AE}" pid="6" name="ClassificationContentMarkingFooterText">
    <vt:lpwstr>Klasifikace informací: Neveřejné</vt:lpwstr>
  </property>
  <property fmtid="{D5CDD505-2E9C-101B-9397-08002B2CF9AE}" pid="7" name="MSIP_Label_215ad6d0-798b-44f9-b3fd-112ad6275fb4_Enabled">
    <vt:lpwstr>true</vt:lpwstr>
  </property>
  <property fmtid="{D5CDD505-2E9C-101B-9397-08002B2CF9AE}" pid="8" name="MSIP_Label_215ad6d0-798b-44f9-b3fd-112ad6275fb4_SetDate">
    <vt:lpwstr>2024-11-22T08:35:25Z</vt:lpwstr>
  </property>
  <property fmtid="{D5CDD505-2E9C-101B-9397-08002B2CF9AE}" pid="9" name="MSIP_Label_215ad6d0-798b-44f9-b3fd-112ad6275fb4_Method">
    <vt:lpwstr>Standard</vt:lpwstr>
  </property>
  <property fmtid="{D5CDD505-2E9C-101B-9397-08002B2CF9AE}" pid="10" name="MSIP_Label_215ad6d0-798b-44f9-b3fd-112ad6275fb4_Name">
    <vt:lpwstr>Neveřejná informace (popis)</vt:lpwstr>
  </property>
  <property fmtid="{D5CDD505-2E9C-101B-9397-08002B2CF9AE}" pid="11" name="MSIP_Label_215ad6d0-798b-44f9-b3fd-112ad6275fb4_SiteId">
    <vt:lpwstr>39f24d0b-aa30-4551-8e81-43c77cf1000e</vt:lpwstr>
  </property>
  <property fmtid="{D5CDD505-2E9C-101B-9397-08002B2CF9AE}" pid="12" name="MSIP_Label_215ad6d0-798b-44f9-b3fd-112ad6275fb4_ActionId">
    <vt:lpwstr>acc33bfe-da80-4b98-be1a-8db9e802d011</vt:lpwstr>
  </property>
  <property fmtid="{D5CDD505-2E9C-101B-9397-08002B2CF9AE}" pid="13" name="MSIP_Label_215ad6d0-798b-44f9-b3fd-112ad6275fb4_ContentBits">
    <vt:lpwstr>2</vt:lpwstr>
  </property>
  <property fmtid="{D5CDD505-2E9C-101B-9397-08002B2CF9AE}" pid="14" name="MediaServiceImageTags">
    <vt:lpwstr/>
  </property>
</Properties>
</file>