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720D6" w14:textId="7865B719" w:rsidR="005D294E" w:rsidRDefault="1473C6A0" w:rsidP="27597654">
      <w:pPr>
        <w:pStyle w:val="Bezmezer"/>
        <w:jc w:val="center"/>
      </w:pPr>
      <w:r w:rsidRPr="2759765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Dodatek č. </w:t>
      </w:r>
      <w:r w:rsidR="00AC350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1</w:t>
      </w:r>
      <w:r w:rsidRPr="2759765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ke </w:t>
      </w:r>
      <w:r w:rsidR="00BF727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</w:t>
      </w:r>
      <w:r w:rsidRPr="2759765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mlouvě o dílo a licenční č. 240787</w:t>
      </w:r>
    </w:p>
    <w:p w14:paraId="737345EB" w14:textId="4EEBAC8E" w:rsidR="005D294E" w:rsidRDefault="005D294E">
      <w:pPr>
        <w:spacing w:after="0"/>
        <w:jc w:val="both"/>
        <w:rPr>
          <w:sz w:val="24"/>
          <w:szCs w:val="24"/>
        </w:rPr>
      </w:pPr>
    </w:p>
    <w:p w14:paraId="07CB5B99" w14:textId="77777777" w:rsidR="00AC3505" w:rsidRPr="00AC3505" w:rsidRDefault="00AC3505">
      <w:pPr>
        <w:spacing w:after="0"/>
        <w:jc w:val="both"/>
        <w:rPr>
          <w:sz w:val="24"/>
          <w:szCs w:val="24"/>
        </w:rPr>
      </w:pPr>
    </w:p>
    <w:p w14:paraId="52B4D68E" w14:textId="15711083" w:rsidR="005D294E" w:rsidRDefault="0052664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Národní muzeum</w:t>
      </w:r>
    </w:p>
    <w:p w14:paraId="7E97E7D0" w14:textId="77777777" w:rsidR="005D294E" w:rsidRDefault="005266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příspěvková organizace </w:t>
      </w:r>
      <w:proofErr w:type="spellStart"/>
      <w:r>
        <w:rPr>
          <w:sz w:val="24"/>
          <w:szCs w:val="24"/>
        </w:rPr>
        <w:t>nepodl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hající</w:t>
      </w:r>
      <w:proofErr w:type="spellEnd"/>
      <w:r>
        <w:rPr>
          <w:sz w:val="24"/>
          <w:szCs w:val="24"/>
        </w:rPr>
        <w:t xml:space="preserve"> zápisu do obchodní</w:t>
      </w:r>
      <w:r>
        <w:rPr>
          <w:sz w:val="24"/>
          <w:szCs w:val="24"/>
          <w:lang w:val="da-DK"/>
        </w:rPr>
        <w:t>ho rejst</w:t>
      </w:r>
      <w:proofErr w:type="spellStart"/>
      <w:r>
        <w:rPr>
          <w:sz w:val="24"/>
          <w:szCs w:val="24"/>
        </w:rPr>
        <w:t>říku</w:t>
      </w:r>
      <w:proofErr w:type="spellEnd"/>
      <w:r>
        <w:rPr>
          <w:sz w:val="24"/>
          <w:szCs w:val="24"/>
        </w:rPr>
        <w:t>, zřízená Ministerstvem kultury Č</w:t>
      </w:r>
      <w:r w:rsidRPr="007B3F1B">
        <w:rPr>
          <w:sz w:val="24"/>
          <w:szCs w:val="24"/>
        </w:rPr>
        <w:t>R, z</w:t>
      </w:r>
      <w:r>
        <w:rPr>
          <w:sz w:val="24"/>
          <w:szCs w:val="24"/>
        </w:rPr>
        <w:t>řizovací listina č. j. 17461/2000 ve znění pozdějších změn a doplňků</w:t>
      </w:r>
    </w:p>
    <w:p w14:paraId="66F97E88" w14:textId="5DFBC286" w:rsidR="00AC3505" w:rsidRDefault="00AC3505">
      <w:pPr>
        <w:spacing w:after="0"/>
        <w:rPr>
          <w:sz w:val="24"/>
          <w:szCs w:val="24"/>
        </w:rPr>
      </w:pPr>
      <w:r>
        <w:rPr>
          <w:sz w:val="24"/>
          <w:szCs w:val="24"/>
          <w:lang w:val="it-IT"/>
        </w:rPr>
        <w:t>Se s</w:t>
      </w:r>
      <w:proofErr w:type="spellStart"/>
      <w:r>
        <w:rPr>
          <w:sz w:val="24"/>
          <w:szCs w:val="24"/>
        </w:rPr>
        <w:t>ídlem</w:t>
      </w:r>
      <w:proofErr w:type="spellEnd"/>
      <w:r>
        <w:rPr>
          <w:sz w:val="24"/>
          <w:szCs w:val="24"/>
        </w:rPr>
        <w:t>:</w:t>
      </w:r>
      <w:r w:rsidRPr="00AC35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Václavsk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nám. </w:t>
      </w:r>
      <w:r>
        <w:rPr>
          <w:sz w:val="24"/>
          <w:szCs w:val="24"/>
        </w:rPr>
        <w:t>1700/</w:t>
      </w:r>
      <w:r>
        <w:rPr>
          <w:sz w:val="24"/>
          <w:szCs w:val="24"/>
        </w:rPr>
        <w:t>68, 115 79 Praha 1</w:t>
      </w:r>
      <w:r>
        <w:rPr>
          <w:sz w:val="24"/>
          <w:szCs w:val="24"/>
        </w:rPr>
        <w:t>, Nové Město</w:t>
      </w:r>
    </w:p>
    <w:p w14:paraId="1538B377" w14:textId="3918473F" w:rsidR="00AC3505" w:rsidRDefault="00AC3505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</w:t>
      </w:r>
      <w:r w:rsidRPr="00AC3505">
        <w:rPr>
          <w:sz w:val="24"/>
          <w:szCs w:val="24"/>
        </w:rPr>
        <w:t xml:space="preserve"> </w:t>
      </w:r>
      <w:r>
        <w:rPr>
          <w:sz w:val="24"/>
          <w:szCs w:val="24"/>
        </w:rPr>
        <w:t>0002327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DIČ:</w:t>
      </w:r>
      <w:r w:rsidRPr="00AC3505">
        <w:rPr>
          <w:sz w:val="24"/>
          <w:szCs w:val="24"/>
        </w:rPr>
        <w:t xml:space="preserve"> </w:t>
      </w:r>
      <w:r>
        <w:rPr>
          <w:sz w:val="24"/>
          <w:szCs w:val="24"/>
        </w:rPr>
        <w:t>CZ00023272</w:t>
      </w:r>
    </w:p>
    <w:p w14:paraId="1431355B" w14:textId="7E9435AE" w:rsidR="00AC3505" w:rsidRDefault="00AC3505" w:rsidP="00AC35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Zastoupen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:</w:t>
      </w:r>
      <w:r w:rsidRPr="00AC3505">
        <w:rPr>
          <w:sz w:val="24"/>
          <w:szCs w:val="24"/>
        </w:rPr>
        <w:t xml:space="preserve"> </w:t>
      </w:r>
      <w:r w:rsidRPr="00AC3505">
        <w:rPr>
          <w:sz w:val="24"/>
          <w:szCs w:val="24"/>
        </w:rPr>
        <w:t>Mgr. Petrem Brůhou</w:t>
      </w:r>
      <w:r>
        <w:rPr>
          <w:sz w:val="24"/>
          <w:szCs w:val="24"/>
        </w:rPr>
        <w:t>,</w:t>
      </w:r>
      <w:r w:rsidRPr="00AC3505">
        <w:rPr>
          <w:sz w:val="24"/>
          <w:szCs w:val="24"/>
        </w:rPr>
        <w:t xml:space="preserve"> </w:t>
      </w:r>
      <w:r>
        <w:rPr>
          <w:sz w:val="24"/>
          <w:szCs w:val="24"/>
        </w:rPr>
        <w:t>náměstkem generálního ředitele pro centrální sbírkotvornou a výstavní činnost</w:t>
      </w:r>
    </w:p>
    <w:p w14:paraId="15937BF2" w14:textId="313D323E" w:rsidR="00AC3505" w:rsidRDefault="00AC3505">
      <w:pPr>
        <w:spacing w:after="0"/>
        <w:rPr>
          <w:sz w:val="24"/>
          <w:szCs w:val="24"/>
        </w:rPr>
      </w:pPr>
      <w:r>
        <w:rPr>
          <w:sz w:val="24"/>
          <w:szCs w:val="24"/>
        </w:rPr>
        <w:t>(dále jen „objednatel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</w:t>
      </w:r>
    </w:p>
    <w:p w14:paraId="596C0D84" w14:textId="77777777" w:rsidR="00AC3505" w:rsidRDefault="00AC3505">
      <w:pPr>
        <w:spacing w:after="0"/>
        <w:rPr>
          <w:b/>
          <w:bCs/>
          <w:sz w:val="24"/>
          <w:szCs w:val="24"/>
        </w:rPr>
      </w:pPr>
    </w:p>
    <w:p w14:paraId="2F140C16" w14:textId="21E3750D" w:rsidR="005D294E" w:rsidRDefault="3F9C7463">
      <w:pPr>
        <w:widowControl w:val="0"/>
        <w:spacing w:after="0" w:line="240" w:lineRule="auto"/>
        <w:ind w:left="324" w:hanging="324"/>
        <w:rPr>
          <w:b/>
          <w:bCs/>
          <w:sz w:val="24"/>
          <w:szCs w:val="24"/>
        </w:rPr>
      </w:pPr>
      <w:r w:rsidRPr="27597654">
        <w:rPr>
          <w:b/>
          <w:bCs/>
          <w:sz w:val="24"/>
          <w:szCs w:val="24"/>
        </w:rPr>
        <w:t>a</w:t>
      </w:r>
    </w:p>
    <w:p w14:paraId="2BDC6D9F" w14:textId="3756F662" w:rsidR="27597654" w:rsidRDefault="27597654" w:rsidP="27597654">
      <w:pPr>
        <w:widowControl w:val="0"/>
        <w:spacing w:after="0" w:line="240" w:lineRule="auto"/>
        <w:ind w:left="324" w:hanging="324"/>
        <w:rPr>
          <w:b/>
          <w:bCs/>
          <w:sz w:val="24"/>
          <w:szCs w:val="24"/>
        </w:rPr>
      </w:pPr>
    </w:p>
    <w:p w14:paraId="31286E85" w14:textId="03BC47E1" w:rsidR="005D294E" w:rsidRDefault="00197C65" w:rsidP="00287D4B">
      <w:pPr>
        <w:spacing w:after="0"/>
        <w:jc w:val="both"/>
        <w:rPr>
          <w:b/>
          <w:bCs/>
          <w:sz w:val="24"/>
          <w:szCs w:val="24"/>
        </w:rPr>
      </w:pPr>
      <w:r w:rsidRPr="00197C65">
        <w:rPr>
          <w:b/>
          <w:bCs/>
          <w:sz w:val="24"/>
          <w:szCs w:val="24"/>
        </w:rPr>
        <w:t xml:space="preserve">Ing. arch. Lucie </w:t>
      </w:r>
      <w:proofErr w:type="spellStart"/>
      <w:r w:rsidRPr="00197C65">
        <w:rPr>
          <w:b/>
          <w:bCs/>
          <w:sz w:val="24"/>
          <w:szCs w:val="24"/>
        </w:rPr>
        <w:t>Kirovová</w:t>
      </w:r>
      <w:proofErr w:type="spellEnd"/>
      <w:r w:rsidRPr="00197C65">
        <w:rPr>
          <w:b/>
          <w:bCs/>
          <w:sz w:val="24"/>
          <w:szCs w:val="24"/>
        </w:rPr>
        <w:t>, Ph.D.</w:t>
      </w:r>
    </w:p>
    <w:p w14:paraId="50A0FF8D" w14:textId="3AEBF497" w:rsidR="00AC3505" w:rsidRDefault="00AC3505" w:rsidP="00287D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BF727F">
        <w:rPr>
          <w:sz w:val="24"/>
          <w:szCs w:val="24"/>
        </w:rPr>
        <w:t xml:space="preserve">Petra </w:t>
      </w:r>
      <w:proofErr w:type="spellStart"/>
      <w:r w:rsidR="00BF727F">
        <w:rPr>
          <w:sz w:val="24"/>
          <w:szCs w:val="24"/>
        </w:rPr>
        <w:t>Křičky</w:t>
      </w:r>
      <w:proofErr w:type="spellEnd"/>
      <w:r w:rsidR="00BF727F">
        <w:rPr>
          <w:sz w:val="24"/>
          <w:szCs w:val="24"/>
        </w:rPr>
        <w:t xml:space="preserve"> 11, 702 00 Ostrava 1</w:t>
      </w:r>
    </w:p>
    <w:p w14:paraId="3C2EB41D" w14:textId="2EE1C2B0" w:rsidR="00BF727F" w:rsidRDefault="00BF727F" w:rsidP="00287D4B">
      <w:pPr>
        <w:spacing w:after="0"/>
        <w:jc w:val="both"/>
        <w:rPr>
          <w:rFonts w:cs="Calibri"/>
          <w:bCs/>
          <w:position w:val="-1"/>
          <w:sz w:val="24"/>
          <w:szCs w:val="24"/>
          <w:lang w:eastAsia="en-US"/>
        </w:rPr>
      </w:pPr>
      <w:r>
        <w:rPr>
          <w:sz w:val="24"/>
          <w:szCs w:val="24"/>
        </w:rPr>
        <w:t xml:space="preserve">IČ: </w:t>
      </w:r>
      <w:r w:rsidRPr="00BF727F">
        <w:rPr>
          <w:rFonts w:cs="Calibri"/>
          <w:bCs/>
          <w:position w:val="-1"/>
          <w:sz w:val="24"/>
          <w:szCs w:val="24"/>
          <w:lang w:eastAsia="en-US"/>
        </w:rPr>
        <w:t xml:space="preserve">75848406 </w:t>
      </w:r>
    </w:p>
    <w:p w14:paraId="23B77326" w14:textId="77777777" w:rsidR="00BF727F" w:rsidRDefault="00BF727F" w:rsidP="00BF727F">
      <w:pPr>
        <w:spacing w:after="0"/>
        <w:rPr>
          <w:sz w:val="24"/>
          <w:szCs w:val="24"/>
        </w:rPr>
      </w:pPr>
      <w:r>
        <w:rPr>
          <w:sz w:val="24"/>
          <w:szCs w:val="24"/>
        </w:rPr>
        <w:t>(dále jen „zhotovitel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</w:t>
      </w:r>
    </w:p>
    <w:p w14:paraId="01F486A5" w14:textId="77777777" w:rsidR="00BF727F" w:rsidRPr="00AC3505" w:rsidRDefault="00BF727F" w:rsidP="00287D4B">
      <w:pPr>
        <w:spacing w:after="0"/>
        <w:jc w:val="both"/>
        <w:rPr>
          <w:sz w:val="24"/>
          <w:szCs w:val="24"/>
        </w:rPr>
      </w:pPr>
    </w:p>
    <w:p w14:paraId="05F07074" w14:textId="7F778E30" w:rsidR="005C1009" w:rsidRPr="00121681" w:rsidRDefault="36D66FD1" w:rsidP="27597654">
      <w:pPr>
        <w:spacing w:after="0"/>
        <w:ind w:left="540" w:hanging="540"/>
        <w:jc w:val="center"/>
      </w:pPr>
      <w:r w:rsidRPr="27597654">
        <w:rPr>
          <w:rFonts w:eastAsia="Calibri" w:cs="Calibri"/>
          <w:b/>
          <w:bCs/>
          <w:color w:val="000000" w:themeColor="text1"/>
          <w:sz w:val="24"/>
          <w:szCs w:val="24"/>
        </w:rPr>
        <w:t>I.</w:t>
      </w:r>
    </w:p>
    <w:p w14:paraId="506CFFC9" w14:textId="5C0EBEFA" w:rsidR="005C1009" w:rsidRPr="00121681" w:rsidRDefault="36D66FD1" w:rsidP="27597654">
      <w:pPr>
        <w:jc w:val="both"/>
      </w:pPr>
      <w:r w:rsidRPr="27597654">
        <w:rPr>
          <w:rFonts w:eastAsia="Calibri" w:cs="Calibri"/>
          <w:color w:val="000000" w:themeColor="text1"/>
          <w:sz w:val="24"/>
          <w:szCs w:val="24"/>
        </w:rPr>
        <w:t xml:space="preserve">Shora jmenované smluvní strany uzavřely dne </w:t>
      </w:r>
      <w:r w:rsidR="62352E09" w:rsidRPr="27597654">
        <w:rPr>
          <w:rFonts w:eastAsia="Calibri" w:cs="Calibri"/>
          <w:color w:val="000000" w:themeColor="text1"/>
          <w:sz w:val="24"/>
          <w:szCs w:val="24"/>
        </w:rPr>
        <w:t>23. 08</w:t>
      </w:r>
      <w:r w:rsidRPr="27597654">
        <w:rPr>
          <w:rFonts w:eastAsia="Calibri" w:cs="Calibri"/>
          <w:color w:val="000000" w:themeColor="text1"/>
          <w:sz w:val="24"/>
          <w:szCs w:val="24"/>
        </w:rPr>
        <w:t xml:space="preserve">. 2024 </w:t>
      </w:r>
      <w:r w:rsidR="00BF727F">
        <w:rPr>
          <w:rFonts w:eastAsia="Calibri" w:cs="Calibri"/>
          <w:color w:val="000000" w:themeColor="text1"/>
          <w:sz w:val="24"/>
          <w:szCs w:val="24"/>
        </w:rPr>
        <w:t>S</w:t>
      </w:r>
      <w:r w:rsidRPr="27597654">
        <w:rPr>
          <w:rFonts w:eastAsia="Calibri" w:cs="Calibri"/>
          <w:color w:val="000000" w:themeColor="text1"/>
          <w:sz w:val="24"/>
          <w:szCs w:val="24"/>
        </w:rPr>
        <w:t xml:space="preserve">mlouvu </w:t>
      </w:r>
      <w:r w:rsidR="005F1CFC">
        <w:rPr>
          <w:rFonts w:eastAsia="Calibri" w:cs="Calibri"/>
          <w:color w:val="000000" w:themeColor="text1"/>
          <w:sz w:val="24"/>
          <w:szCs w:val="24"/>
        </w:rPr>
        <w:t xml:space="preserve">o dílo a licenční </w:t>
      </w:r>
      <w:r w:rsidRPr="27597654">
        <w:rPr>
          <w:rFonts w:eastAsia="Calibri" w:cs="Calibri"/>
          <w:color w:val="000000" w:themeColor="text1"/>
          <w:sz w:val="24"/>
          <w:szCs w:val="24"/>
        </w:rPr>
        <w:t>č. 240787 (dále jen Smlouva).</w:t>
      </w:r>
    </w:p>
    <w:p w14:paraId="52B5AF88" w14:textId="45F550C8" w:rsidR="005C1009" w:rsidRPr="00121681" w:rsidRDefault="005C1009" w:rsidP="27597654">
      <w:pPr>
        <w:pStyle w:val="Bezmezer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73D76A" w14:textId="54E885D5" w:rsidR="005C1009" w:rsidRPr="00121681" w:rsidRDefault="58F160D2" w:rsidP="27597654">
      <w:pPr>
        <w:pStyle w:val="Bezmezer"/>
        <w:jc w:val="center"/>
      </w:pPr>
      <w:r w:rsidRPr="2759765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II.</w:t>
      </w:r>
    </w:p>
    <w:p w14:paraId="47EB614F" w14:textId="70BC7C7D" w:rsidR="005C1009" w:rsidRPr="00121681" w:rsidRDefault="58F160D2" w:rsidP="27597654">
      <w:pPr>
        <w:spacing w:after="0"/>
        <w:jc w:val="both"/>
      </w:pPr>
      <w:r w:rsidRPr="27597654">
        <w:rPr>
          <w:rFonts w:eastAsia="Calibri" w:cs="Calibri"/>
          <w:color w:val="000000" w:themeColor="text1"/>
          <w:sz w:val="24"/>
          <w:szCs w:val="24"/>
        </w:rPr>
        <w:t xml:space="preserve">Smluvní strany se dohodly na úpravě </w:t>
      </w:r>
      <w:r w:rsidR="5CBCE73E" w:rsidRPr="27597654">
        <w:rPr>
          <w:rFonts w:eastAsia="Calibri" w:cs="Calibri"/>
          <w:color w:val="000000" w:themeColor="text1"/>
          <w:sz w:val="24"/>
          <w:szCs w:val="24"/>
        </w:rPr>
        <w:t>znění</w:t>
      </w:r>
      <w:r w:rsidRPr="27597654"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="0039273A">
        <w:rPr>
          <w:rFonts w:eastAsia="Calibri" w:cs="Calibri"/>
          <w:color w:val="000000" w:themeColor="text1"/>
          <w:sz w:val="24"/>
          <w:szCs w:val="24"/>
        </w:rPr>
        <w:t>č</w:t>
      </w:r>
      <w:r w:rsidRPr="27597654">
        <w:rPr>
          <w:rFonts w:eastAsia="Calibri" w:cs="Calibri"/>
          <w:color w:val="000000" w:themeColor="text1"/>
          <w:sz w:val="24"/>
          <w:szCs w:val="24"/>
        </w:rPr>
        <w:t xml:space="preserve">l. VII. </w:t>
      </w:r>
      <w:r w:rsidR="3BE5FE45" w:rsidRPr="27597654">
        <w:rPr>
          <w:rFonts w:eastAsia="Calibri" w:cs="Calibri"/>
          <w:color w:val="000000" w:themeColor="text1"/>
          <w:sz w:val="24"/>
          <w:szCs w:val="24"/>
        </w:rPr>
        <w:t>o</w:t>
      </w:r>
      <w:r w:rsidRPr="27597654">
        <w:rPr>
          <w:rFonts w:eastAsia="Calibri" w:cs="Calibri"/>
          <w:color w:val="000000" w:themeColor="text1"/>
          <w:sz w:val="24"/>
          <w:szCs w:val="24"/>
        </w:rPr>
        <w:t>dst</w:t>
      </w:r>
      <w:r w:rsidR="3A738879" w:rsidRPr="27597654">
        <w:rPr>
          <w:rFonts w:eastAsia="Calibri" w:cs="Calibri"/>
          <w:color w:val="000000" w:themeColor="text1"/>
          <w:sz w:val="24"/>
          <w:szCs w:val="24"/>
        </w:rPr>
        <w:t xml:space="preserve">. č. </w:t>
      </w:r>
      <w:r w:rsidR="156BA1DB" w:rsidRPr="27597654">
        <w:rPr>
          <w:rFonts w:eastAsia="Calibri" w:cs="Calibri"/>
          <w:color w:val="000000" w:themeColor="text1"/>
          <w:sz w:val="24"/>
          <w:szCs w:val="24"/>
        </w:rPr>
        <w:t>6</w:t>
      </w:r>
      <w:r w:rsidRPr="27597654">
        <w:rPr>
          <w:rFonts w:eastAsia="Calibri" w:cs="Calibri"/>
          <w:color w:val="000000" w:themeColor="text1"/>
          <w:sz w:val="24"/>
          <w:szCs w:val="24"/>
        </w:rPr>
        <w:t>, které po úpravě budou znít následovně:</w:t>
      </w:r>
    </w:p>
    <w:p w14:paraId="5A136757" w14:textId="2577209D" w:rsidR="005D294E" w:rsidRDefault="50A3F00C" w:rsidP="005F1CFC">
      <w:pPr>
        <w:spacing w:after="0"/>
        <w:ind w:left="360" w:hanging="360"/>
        <w:jc w:val="both"/>
        <w:rPr>
          <w:sz w:val="24"/>
          <w:szCs w:val="24"/>
        </w:rPr>
      </w:pPr>
      <w:r w:rsidRPr="27597654">
        <w:rPr>
          <w:sz w:val="24"/>
          <w:szCs w:val="24"/>
        </w:rPr>
        <w:t>6.</w:t>
      </w:r>
      <w:r w:rsidR="005F1CFC">
        <w:rPr>
          <w:sz w:val="24"/>
          <w:szCs w:val="24"/>
        </w:rPr>
        <w:tab/>
      </w:r>
      <w:r w:rsidR="5F2FE545" w:rsidRPr="27597654">
        <w:rPr>
          <w:sz w:val="24"/>
          <w:szCs w:val="24"/>
        </w:rPr>
        <w:t>Č</w:t>
      </w:r>
      <w:r w:rsidR="0FBD9D7A" w:rsidRPr="27597654">
        <w:rPr>
          <w:sz w:val="24"/>
          <w:szCs w:val="24"/>
        </w:rPr>
        <w:t>ást o</w:t>
      </w:r>
      <w:r w:rsidR="00526648" w:rsidRPr="27597654">
        <w:rPr>
          <w:sz w:val="24"/>
          <w:szCs w:val="24"/>
        </w:rPr>
        <w:t>dměn</w:t>
      </w:r>
      <w:r w:rsidR="6F5CEB5E" w:rsidRPr="27597654">
        <w:rPr>
          <w:sz w:val="24"/>
          <w:szCs w:val="24"/>
        </w:rPr>
        <w:t>y</w:t>
      </w:r>
      <w:r w:rsidR="00526648" w:rsidRPr="27597654">
        <w:rPr>
          <w:sz w:val="24"/>
          <w:szCs w:val="24"/>
        </w:rPr>
        <w:t xml:space="preserve"> </w:t>
      </w:r>
      <w:r w:rsidR="0A27A363" w:rsidRPr="27597654">
        <w:rPr>
          <w:sz w:val="24"/>
          <w:szCs w:val="24"/>
        </w:rPr>
        <w:t xml:space="preserve">za vytvoření </w:t>
      </w:r>
      <w:r w:rsidR="0A27A363" w:rsidRPr="27597654">
        <w:rPr>
          <w:sz w:val="24"/>
          <w:szCs w:val="24"/>
          <w:lang w:val="pt-PT"/>
        </w:rPr>
        <w:t>realiza</w:t>
      </w:r>
      <w:proofErr w:type="spellStart"/>
      <w:r w:rsidR="0A27A363" w:rsidRPr="27597654">
        <w:rPr>
          <w:sz w:val="24"/>
          <w:szCs w:val="24"/>
        </w:rPr>
        <w:t>čního</w:t>
      </w:r>
      <w:proofErr w:type="spellEnd"/>
      <w:r w:rsidR="0A27A363" w:rsidRPr="27597654">
        <w:rPr>
          <w:sz w:val="24"/>
          <w:szCs w:val="24"/>
        </w:rPr>
        <w:t xml:space="preserve"> projektu výstavy </w:t>
      </w:r>
      <w:r w:rsidR="00526648" w:rsidRPr="27597654">
        <w:rPr>
          <w:sz w:val="24"/>
          <w:szCs w:val="24"/>
        </w:rPr>
        <w:t xml:space="preserve">bude uhrazena objednatelem dle odst. </w:t>
      </w:r>
      <w:r w:rsidR="7024E477" w:rsidRPr="27597654">
        <w:rPr>
          <w:sz w:val="24"/>
          <w:szCs w:val="24"/>
        </w:rPr>
        <w:t>3</w:t>
      </w:r>
      <w:r w:rsidR="00526648" w:rsidRPr="27597654">
        <w:rPr>
          <w:sz w:val="24"/>
          <w:szCs w:val="24"/>
        </w:rPr>
        <w:t xml:space="preserve"> t</w:t>
      </w:r>
      <w:r w:rsidR="00C202DE" w:rsidRPr="27597654">
        <w:rPr>
          <w:sz w:val="24"/>
          <w:szCs w:val="24"/>
          <w:lang w:val="fr-FR"/>
        </w:rPr>
        <w:t>ohoto článku</w:t>
      </w:r>
      <w:r w:rsidR="00526648" w:rsidRPr="27597654">
        <w:rPr>
          <w:sz w:val="24"/>
          <w:szCs w:val="24"/>
        </w:rPr>
        <w:t xml:space="preserve"> </w:t>
      </w:r>
      <w:r w:rsidR="4BF41824" w:rsidRPr="27597654">
        <w:rPr>
          <w:sz w:val="24"/>
          <w:szCs w:val="24"/>
        </w:rPr>
        <w:t>po zapracování úprav</w:t>
      </w:r>
      <w:r w:rsidR="462790F4" w:rsidRPr="27597654">
        <w:rPr>
          <w:sz w:val="24"/>
          <w:szCs w:val="24"/>
        </w:rPr>
        <w:t xml:space="preserve"> v projektové dokumentaci a ve výkazu výměr</w:t>
      </w:r>
      <w:r w:rsidR="4BF41824" w:rsidRPr="27597654">
        <w:rPr>
          <w:sz w:val="24"/>
          <w:szCs w:val="24"/>
        </w:rPr>
        <w:t xml:space="preserve"> na základě </w:t>
      </w:r>
      <w:r w:rsidR="757B7E2F" w:rsidRPr="27597654">
        <w:rPr>
          <w:sz w:val="24"/>
          <w:szCs w:val="24"/>
        </w:rPr>
        <w:t xml:space="preserve">upřesňujících </w:t>
      </w:r>
      <w:r w:rsidR="4BF41824" w:rsidRPr="27597654">
        <w:rPr>
          <w:sz w:val="24"/>
          <w:szCs w:val="24"/>
        </w:rPr>
        <w:t>požadav</w:t>
      </w:r>
      <w:r w:rsidR="1C54204B" w:rsidRPr="27597654">
        <w:rPr>
          <w:sz w:val="24"/>
          <w:szCs w:val="24"/>
        </w:rPr>
        <w:t>k</w:t>
      </w:r>
      <w:r w:rsidR="4BF41824" w:rsidRPr="27597654">
        <w:rPr>
          <w:sz w:val="24"/>
          <w:szCs w:val="24"/>
        </w:rPr>
        <w:t>ů objednatele</w:t>
      </w:r>
      <w:r w:rsidR="278F5085" w:rsidRPr="27597654">
        <w:rPr>
          <w:sz w:val="24"/>
          <w:szCs w:val="24"/>
        </w:rPr>
        <w:t xml:space="preserve">. Odměna bude uhrazena </w:t>
      </w:r>
      <w:r w:rsidR="00526648" w:rsidRPr="27597654">
        <w:rPr>
          <w:sz w:val="24"/>
          <w:szCs w:val="24"/>
        </w:rPr>
        <w:t>na základě řádně vystaven</w:t>
      </w:r>
      <w:r w:rsidR="00526648" w:rsidRPr="27597654">
        <w:rPr>
          <w:sz w:val="24"/>
          <w:szCs w:val="24"/>
          <w:lang w:val="fr-FR"/>
        </w:rPr>
        <w:t xml:space="preserve">é </w:t>
      </w:r>
      <w:r w:rsidR="00526648" w:rsidRPr="27597654">
        <w:rPr>
          <w:sz w:val="24"/>
          <w:szCs w:val="24"/>
        </w:rPr>
        <w:t xml:space="preserve">faktury zhotovitele se splatností </w:t>
      </w:r>
      <w:r w:rsidR="0E55F9E7" w:rsidRPr="27597654">
        <w:rPr>
          <w:sz w:val="24"/>
          <w:szCs w:val="24"/>
        </w:rPr>
        <w:t>21</w:t>
      </w:r>
      <w:r w:rsidR="00526648" w:rsidRPr="27597654">
        <w:rPr>
          <w:sz w:val="24"/>
          <w:szCs w:val="24"/>
        </w:rPr>
        <w:t xml:space="preserve"> dnů</w:t>
      </w:r>
      <w:r w:rsidR="25A350B5" w:rsidRPr="27597654">
        <w:rPr>
          <w:sz w:val="24"/>
          <w:szCs w:val="24"/>
        </w:rPr>
        <w:t>. Ostatní části odměny budou uhrazeny</w:t>
      </w:r>
      <w:r w:rsidR="67DDF399" w:rsidRPr="27597654">
        <w:rPr>
          <w:sz w:val="24"/>
          <w:szCs w:val="24"/>
        </w:rPr>
        <w:t xml:space="preserve"> na základě řádně vystaven</w:t>
      </w:r>
      <w:r w:rsidR="67DDF399" w:rsidRPr="27597654">
        <w:rPr>
          <w:sz w:val="24"/>
          <w:szCs w:val="24"/>
          <w:lang w:val="fr-FR"/>
        </w:rPr>
        <w:t xml:space="preserve">é </w:t>
      </w:r>
      <w:r w:rsidR="67DDF399" w:rsidRPr="27597654">
        <w:rPr>
          <w:sz w:val="24"/>
          <w:szCs w:val="24"/>
        </w:rPr>
        <w:t xml:space="preserve">faktury zhotovitele se splatností </w:t>
      </w:r>
      <w:r w:rsidR="1E5B31DA" w:rsidRPr="27597654">
        <w:rPr>
          <w:sz w:val="24"/>
          <w:szCs w:val="24"/>
        </w:rPr>
        <w:t>21</w:t>
      </w:r>
      <w:r w:rsidR="67DDF399" w:rsidRPr="27597654">
        <w:rPr>
          <w:sz w:val="24"/>
          <w:szCs w:val="24"/>
        </w:rPr>
        <w:t xml:space="preserve"> dnů od převzetí poslední </w:t>
      </w:r>
      <w:proofErr w:type="spellStart"/>
      <w:r w:rsidR="67DDF399" w:rsidRPr="27597654">
        <w:rPr>
          <w:sz w:val="24"/>
          <w:szCs w:val="24"/>
        </w:rPr>
        <w:t>čá</w:t>
      </w:r>
      <w:proofErr w:type="spellEnd"/>
      <w:r w:rsidR="67DDF399" w:rsidRPr="27597654">
        <w:rPr>
          <w:sz w:val="24"/>
          <w:szCs w:val="24"/>
          <w:lang w:val="it-IT"/>
        </w:rPr>
        <w:t>sti d</w:t>
      </w:r>
      <w:proofErr w:type="spellStart"/>
      <w:r w:rsidR="67DDF399" w:rsidRPr="27597654">
        <w:rPr>
          <w:sz w:val="24"/>
          <w:szCs w:val="24"/>
        </w:rPr>
        <w:t>íla</w:t>
      </w:r>
      <w:proofErr w:type="spellEnd"/>
      <w:r w:rsidR="67DDF399" w:rsidRPr="27597654">
        <w:rPr>
          <w:sz w:val="24"/>
          <w:szCs w:val="24"/>
        </w:rPr>
        <w:t xml:space="preserve"> objednatelem</w:t>
      </w:r>
      <w:r w:rsidR="00526648" w:rsidRPr="27597654">
        <w:rPr>
          <w:sz w:val="24"/>
          <w:szCs w:val="24"/>
        </w:rPr>
        <w:t xml:space="preserve">. Dnem úhrady </w:t>
      </w:r>
      <w:proofErr w:type="spellStart"/>
      <w:r w:rsidR="00526648" w:rsidRPr="27597654">
        <w:rPr>
          <w:sz w:val="24"/>
          <w:szCs w:val="24"/>
        </w:rPr>
        <w:t>daňov</w:t>
      </w:r>
      <w:proofErr w:type="spellEnd"/>
      <w:r w:rsidR="00526648" w:rsidRPr="27597654">
        <w:rPr>
          <w:sz w:val="24"/>
          <w:szCs w:val="24"/>
          <w:lang w:val="fr-FR"/>
        </w:rPr>
        <w:t>é</w:t>
      </w:r>
      <w:r w:rsidR="00526648" w:rsidRPr="27597654">
        <w:rPr>
          <w:sz w:val="24"/>
          <w:szCs w:val="24"/>
        </w:rPr>
        <w:t>ho dokladu se rozumí den odepsání pří</w:t>
      </w:r>
      <w:r w:rsidR="00526648" w:rsidRPr="27597654">
        <w:rPr>
          <w:sz w:val="24"/>
          <w:szCs w:val="24"/>
          <w:lang w:val="da-DK"/>
        </w:rPr>
        <w:t>slu</w:t>
      </w:r>
      <w:proofErr w:type="spellStart"/>
      <w:r w:rsidR="00526648" w:rsidRPr="27597654">
        <w:rPr>
          <w:sz w:val="24"/>
          <w:szCs w:val="24"/>
        </w:rPr>
        <w:t>šn</w:t>
      </w:r>
      <w:proofErr w:type="spellEnd"/>
      <w:r w:rsidR="00526648" w:rsidRPr="27597654">
        <w:rPr>
          <w:sz w:val="24"/>
          <w:szCs w:val="24"/>
          <w:lang w:val="fr-FR"/>
        </w:rPr>
        <w:t xml:space="preserve">é </w:t>
      </w:r>
      <w:r w:rsidR="00526648" w:rsidRPr="27597654">
        <w:rPr>
          <w:sz w:val="24"/>
          <w:szCs w:val="24"/>
        </w:rPr>
        <w:t>finanční částky z účtu objednatele. Za každý den prodlení zaplatí objednatel úrok z prodlení ve výši stanoven</w:t>
      </w:r>
      <w:r w:rsidR="00526648" w:rsidRPr="27597654">
        <w:rPr>
          <w:sz w:val="24"/>
          <w:szCs w:val="24"/>
          <w:lang w:val="fr-FR"/>
        </w:rPr>
        <w:t xml:space="preserve">é </w:t>
      </w:r>
      <w:r w:rsidR="00526648" w:rsidRPr="27597654">
        <w:rPr>
          <w:sz w:val="24"/>
          <w:szCs w:val="24"/>
        </w:rPr>
        <w:t>právní</w:t>
      </w:r>
      <w:r w:rsidR="00526648" w:rsidRPr="27597654">
        <w:rPr>
          <w:sz w:val="24"/>
          <w:szCs w:val="24"/>
          <w:lang w:val="it-IT"/>
        </w:rPr>
        <w:t>mi p</w:t>
      </w:r>
      <w:proofErr w:type="spellStart"/>
      <w:r w:rsidR="00526648" w:rsidRPr="27597654">
        <w:rPr>
          <w:sz w:val="24"/>
          <w:szCs w:val="24"/>
        </w:rPr>
        <w:t>ředpisy</w:t>
      </w:r>
      <w:proofErr w:type="spellEnd"/>
      <w:r w:rsidR="00526648" w:rsidRPr="27597654">
        <w:rPr>
          <w:sz w:val="24"/>
          <w:szCs w:val="24"/>
        </w:rPr>
        <w:t>.</w:t>
      </w:r>
    </w:p>
    <w:p w14:paraId="4D2A6231" w14:textId="0267C2F7" w:rsidR="27597654" w:rsidRDefault="27597654" w:rsidP="27597654">
      <w:pPr>
        <w:spacing w:after="0"/>
        <w:ind w:left="360"/>
        <w:jc w:val="both"/>
        <w:rPr>
          <w:sz w:val="24"/>
          <w:szCs w:val="24"/>
        </w:rPr>
      </w:pPr>
    </w:p>
    <w:p w14:paraId="7E10D262" w14:textId="4D7BD72B" w:rsidR="19EC2BE0" w:rsidRDefault="19EC2BE0" w:rsidP="27597654">
      <w:pPr>
        <w:spacing w:after="0"/>
        <w:jc w:val="center"/>
      </w:pPr>
      <w:r w:rsidRPr="27597654">
        <w:rPr>
          <w:rFonts w:eastAsia="Calibri" w:cs="Calibri"/>
          <w:b/>
          <w:bCs/>
          <w:color w:val="000000" w:themeColor="text1"/>
          <w:sz w:val="24"/>
          <w:szCs w:val="24"/>
        </w:rPr>
        <w:t>III.</w:t>
      </w:r>
    </w:p>
    <w:p w14:paraId="70CC2B1E" w14:textId="41F7638E" w:rsidR="19EC2BE0" w:rsidRDefault="19EC2BE0" w:rsidP="00836342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eastAsia="Calibri" w:cs="Calibri"/>
          <w:color w:val="000000" w:themeColor="text1"/>
          <w:sz w:val="24"/>
          <w:szCs w:val="24"/>
          <w:lang w:val="cs-CZ"/>
        </w:rPr>
      </w:pPr>
      <w:r w:rsidRPr="27597654">
        <w:rPr>
          <w:rFonts w:eastAsia="Calibri" w:cs="Calibri"/>
          <w:color w:val="000000" w:themeColor="text1"/>
          <w:sz w:val="24"/>
          <w:szCs w:val="24"/>
          <w:lang w:val="cs-CZ"/>
        </w:rPr>
        <w:t>Ostatní ustanovení a přílohy Smlouvy se nemění.</w:t>
      </w:r>
    </w:p>
    <w:p w14:paraId="719B3073" w14:textId="1859DE82" w:rsidR="19EC2BE0" w:rsidRDefault="19EC2BE0" w:rsidP="00836342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eastAsia="Calibri" w:cs="Calibri"/>
          <w:color w:val="000000" w:themeColor="text1"/>
          <w:sz w:val="24"/>
          <w:szCs w:val="24"/>
          <w:lang w:val="cs-CZ"/>
        </w:rPr>
      </w:pPr>
      <w:r w:rsidRPr="27597654">
        <w:rPr>
          <w:rFonts w:eastAsia="Calibri" w:cs="Calibri"/>
          <w:color w:val="000000" w:themeColor="text1"/>
          <w:sz w:val="24"/>
          <w:szCs w:val="24"/>
          <w:lang w:val="cs-CZ"/>
        </w:rPr>
        <w:t xml:space="preserve">Otázky výslovně tímto dodatkem neupravené se řídí ustanoveními zákona č. 89/2012 Sb., občanský zákoník. </w:t>
      </w:r>
    </w:p>
    <w:p w14:paraId="0F67A133" w14:textId="2F38B2F7" w:rsidR="19EC2BE0" w:rsidRDefault="19EC2BE0" w:rsidP="00836342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eastAsia="Calibri" w:cs="Calibri"/>
          <w:color w:val="000000" w:themeColor="text1"/>
          <w:sz w:val="24"/>
          <w:szCs w:val="24"/>
          <w:lang w:val="cs-CZ"/>
        </w:rPr>
      </w:pPr>
      <w:r w:rsidRPr="27597654">
        <w:rPr>
          <w:rFonts w:eastAsia="Calibri" w:cs="Calibri"/>
          <w:color w:val="000000" w:themeColor="text1"/>
          <w:sz w:val="24"/>
          <w:szCs w:val="24"/>
          <w:lang w:val="cs-CZ"/>
        </w:rPr>
        <w:t>Tento dodatek nabývá platnosti dnem jeho podpisu smluvními stranami a účinnosti dnem zveřejnění v registru smluv.</w:t>
      </w:r>
    </w:p>
    <w:p w14:paraId="158FC7A8" w14:textId="69097C62" w:rsidR="19EC2BE0" w:rsidRDefault="19EC2BE0" w:rsidP="00836342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eastAsia="Calibri" w:cs="Calibri"/>
          <w:color w:val="000000" w:themeColor="text1"/>
          <w:sz w:val="24"/>
          <w:szCs w:val="24"/>
          <w:lang w:val="cs-CZ"/>
        </w:rPr>
      </w:pPr>
      <w:r w:rsidRPr="27597654">
        <w:rPr>
          <w:rFonts w:eastAsia="Calibri" w:cs="Calibri"/>
          <w:color w:val="000000" w:themeColor="text1"/>
          <w:sz w:val="24"/>
          <w:szCs w:val="24"/>
          <w:lang w:val="cs-CZ"/>
        </w:rPr>
        <w:lastRenderedPageBreak/>
        <w:t>Smluvní strany prohlašují, že tento dodatek ke smlouvě byl sepsán podle jejich pravé a svobodné vůle, nikoli v tísni nebo za jinak jednostranně nevýhodných podmínek. Dodatek si přečetly, souhlasí bez výhrad s jeho obsahem a na důkaz toho připojují své podpisy.</w:t>
      </w:r>
    </w:p>
    <w:p w14:paraId="7661FDFC" w14:textId="4CAB1B48" w:rsidR="27597654" w:rsidRDefault="27597654" w:rsidP="27597654">
      <w:pPr>
        <w:spacing w:after="0"/>
        <w:ind w:left="360"/>
        <w:jc w:val="both"/>
        <w:rPr>
          <w:sz w:val="24"/>
          <w:szCs w:val="24"/>
        </w:rPr>
      </w:pPr>
    </w:p>
    <w:p w14:paraId="7450FFC2" w14:textId="77777777" w:rsidR="005D294E" w:rsidRDefault="005D294E">
      <w:pPr>
        <w:spacing w:after="0"/>
        <w:ind w:left="360"/>
        <w:jc w:val="both"/>
        <w:rPr>
          <w:sz w:val="24"/>
          <w:szCs w:val="24"/>
        </w:rPr>
      </w:pPr>
    </w:p>
    <w:tbl>
      <w:tblPr>
        <w:tblStyle w:val="TableNormal"/>
        <w:tblW w:w="9288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1392"/>
        <w:gridCol w:w="3960"/>
      </w:tblGrid>
      <w:tr w:rsidR="005D294E" w14:paraId="5DB2AD3E" w14:textId="77777777">
        <w:trPr>
          <w:trHeight w:val="26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0B9E0" w14:textId="77777777" w:rsidR="005D294E" w:rsidRDefault="00526648">
            <w:r>
              <w:rPr>
                <w:sz w:val="24"/>
                <w:szCs w:val="24"/>
              </w:rPr>
              <w:t>V Praze dne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79EB8" w14:textId="77777777" w:rsidR="005D294E" w:rsidRDefault="005D294E"/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B23D" w14:textId="77777777" w:rsidR="005D294E" w:rsidRDefault="00526648">
            <w:pPr>
              <w:spacing w:after="0"/>
            </w:pPr>
            <w:r>
              <w:rPr>
                <w:sz w:val="24"/>
                <w:szCs w:val="24"/>
              </w:rPr>
              <w:t>V Praze dne</w:t>
            </w:r>
          </w:p>
        </w:tc>
      </w:tr>
      <w:tr w:rsidR="005D294E" w14:paraId="2A8D4246" w14:textId="77777777">
        <w:trPr>
          <w:trHeight w:val="604"/>
        </w:trPr>
        <w:tc>
          <w:tcPr>
            <w:tcW w:w="3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5C0F6" w14:textId="77777777" w:rsidR="005D294E" w:rsidRDefault="005D294E"/>
          <w:p w14:paraId="4B17C875" w14:textId="77777777" w:rsidR="00836342" w:rsidRDefault="00836342"/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1FB0E" w14:textId="77777777" w:rsidR="005D294E" w:rsidRDefault="005D294E"/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F13A8" w14:textId="77777777" w:rsidR="005D294E" w:rsidRDefault="005D294E"/>
          <w:p w14:paraId="31B93E06" w14:textId="77777777" w:rsidR="00836342" w:rsidRDefault="00836342"/>
        </w:tc>
      </w:tr>
      <w:tr w:rsidR="005D294E" w14:paraId="149023D5" w14:textId="77777777">
        <w:trPr>
          <w:trHeight w:val="1507"/>
        </w:trPr>
        <w:tc>
          <w:tcPr>
            <w:tcW w:w="3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445F5" w14:textId="7D5C8CEF" w:rsidR="005D294E" w:rsidRDefault="000456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Petr Brůha</w:t>
            </w:r>
          </w:p>
          <w:p w14:paraId="586C8944" w14:textId="77777777" w:rsidR="005D294E" w:rsidRDefault="00526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náměstek pro centrální sbírkotvornou a výstavní činnost</w:t>
            </w:r>
          </w:p>
          <w:p w14:paraId="248C6B55" w14:textId="77777777" w:rsidR="005D294E" w:rsidRDefault="00526648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(objednatel)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E6250" w14:textId="77777777" w:rsidR="005D294E" w:rsidRDefault="005D294E"/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E6702" w14:textId="08C1534E" w:rsidR="005D294E" w:rsidRDefault="002956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arch. Lucie </w:t>
            </w:r>
            <w:proofErr w:type="spellStart"/>
            <w:r>
              <w:rPr>
                <w:sz w:val="24"/>
                <w:szCs w:val="24"/>
              </w:rPr>
              <w:t>Kirovová</w:t>
            </w:r>
            <w:proofErr w:type="spellEnd"/>
            <w:r>
              <w:rPr>
                <w:sz w:val="24"/>
                <w:szCs w:val="24"/>
              </w:rPr>
              <w:t>, Ph.D.</w:t>
            </w:r>
          </w:p>
          <w:p w14:paraId="1692B0AA" w14:textId="77777777" w:rsidR="005D294E" w:rsidRDefault="00526648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(zhotovitel)</w:t>
            </w:r>
          </w:p>
        </w:tc>
      </w:tr>
    </w:tbl>
    <w:p w14:paraId="78BB4D16" w14:textId="77777777" w:rsidR="005D294E" w:rsidRDefault="005D294E">
      <w:pPr>
        <w:widowControl w:val="0"/>
        <w:spacing w:after="0" w:line="240" w:lineRule="auto"/>
        <w:ind w:left="432" w:hanging="432"/>
      </w:pPr>
    </w:p>
    <w:sectPr w:rsidR="005D294E" w:rsidSect="002239AB">
      <w:headerReference w:type="default" r:id="rId10"/>
      <w:footerReference w:type="default" r:id="rId11"/>
      <w:pgSz w:w="11900" w:h="16840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95F31" w14:textId="77777777" w:rsidR="00C47694" w:rsidRDefault="00C47694">
      <w:pPr>
        <w:spacing w:after="0" w:line="240" w:lineRule="auto"/>
      </w:pPr>
      <w:r>
        <w:separator/>
      </w:r>
    </w:p>
  </w:endnote>
  <w:endnote w:type="continuationSeparator" w:id="0">
    <w:p w14:paraId="4B7C777A" w14:textId="77777777" w:rsidR="00C47694" w:rsidRDefault="00C4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E2F5C" w14:textId="77777777" w:rsidR="005D294E" w:rsidRDefault="00526648">
    <w:pPr>
      <w:pStyle w:val="Zpat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D9DD6" w14:textId="77777777" w:rsidR="00C47694" w:rsidRDefault="00C47694">
      <w:pPr>
        <w:spacing w:after="0" w:line="240" w:lineRule="auto"/>
      </w:pPr>
      <w:r>
        <w:separator/>
      </w:r>
    </w:p>
  </w:footnote>
  <w:footnote w:type="continuationSeparator" w:id="0">
    <w:p w14:paraId="28B4FC9C" w14:textId="77777777" w:rsidR="00C47694" w:rsidRDefault="00C47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581E9" w14:textId="0516CE5A" w:rsidR="005D294E" w:rsidRDefault="27597654" w:rsidP="00AC3505">
    <w:pPr>
      <w:spacing w:after="0"/>
      <w:jc w:val="right"/>
      <w:rPr>
        <w:rFonts w:hint="eastAsia"/>
      </w:rPr>
    </w:pPr>
    <w:r w:rsidRPr="27597654">
      <w:rPr>
        <w:sz w:val="24"/>
        <w:szCs w:val="24"/>
      </w:rPr>
      <w:t>Č</w:t>
    </w:r>
    <w:r w:rsidRPr="27597654">
      <w:rPr>
        <w:sz w:val="24"/>
        <w:szCs w:val="24"/>
        <w:lang w:val="en-US"/>
      </w:rPr>
      <w:t>.j.: 2024/6332</w:t>
    </w:r>
    <w:r w:rsidRPr="27597654">
      <w:rPr>
        <w:sz w:val="24"/>
        <w:szCs w:val="24"/>
        <w:lang w:val="de-DE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92F06"/>
    <w:multiLevelType w:val="hybridMultilevel"/>
    <w:tmpl w:val="B28089E2"/>
    <w:numStyleLink w:val="Importovantl8"/>
  </w:abstractNum>
  <w:abstractNum w:abstractNumId="1" w15:restartNumberingAfterBreak="0">
    <w:nsid w:val="09D4874E"/>
    <w:multiLevelType w:val="hybridMultilevel"/>
    <w:tmpl w:val="DB76F380"/>
    <w:lvl w:ilvl="0" w:tplc="38822006">
      <w:start w:val="1"/>
      <w:numFmt w:val="decimal"/>
      <w:lvlText w:val="%1."/>
      <w:lvlJc w:val="left"/>
      <w:pPr>
        <w:ind w:left="720" w:hanging="360"/>
      </w:pPr>
    </w:lvl>
    <w:lvl w:ilvl="1" w:tplc="E68C3D34">
      <w:start w:val="1"/>
      <w:numFmt w:val="lowerLetter"/>
      <w:lvlText w:val="%2."/>
      <w:lvlJc w:val="left"/>
      <w:pPr>
        <w:ind w:left="1440" w:hanging="360"/>
      </w:pPr>
    </w:lvl>
    <w:lvl w:ilvl="2" w:tplc="648CB9B4">
      <w:start w:val="1"/>
      <w:numFmt w:val="lowerRoman"/>
      <w:lvlText w:val="%3."/>
      <w:lvlJc w:val="right"/>
      <w:pPr>
        <w:ind w:left="2160" w:hanging="180"/>
      </w:pPr>
    </w:lvl>
    <w:lvl w:ilvl="3" w:tplc="CB668938">
      <w:start w:val="1"/>
      <w:numFmt w:val="decimal"/>
      <w:lvlText w:val="%4."/>
      <w:lvlJc w:val="left"/>
      <w:pPr>
        <w:ind w:left="2880" w:hanging="360"/>
      </w:pPr>
    </w:lvl>
    <w:lvl w:ilvl="4" w:tplc="B4E65ABA">
      <w:start w:val="1"/>
      <w:numFmt w:val="lowerLetter"/>
      <w:lvlText w:val="%5."/>
      <w:lvlJc w:val="left"/>
      <w:pPr>
        <w:ind w:left="3600" w:hanging="360"/>
      </w:pPr>
    </w:lvl>
    <w:lvl w:ilvl="5" w:tplc="03B0CBFE">
      <w:start w:val="1"/>
      <w:numFmt w:val="lowerRoman"/>
      <w:lvlText w:val="%6."/>
      <w:lvlJc w:val="right"/>
      <w:pPr>
        <w:ind w:left="4320" w:hanging="180"/>
      </w:pPr>
    </w:lvl>
    <w:lvl w:ilvl="6" w:tplc="6AACD056">
      <w:start w:val="1"/>
      <w:numFmt w:val="decimal"/>
      <w:lvlText w:val="%7."/>
      <w:lvlJc w:val="left"/>
      <w:pPr>
        <w:ind w:left="5040" w:hanging="360"/>
      </w:pPr>
    </w:lvl>
    <w:lvl w:ilvl="7" w:tplc="EB3051E6">
      <w:start w:val="1"/>
      <w:numFmt w:val="lowerLetter"/>
      <w:lvlText w:val="%8."/>
      <w:lvlJc w:val="left"/>
      <w:pPr>
        <w:ind w:left="5760" w:hanging="360"/>
      </w:pPr>
    </w:lvl>
    <w:lvl w:ilvl="8" w:tplc="60CCF3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1940"/>
    <w:multiLevelType w:val="multilevel"/>
    <w:tmpl w:val="B98A8E50"/>
    <w:numStyleLink w:val="Importovantl1"/>
  </w:abstractNum>
  <w:abstractNum w:abstractNumId="3" w15:restartNumberingAfterBreak="0">
    <w:nsid w:val="15E930D8"/>
    <w:multiLevelType w:val="hybridMultilevel"/>
    <w:tmpl w:val="2AC64AA6"/>
    <w:styleLink w:val="Importovantl10"/>
    <w:lvl w:ilvl="0" w:tplc="1A4A0C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02A77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18B328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0BC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BA6A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B000A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1E8C3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B84B8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94F98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127447"/>
    <w:multiLevelType w:val="hybridMultilevel"/>
    <w:tmpl w:val="2AC64AA6"/>
    <w:numStyleLink w:val="Importovantl10"/>
  </w:abstractNum>
  <w:abstractNum w:abstractNumId="5" w15:restartNumberingAfterBreak="0">
    <w:nsid w:val="20DA76CB"/>
    <w:multiLevelType w:val="hybridMultilevel"/>
    <w:tmpl w:val="3B081126"/>
    <w:styleLink w:val="Importovantl3"/>
    <w:lvl w:ilvl="0" w:tplc="3B58ED7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F23AF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5C92A4">
      <w:start w:val="1"/>
      <w:numFmt w:val="lowerRoman"/>
      <w:lvlText w:val="%3."/>
      <w:lvlJc w:val="left"/>
      <w:pPr>
        <w:ind w:left="117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8ADD7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3CA8E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A6A72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A4B19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32384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CB61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6F5F2C"/>
    <w:multiLevelType w:val="hybridMultilevel"/>
    <w:tmpl w:val="ECDEBAEA"/>
    <w:numStyleLink w:val="Importovantl2"/>
  </w:abstractNum>
  <w:abstractNum w:abstractNumId="7" w15:restartNumberingAfterBreak="0">
    <w:nsid w:val="23657FA6"/>
    <w:multiLevelType w:val="hybridMultilevel"/>
    <w:tmpl w:val="D0B2F6BA"/>
    <w:numStyleLink w:val="Importovantl4"/>
  </w:abstractNum>
  <w:abstractNum w:abstractNumId="8" w15:restartNumberingAfterBreak="0">
    <w:nsid w:val="31815BE5"/>
    <w:multiLevelType w:val="hybridMultilevel"/>
    <w:tmpl w:val="3FC86F5C"/>
    <w:styleLink w:val="Importovantl7"/>
    <w:lvl w:ilvl="0" w:tplc="7684049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B6DD3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ACA32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F8FA2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06FD3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30837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D88BC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74A2F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3A4AA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4F85D99"/>
    <w:multiLevelType w:val="hybridMultilevel"/>
    <w:tmpl w:val="3B081126"/>
    <w:numStyleLink w:val="Importovantl3"/>
  </w:abstractNum>
  <w:abstractNum w:abstractNumId="10" w15:restartNumberingAfterBreak="0">
    <w:nsid w:val="36146B29"/>
    <w:multiLevelType w:val="multilevel"/>
    <w:tmpl w:val="B98A8E50"/>
    <w:styleLink w:val="Importovant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6300495"/>
    <w:multiLevelType w:val="hybridMultilevel"/>
    <w:tmpl w:val="ECDEBAEA"/>
    <w:styleLink w:val="Importovantl2"/>
    <w:lvl w:ilvl="0" w:tplc="22AA3D4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722A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888B4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E0811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00B39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9A5A3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E0208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18C94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7893C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90F2392"/>
    <w:multiLevelType w:val="hybridMultilevel"/>
    <w:tmpl w:val="B28089E2"/>
    <w:styleLink w:val="Importovantl8"/>
    <w:lvl w:ilvl="0" w:tplc="069046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6182E">
      <w:start w:val="1"/>
      <w:numFmt w:val="bullet"/>
      <w:lvlText w:val="-"/>
      <w:lvlJc w:val="left"/>
      <w:pPr>
        <w:ind w:left="1785" w:hanging="7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6694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908F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AC47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AA1A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5AB5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329E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24FF2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AAD1DB6"/>
    <w:multiLevelType w:val="hybridMultilevel"/>
    <w:tmpl w:val="FB92C30E"/>
    <w:styleLink w:val="Importovantl6"/>
    <w:lvl w:ilvl="0" w:tplc="71509E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9CA22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A01E6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A4547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E295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26122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908DF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7E682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74482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5405259"/>
    <w:multiLevelType w:val="hybridMultilevel"/>
    <w:tmpl w:val="3FC86F5C"/>
    <w:numStyleLink w:val="Importovantl7"/>
  </w:abstractNum>
  <w:abstractNum w:abstractNumId="15" w15:restartNumberingAfterBreak="0">
    <w:nsid w:val="55847BFB"/>
    <w:multiLevelType w:val="hybridMultilevel"/>
    <w:tmpl w:val="3746CAC8"/>
    <w:numStyleLink w:val="Importovantl9"/>
  </w:abstractNum>
  <w:abstractNum w:abstractNumId="16" w15:restartNumberingAfterBreak="0">
    <w:nsid w:val="56346308"/>
    <w:multiLevelType w:val="hybridMultilevel"/>
    <w:tmpl w:val="D0B2F6BA"/>
    <w:styleLink w:val="Importovantl4"/>
    <w:lvl w:ilvl="0" w:tplc="C084123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C8135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7EDB18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92B63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94BDB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47C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E6F5F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2896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EA5B6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5D57B2A"/>
    <w:multiLevelType w:val="hybridMultilevel"/>
    <w:tmpl w:val="A82E7B60"/>
    <w:styleLink w:val="Importovantl5"/>
    <w:lvl w:ilvl="0" w:tplc="7BB0AA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8209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468A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A8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E444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FC5E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FE02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84F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6EB0D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01D4A23"/>
    <w:multiLevelType w:val="hybridMultilevel"/>
    <w:tmpl w:val="FB92C30E"/>
    <w:numStyleLink w:val="Importovantl6"/>
  </w:abstractNum>
  <w:abstractNum w:abstractNumId="19" w15:restartNumberingAfterBreak="0">
    <w:nsid w:val="7BE024B3"/>
    <w:multiLevelType w:val="hybridMultilevel"/>
    <w:tmpl w:val="3746CAC8"/>
    <w:styleLink w:val="Importovantl9"/>
    <w:lvl w:ilvl="0" w:tplc="1A12A3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A844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26D4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C870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F8C3C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B6F7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A4B8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A408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10DB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F617312"/>
    <w:multiLevelType w:val="hybridMultilevel"/>
    <w:tmpl w:val="A82E7B60"/>
    <w:numStyleLink w:val="Importovantl5"/>
  </w:abstractNum>
  <w:num w:numId="1" w16cid:durableId="733431209">
    <w:abstractNumId w:val="1"/>
  </w:num>
  <w:num w:numId="2" w16cid:durableId="1214463648">
    <w:abstractNumId w:val="10"/>
  </w:num>
  <w:num w:numId="3" w16cid:durableId="392436262">
    <w:abstractNumId w:val="2"/>
  </w:num>
  <w:num w:numId="4" w16cid:durableId="2097969626">
    <w:abstractNumId w:val="2"/>
    <w:lvlOverride w:ilvl="0">
      <w:startOverride w:val="2"/>
    </w:lvlOverride>
  </w:num>
  <w:num w:numId="5" w16cid:durableId="102769260">
    <w:abstractNumId w:val="11"/>
  </w:num>
  <w:num w:numId="6" w16cid:durableId="1126388850">
    <w:abstractNumId w:val="6"/>
  </w:num>
  <w:num w:numId="7" w16cid:durableId="185556253">
    <w:abstractNumId w:val="5"/>
  </w:num>
  <w:num w:numId="8" w16cid:durableId="1611742792">
    <w:abstractNumId w:val="9"/>
  </w:num>
  <w:num w:numId="9" w16cid:durableId="947274572">
    <w:abstractNumId w:val="16"/>
  </w:num>
  <w:num w:numId="10" w16cid:durableId="319425541">
    <w:abstractNumId w:val="7"/>
  </w:num>
  <w:num w:numId="11" w16cid:durableId="1028486672">
    <w:abstractNumId w:val="17"/>
  </w:num>
  <w:num w:numId="12" w16cid:durableId="279848829">
    <w:abstractNumId w:val="20"/>
  </w:num>
  <w:num w:numId="13" w16cid:durableId="885528217">
    <w:abstractNumId w:val="13"/>
  </w:num>
  <w:num w:numId="14" w16cid:durableId="1576279641">
    <w:abstractNumId w:val="18"/>
  </w:num>
  <w:num w:numId="15" w16cid:durableId="1211071924">
    <w:abstractNumId w:val="8"/>
  </w:num>
  <w:num w:numId="16" w16cid:durableId="1806654838">
    <w:abstractNumId w:val="14"/>
  </w:num>
  <w:num w:numId="17" w16cid:durableId="1545946565">
    <w:abstractNumId w:val="14"/>
    <w:lvlOverride w:ilvl="0">
      <w:startOverride w:val="2"/>
    </w:lvlOverride>
  </w:num>
  <w:num w:numId="18" w16cid:durableId="202326061">
    <w:abstractNumId w:val="12"/>
  </w:num>
  <w:num w:numId="19" w16cid:durableId="1089275741">
    <w:abstractNumId w:val="0"/>
  </w:num>
  <w:num w:numId="20" w16cid:durableId="167212056">
    <w:abstractNumId w:val="14"/>
    <w:lvlOverride w:ilvl="0">
      <w:startOverride w:val="3"/>
    </w:lvlOverride>
  </w:num>
  <w:num w:numId="21" w16cid:durableId="1262102250">
    <w:abstractNumId w:val="19"/>
  </w:num>
  <w:num w:numId="22" w16cid:durableId="997339863">
    <w:abstractNumId w:val="15"/>
  </w:num>
  <w:num w:numId="23" w16cid:durableId="920528207">
    <w:abstractNumId w:val="14"/>
    <w:lvlOverride w:ilvl="0">
      <w:startOverride w:val="4"/>
    </w:lvlOverride>
  </w:num>
  <w:num w:numId="24" w16cid:durableId="1277761784">
    <w:abstractNumId w:val="3"/>
  </w:num>
  <w:num w:numId="25" w16cid:durableId="326399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94E"/>
    <w:rsid w:val="00045680"/>
    <w:rsid w:val="0006244F"/>
    <w:rsid w:val="000725C5"/>
    <w:rsid w:val="0007517D"/>
    <w:rsid w:val="00081CCB"/>
    <w:rsid w:val="000B451C"/>
    <w:rsid w:val="000C2F3C"/>
    <w:rsid w:val="000D5474"/>
    <w:rsid w:val="000D6D56"/>
    <w:rsid w:val="00102197"/>
    <w:rsid w:val="00121681"/>
    <w:rsid w:val="00135DE4"/>
    <w:rsid w:val="00197C65"/>
    <w:rsid w:val="001E68E7"/>
    <w:rsid w:val="00216EAD"/>
    <w:rsid w:val="002239AB"/>
    <w:rsid w:val="00234061"/>
    <w:rsid w:val="00244DC2"/>
    <w:rsid w:val="002623F3"/>
    <w:rsid w:val="002637A4"/>
    <w:rsid w:val="00264C76"/>
    <w:rsid w:val="00275B38"/>
    <w:rsid w:val="00284E99"/>
    <w:rsid w:val="00287D4B"/>
    <w:rsid w:val="00294AFF"/>
    <w:rsid w:val="002956EB"/>
    <w:rsid w:val="002A2572"/>
    <w:rsid w:val="002B3C00"/>
    <w:rsid w:val="002B7A9F"/>
    <w:rsid w:val="00312EBC"/>
    <w:rsid w:val="00342FAF"/>
    <w:rsid w:val="003663BB"/>
    <w:rsid w:val="00373DF2"/>
    <w:rsid w:val="00387724"/>
    <w:rsid w:val="0039273A"/>
    <w:rsid w:val="003E23D2"/>
    <w:rsid w:val="003E2FEF"/>
    <w:rsid w:val="00423A90"/>
    <w:rsid w:val="00440BA1"/>
    <w:rsid w:val="0044301B"/>
    <w:rsid w:val="00445618"/>
    <w:rsid w:val="00467281"/>
    <w:rsid w:val="00494C8C"/>
    <w:rsid w:val="004A0FCB"/>
    <w:rsid w:val="004D04E4"/>
    <w:rsid w:val="004D1764"/>
    <w:rsid w:val="004D6526"/>
    <w:rsid w:val="00502371"/>
    <w:rsid w:val="00504315"/>
    <w:rsid w:val="00522497"/>
    <w:rsid w:val="00526648"/>
    <w:rsid w:val="0059223E"/>
    <w:rsid w:val="005A2484"/>
    <w:rsid w:val="005B4CD0"/>
    <w:rsid w:val="005B6FFA"/>
    <w:rsid w:val="005C1009"/>
    <w:rsid w:val="005D294E"/>
    <w:rsid w:val="005F1CFC"/>
    <w:rsid w:val="005F2C90"/>
    <w:rsid w:val="005F7971"/>
    <w:rsid w:val="005F7E12"/>
    <w:rsid w:val="00607EF5"/>
    <w:rsid w:val="00607F92"/>
    <w:rsid w:val="00610BCB"/>
    <w:rsid w:val="00660A5E"/>
    <w:rsid w:val="006716CB"/>
    <w:rsid w:val="006875D3"/>
    <w:rsid w:val="0069369E"/>
    <w:rsid w:val="006B0E38"/>
    <w:rsid w:val="006C1801"/>
    <w:rsid w:val="006D2D01"/>
    <w:rsid w:val="006D7967"/>
    <w:rsid w:val="006F69B6"/>
    <w:rsid w:val="00712095"/>
    <w:rsid w:val="0071365E"/>
    <w:rsid w:val="00713E84"/>
    <w:rsid w:val="00725E62"/>
    <w:rsid w:val="00735E58"/>
    <w:rsid w:val="0074735B"/>
    <w:rsid w:val="007735FC"/>
    <w:rsid w:val="00774A2F"/>
    <w:rsid w:val="00775A70"/>
    <w:rsid w:val="00791839"/>
    <w:rsid w:val="007B3F1B"/>
    <w:rsid w:val="007B7349"/>
    <w:rsid w:val="007C2F64"/>
    <w:rsid w:val="007F1417"/>
    <w:rsid w:val="007F262E"/>
    <w:rsid w:val="0083045B"/>
    <w:rsid w:val="00836342"/>
    <w:rsid w:val="0086312F"/>
    <w:rsid w:val="00880146"/>
    <w:rsid w:val="00887FD9"/>
    <w:rsid w:val="008A2AC7"/>
    <w:rsid w:val="008A57B5"/>
    <w:rsid w:val="008F0329"/>
    <w:rsid w:val="008F15F3"/>
    <w:rsid w:val="008F6526"/>
    <w:rsid w:val="00907EFA"/>
    <w:rsid w:val="009358D0"/>
    <w:rsid w:val="00937A95"/>
    <w:rsid w:val="00942B69"/>
    <w:rsid w:val="00972D69"/>
    <w:rsid w:val="00985D51"/>
    <w:rsid w:val="00997354"/>
    <w:rsid w:val="009A30D1"/>
    <w:rsid w:val="009E1E00"/>
    <w:rsid w:val="009F6DC3"/>
    <w:rsid w:val="00A027C7"/>
    <w:rsid w:val="00A4304F"/>
    <w:rsid w:val="00A669CB"/>
    <w:rsid w:val="00A73B10"/>
    <w:rsid w:val="00AA6CA5"/>
    <w:rsid w:val="00AC3505"/>
    <w:rsid w:val="00AD6979"/>
    <w:rsid w:val="00B2384B"/>
    <w:rsid w:val="00B910C9"/>
    <w:rsid w:val="00BB57D5"/>
    <w:rsid w:val="00BD6A16"/>
    <w:rsid w:val="00BF31FD"/>
    <w:rsid w:val="00BF727F"/>
    <w:rsid w:val="00C012E6"/>
    <w:rsid w:val="00C058D3"/>
    <w:rsid w:val="00C106DA"/>
    <w:rsid w:val="00C202DE"/>
    <w:rsid w:val="00C47694"/>
    <w:rsid w:val="00CA36AE"/>
    <w:rsid w:val="00CA6BAC"/>
    <w:rsid w:val="00CB2ABD"/>
    <w:rsid w:val="00CF0FCC"/>
    <w:rsid w:val="00D9210A"/>
    <w:rsid w:val="00DC09AF"/>
    <w:rsid w:val="00E70B7B"/>
    <w:rsid w:val="00E8576C"/>
    <w:rsid w:val="00EC1996"/>
    <w:rsid w:val="00ED5141"/>
    <w:rsid w:val="00ED6420"/>
    <w:rsid w:val="00EE62E6"/>
    <w:rsid w:val="00EE6AC7"/>
    <w:rsid w:val="00EF1F95"/>
    <w:rsid w:val="00EF5E54"/>
    <w:rsid w:val="00F2509F"/>
    <w:rsid w:val="00F37B34"/>
    <w:rsid w:val="00F73E08"/>
    <w:rsid w:val="00FC0EE4"/>
    <w:rsid w:val="00FE19A4"/>
    <w:rsid w:val="00FF5100"/>
    <w:rsid w:val="023F18EB"/>
    <w:rsid w:val="02A92AE4"/>
    <w:rsid w:val="05B91DC5"/>
    <w:rsid w:val="0A27A363"/>
    <w:rsid w:val="0E0A7A11"/>
    <w:rsid w:val="0E55F9E7"/>
    <w:rsid w:val="0EBF8474"/>
    <w:rsid w:val="0ED9888C"/>
    <w:rsid w:val="0FBD9D7A"/>
    <w:rsid w:val="10677159"/>
    <w:rsid w:val="110065C8"/>
    <w:rsid w:val="142DE722"/>
    <w:rsid w:val="1473C6A0"/>
    <w:rsid w:val="1527F935"/>
    <w:rsid w:val="156BA1DB"/>
    <w:rsid w:val="160EB86C"/>
    <w:rsid w:val="17F69482"/>
    <w:rsid w:val="19EC2BE0"/>
    <w:rsid w:val="1C54204B"/>
    <w:rsid w:val="1D16956F"/>
    <w:rsid w:val="1E5B31DA"/>
    <w:rsid w:val="1F0DB1A5"/>
    <w:rsid w:val="1FA393D5"/>
    <w:rsid w:val="208510C1"/>
    <w:rsid w:val="20871542"/>
    <w:rsid w:val="231C7069"/>
    <w:rsid w:val="24AEEE48"/>
    <w:rsid w:val="25A350B5"/>
    <w:rsid w:val="25EDC5E2"/>
    <w:rsid w:val="27597654"/>
    <w:rsid w:val="278F5085"/>
    <w:rsid w:val="2D01DB9D"/>
    <w:rsid w:val="2FE68DAE"/>
    <w:rsid w:val="360701FA"/>
    <w:rsid w:val="36D66FD1"/>
    <w:rsid w:val="3707ACB7"/>
    <w:rsid w:val="376C4D17"/>
    <w:rsid w:val="37EA00AE"/>
    <w:rsid w:val="3A738879"/>
    <w:rsid w:val="3B7C38B5"/>
    <w:rsid w:val="3BE5FE45"/>
    <w:rsid w:val="3C85787E"/>
    <w:rsid w:val="3EAFB670"/>
    <w:rsid w:val="3F01BBB8"/>
    <w:rsid w:val="3F9C7463"/>
    <w:rsid w:val="45469E12"/>
    <w:rsid w:val="462790F4"/>
    <w:rsid w:val="4BAD62EA"/>
    <w:rsid w:val="4BF41824"/>
    <w:rsid w:val="4D3A5A41"/>
    <w:rsid w:val="50A3F00C"/>
    <w:rsid w:val="51965027"/>
    <w:rsid w:val="55E2FBB1"/>
    <w:rsid w:val="58F160D2"/>
    <w:rsid w:val="58FA1E25"/>
    <w:rsid w:val="5CBCE73E"/>
    <w:rsid w:val="5D0B6FF1"/>
    <w:rsid w:val="5E0D2247"/>
    <w:rsid w:val="5F2FE545"/>
    <w:rsid w:val="61664E20"/>
    <w:rsid w:val="618B103D"/>
    <w:rsid w:val="62352E09"/>
    <w:rsid w:val="6331E9BF"/>
    <w:rsid w:val="65E97FF2"/>
    <w:rsid w:val="67DDF399"/>
    <w:rsid w:val="69D29765"/>
    <w:rsid w:val="6BD6FE2E"/>
    <w:rsid w:val="6C088B02"/>
    <w:rsid w:val="6D12DFF7"/>
    <w:rsid w:val="6EBE755B"/>
    <w:rsid w:val="6F5CEB5E"/>
    <w:rsid w:val="6FD29EAA"/>
    <w:rsid w:val="7024E477"/>
    <w:rsid w:val="71DE7B00"/>
    <w:rsid w:val="7346CF62"/>
    <w:rsid w:val="73B9C113"/>
    <w:rsid w:val="757B7E2F"/>
    <w:rsid w:val="7B25CFAC"/>
    <w:rsid w:val="7D5B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FF38"/>
  <w15:docId w15:val="{92150C0B-47BA-44BA-B6D0-714D5BEC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2"/>
      </w:numPr>
    </w:pPr>
  </w:style>
  <w:style w:type="numbering" w:customStyle="1" w:styleId="Importovantl2">
    <w:name w:val="Importovaný štýl 2"/>
    <w:pPr>
      <w:numPr>
        <w:numId w:val="5"/>
      </w:numPr>
    </w:pPr>
  </w:style>
  <w:style w:type="numbering" w:customStyle="1" w:styleId="Importovantl3">
    <w:name w:val="Importovaný štýl 3"/>
    <w:pPr>
      <w:numPr>
        <w:numId w:val="7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numbering" w:customStyle="1" w:styleId="Importovantl4">
    <w:name w:val="Importovaný štýl 4"/>
    <w:pPr>
      <w:numPr>
        <w:numId w:val="9"/>
      </w:numPr>
    </w:pPr>
  </w:style>
  <w:style w:type="numbering" w:customStyle="1" w:styleId="Importovantl5">
    <w:name w:val="Importovaný štýl 5"/>
    <w:pPr>
      <w:numPr>
        <w:numId w:val="11"/>
      </w:numPr>
    </w:pPr>
  </w:style>
  <w:style w:type="numbering" w:customStyle="1" w:styleId="Importovantl6">
    <w:name w:val="Importovaný štýl 6"/>
    <w:pPr>
      <w:numPr>
        <w:numId w:val="13"/>
      </w:numPr>
    </w:pPr>
  </w:style>
  <w:style w:type="numbering" w:customStyle="1" w:styleId="Importovantl7">
    <w:name w:val="Importovaný štýl 7"/>
    <w:pPr>
      <w:numPr>
        <w:numId w:val="15"/>
      </w:numPr>
    </w:pPr>
  </w:style>
  <w:style w:type="numbering" w:customStyle="1" w:styleId="Importovantl8">
    <w:name w:val="Importovaný štýl 8"/>
    <w:pPr>
      <w:numPr>
        <w:numId w:val="18"/>
      </w:numPr>
    </w:pPr>
  </w:style>
  <w:style w:type="numbering" w:customStyle="1" w:styleId="Importovantl9">
    <w:name w:val="Importovaný štýl 9"/>
    <w:pPr>
      <w:numPr>
        <w:numId w:val="21"/>
      </w:numPr>
    </w:pPr>
  </w:style>
  <w:style w:type="paragraph" w:styleId="Zkladntext2">
    <w:name w:val="Body Text 2"/>
    <w:rPr>
      <w:rFonts w:cs="Arial Unicode MS"/>
      <w:color w:val="000000"/>
      <w:sz w:val="24"/>
      <w:szCs w:val="24"/>
      <w:u w:color="000000"/>
    </w:rPr>
  </w:style>
  <w:style w:type="numbering" w:customStyle="1" w:styleId="Importovantl10">
    <w:name w:val="Importovaný štýl 10"/>
    <w:pPr>
      <w:numPr>
        <w:numId w:val="24"/>
      </w:numPr>
    </w:pPr>
  </w:style>
  <w:style w:type="paragraph" w:styleId="Zhlav">
    <w:name w:val="header"/>
    <w:basedOn w:val="Normln"/>
    <w:link w:val="ZhlavChar"/>
    <w:uiPriority w:val="99"/>
    <w:unhideWhenUsed/>
    <w:rsid w:val="00D9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210A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zmezer">
    <w:name w:val="No Spacing"/>
    <w:uiPriority w:val="1"/>
    <w:qFormat/>
    <w:rsid w:val="27597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fa9a0481f84aa178ea04b1c9d4d010f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bc03ebd731c0c1bca5f4d665c08187b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1752C-9B60-41F1-85EF-15A3523B0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CB564-CDB1-42A0-8655-03DAECE9CAEC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894405DC-39C0-4BB5-92E9-9F8B2D99C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Drápalová Petra</dc:creator>
  <cp:lastModifiedBy>Mlíková Alexandra</cp:lastModifiedBy>
  <cp:revision>7</cp:revision>
  <cp:lastPrinted>2023-10-16T12:20:00Z</cp:lastPrinted>
  <dcterms:created xsi:type="dcterms:W3CDTF">2024-12-16T14:15:00Z</dcterms:created>
  <dcterms:modified xsi:type="dcterms:W3CDTF">2024-12-16T14:21:00Z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