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sídlem: č. p. 1047, Na Poříčí 26, Praha 1, 110 00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ředitelem společnosti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IČ: 26 72 30 00, DIČ: CZ 26 72 30 00,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(dále jen ARCHA+)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Člověk v tísni, o.p.s.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sídlem Šafaříkova 635/24, Vinohrady, 120 00 Praha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zastoupená Šimonem Pánkem, ředitelem společnosti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IČO: 25755277 DIČ: CZ25755277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ČvT)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86"/>
        </w:tabs>
        <w:spacing w:line="218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(Člověk v tísni a ARCHA+ dále též společně jako „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Strany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níže uvedeného dne, měsíce a roku tuto</w:t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SMLOUVU O PODNÁJMU PROSTOR A POSKYTNUTÍ SLUŽEB</w:t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</w:t>
      </w:r>
    </w:p>
    <w:p w:rsidR="00000000" w:rsidDel="00000000" w:rsidP="00000000" w:rsidRDefault="00000000" w:rsidRPr="00000000" w14:paraId="00000016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dohodly na poskytnutí prostoru a služeb v souvislosti s uspořádáním akce spojené se setkáním zaměstnanců ČvT (dále jen Akce). Akce se uskuteční 12. 11. 2024 od 18.30 hodin. Předmětem smlouvy je úprava vzájemných práv a povinností smluvních stran souvisejících s uspořádáním Akce dle tohoto článku. </w:t>
      </w:r>
    </w:p>
    <w:p w:rsidR="00000000" w:rsidDel="00000000" w:rsidP="00000000" w:rsidRDefault="00000000" w:rsidRPr="00000000" w14:paraId="00000018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ARCHY+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ARCHA+ se zavazuje poskytnout pro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přípravu a realizaci Akce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dle článku I. velký a malý sál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včetně zázemí obou sálů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 Divadle Archa Na Poříčí 26, Praha 1. Součástí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poskytnutých služeb je nad rámec služeb dle bodů níže také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dodávk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energií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vody a rovněž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úklid prostor před Akcí a po Akci.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Prostory budou poskytnuty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dne 12. 12. 2024, příprava bude zahájena v 10 hodin dopoledne, návštěvníci budou vpuštěny do prostru ARCHY+ v 18.00, Likvidace je plánována v čase 1.00 - 3.00 dne 13. 12.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Kontaktní osobou pro domluvu na harmonogramu, který lze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měnit pouze na základě dohody obou stran,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je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Jana Gajová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jana.gajova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@archa-plus.cz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produk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kce.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ARCHA+ se zavazuje zajistit pro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Akci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osvětlovací, zvukařské, jevištní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další technické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služby včetně poskytnutí a zapůjčení technik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 rozsahu vybavení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prostoru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ARCH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+. Smluvní strany se shodují, že vybavení ARCHY+ je dostačující pro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realizaci Akce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ARCHA+ zajistí produkční, uvaděče a hledištní personál v dostatečném počtu.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mobiliář dle objednávky ČvT.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360"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nenese odpovědnost za škody (na zdraví a majetku) účinkujících a dalších spolupracujících osob ani návštěvníků. ČvT se zavazuje takové škody pokrýt a uhradit svým pojištěním, případně se nároků na škodu vzdát.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ARCHA+ nenese odpovědnost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za úhradu autorských poplatků především OSA, které hradí ČvT dle čl. III. odst. 3., ani za případná porušení autorských a dalších práv vyplývajících z autorského zákona souvisejících s uspořádáním Akce dle této smlouvy.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36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 předchozí dohodě Smluvních stran umožní ČvT konzumaci jím určených osob na baru bez okamžité úhrady konzumovaných nápojů. Cena za konzumaci bude uhrazena po AKCI na základě faktury vystavené ARCHOU+</w:t>
      </w:r>
    </w:p>
    <w:p w:rsidR="00000000" w:rsidDel="00000000" w:rsidP="00000000" w:rsidRDefault="00000000" w:rsidRPr="00000000" w14:paraId="0000002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III.</w:t>
      </w:r>
    </w:p>
    <w:p w:rsidR="00000000" w:rsidDel="00000000" w:rsidP="00000000" w:rsidRDefault="00000000" w:rsidRPr="00000000" w14:paraId="00000027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ČvT</w:t>
      </w:r>
    </w:p>
    <w:p w:rsidR="00000000" w:rsidDel="00000000" w:rsidP="00000000" w:rsidRDefault="00000000" w:rsidRPr="00000000" w14:paraId="00000028">
      <w:pPr>
        <w:ind w:right="-226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ČvT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 zavazuje zajistit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dramaturgii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 program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Akce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včetně zajištění všech účinkujících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 dalších osob podílejících se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Akci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vyjma osob zajišťující služby dle článku II. smlouvy.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ČvT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 zavazuje uhradit všechny honoráře pro vystupující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umělc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spolupracovníky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dle odstavce 1. Honoráře a odměny budou vyplaceny na základě samostatných smluv uzavřených ze strany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ČvT se třetími stranami.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/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ČvT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uhradí všechny příslušné autorské odměny a příslušné odměny kolektivním správcům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(mimo jiné také OSA, pokud bude součástí programu Akce hudební produkce).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ARCHA+ nenese odpovědnost za případná porušení autorských a dalších práv vyplývajících z autorského zákona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souvisejících s 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spořádáním Akce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 prostoru ARCHA+ dle této smlouvy.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50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ČvT prohlašuje, že je mu znám stav prostor ARCHY+, které jsou předmětem podnájmu. Zároveň se seznámil s bezpečnostními předpisy a zavazuje se je dodržovat, stejně tak jako se zavazuje dodržovat právní předpisy platné v oblasti bezpečnosti práce a požární ochrany.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50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Dojde-li </w:t>
        <w:tab/>
        <w:t xml:space="preserve">zaviněním ČvT nebo jeho pracovníků či vystupujících umělců ke škodám na interiéru, mobiliáři prostor nebo na jakémkoliv majetku nájemce, je Pořadatel povinen uvést prostory i majetek na svůj náklad a bez zbytečného odkladu do původního </w:t>
        <w:tab/>
        <w:t xml:space="preserve">stavu. Pokud uvedení do původního stavu není možné, zavazuje se ČvT nahradit nájemci škodu, která mu shora uvedeným způsobem vznikla nejpozději do čtrnácti dnů od konání Akce.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50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ČvT podpisem smlouvy potvrzuje, že elektrická zařízení, která nejsou v majetku a užívání ARCHY+ a budou během Akce používána, prošla revizními kontrolami. </w:t>
        <w:tab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50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ČvT uhradí za služby dle článku II poskytnuté ARCHOU+ cenu dle článku IV.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-226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3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Finanční podmínky</w:t>
      </w:r>
    </w:p>
    <w:p w:rsidR="00000000" w:rsidDel="00000000" w:rsidP="00000000" w:rsidRDefault="00000000" w:rsidRPr="00000000" w14:paraId="0000003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259" w:lineRule="auto"/>
        <w:ind w:left="360"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služby dle článku II. uhradí ČvT ARŠE+ cenu ve výši 112 940 Kč + DPH ve výši 21%, celkem 136 657 Kč (slovy: sto třicet šest tisíc šest set padesát sedm korun českých).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59" w:lineRule="auto"/>
        <w:ind w:left="360"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případě, že dojde během přípravy a realizace Akce k poskytování služeb ze strany ARCHA+ nad rámec původní dohody, na základě které byla vypočtena cena dle odstavce 1, budou k částce dle odst. 1 připočteny vícenáklady dle skutečně odpracovaných hodin externích spolupracovníků.  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160" w:line="259" w:lineRule="auto"/>
        <w:ind w:left="360"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Cena bude uhrazena na základě faktury vystavené ARCHOU+ nejdříve den po uskutečnění Akce.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VI.</w:t>
      </w:r>
    </w:p>
    <w:p w:rsidR="00000000" w:rsidDel="00000000" w:rsidP="00000000" w:rsidRDefault="00000000" w:rsidRPr="00000000" w14:paraId="00000037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Odstoupení od smlouvy</w:t>
      </w:r>
    </w:p>
    <w:p w:rsidR="00000000" w:rsidDel="00000000" w:rsidP="00000000" w:rsidRDefault="00000000" w:rsidRPr="00000000" w14:paraId="0000003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 případě, že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Akce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neuskuteční z důvodu vyšší moci, nemá žádná ze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tran nárok na náhradu dosud vynaložených nákladů souvisejících s plněním dle této smlouvy a ani na náhradu škody.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Pokud jedna ze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tran odstoupí od smlouvy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 důvodů na své straně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zavazuje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odstupující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strana uhradit náklady 20.000 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 jako náhradu za zrušení Akce.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Náklady dle odst. 2 budou uhrazeny na základě faktur vystavených poškozenou smluvní stranou.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226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-226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-226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-226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226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-226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VII.</w:t>
      </w:r>
    </w:p>
    <w:p w:rsidR="00000000" w:rsidDel="00000000" w:rsidP="00000000" w:rsidRDefault="00000000" w:rsidRPr="00000000" w14:paraId="0000004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4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502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Strany berou na vědomí a výslovně souhlasí s uveřejněním smlouvy v registru smluv v souladu se zákonem č. 340/2015 Sb. (zákon o registru smluv), ve znění pozdějších předpisů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502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502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502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Tato smlouva je vyhotovena ve dvou stejnopisech, z nichž každá z obou smluvních stran obdrží po jednom.</w:t>
      </w:r>
    </w:p>
    <w:p w:rsidR="00000000" w:rsidDel="00000000" w:rsidP="00000000" w:rsidRDefault="00000000" w:rsidRPr="00000000" w14:paraId="0000004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 11. 12. 2024</w:t>
      </w:r>
    </w:p>
    <w:p w:rsidR="00000000" w:rsidDel="00000000" w:rsidP="00000000" w:rsidRDefault="00000000" w:rsidRPr="00000000" w14:paraId="0000004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 .………                              ………....................................</w:t>
      </w:r>
    </w:p>
    <w:p w:rsidR="00000000" w:rsidDel="00000000" w:rsidP="00000000" w:rsidRDefault="00000000" w:rsidRPr="00000000" w14:paraId="00000054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</w:t>
        <w:tab/>
        <w:tab/>
        <w:t xml:space="preserve">                          </w:t>
        <w:tab/>
        <w:tab/>
        <w:t xml:space="preserve">  Člověk v tísni</w:t>
      </w:r>
    </w:p>
    <w:p w:rsidR="00000000" w:rsidDel="00000000" w:rsidP="00000000" w:rsidRDefault="00000000" w:rsidRPr="00000000" w14:paraId="0000005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226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226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226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RomanE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939" w:hanging="360"/>
      </w:pPr>
      <w:rPr/>
    </w:lvl>
    <w:lvl w:ilvl="2">
      <w:start w:val="1"/>
      <w:numFmt w:val="lowerRoman"/>
      <w:lvlText w:val="%3."/>
      <w:lvlJc w:val="right"/>
      <w:pPr>
        <w:ind w:left="1659" w:hanging="180"/>
      </w:pPr>
      <w:rPr/>
    </w:lvl>
    <w:lvl w:ilvl="3">
      <w:start w:val="1"/>
      <w:numFmt w:val="decimal"/>
      <w:lvlText w:val="%4."/>
      <w:lvlJc w:val="left"/>
      <w:pPr>
        <w:ind w:left="2379" w:hanging="360"/>
      </w:pPr>
      <w:rPr/>
    </w:lvl>
    <w:lvl w:ilvl="4">
      <w:start w:val="1"/>
      <w:numFmt w:val="lowerLetter"/>
      <w:lvlText w:val="%5."/>
      <w:lvlJc w:val="left"/>
      <w:pPr>
        <w:ind w:left="3099" w:hanging="360"/>
      </w:pPr>
      <w:rPr/>
    </w:lvl>
    <w:lvl w:ilvl="5">
      <w:start w:val="1"/>
      <w:numFmt w:val="lowerRoman"/>
      <w:lvlText w:val="%6."/>
      <w:lvlJc w:val="right"/>
      <w:pPr>
        <w:ind w:left="3819" w:hanging="180"/>
      </w:pPr>
      <w:rPr/>
    </w:lvl>
    <w:lvl w:ilvl="6">
      <w:start w:val="1"/>
      <w:numFmt w:val="decimal"/>
      <w:lvlText w:val="%7."/>
      <w:lvlJc w:val="left"/>
      <w:pPr>
        <w:ind w:left="4539" w:hanging="360"/>
      </w:pPr>
      <w:rPr/>
    </w:lvl>
    <w:lvl w:ilvl="7">
      <w:start w:val="1"/>
      <w:numFmt w:val="lowerLetter"/>
      <w:lvlText w:val="%8."/>
      <w:lvlJc w:val="left"/>
      <w:pPr>
        <w:ind w:left="5259" w:hanging="360"/>
      </w:pPr>
      <w:rPr/>
    </w:lvl>
    <w:lvl w:ilvl="8">
      <w:start w:val="1"/>
      <w:numFmt w:val="lowerRoman"/>
      <w:lvlText w:val="%9."/>
      <w:lvlJc w:val="right"/>
      <w:pPr>
        <w:ind w:left="597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  <w:rsid w:val="00CC19FB"/>
    <w:rPr>
      <w:rFonts w:cs="Times New Roman" w:eastAsia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CC19F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CC19F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CC19F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qFormat w:val="1"/>
    <w:rsid w:val="00CC19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qFormat w:val="1"/>
    <w:rsid w:val="00CC19F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qFormat w:val="1"/>
    <w:rsid w:val="00CC19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qFormat w:val="1"/>
    <w:rsid w:val="00CC19F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qFormat w:val="1"/>
    <w:rsid w:val="00CC19FB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qFormat w:val="1"/>
    <w:rsid w:val="00CC19F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qFormat w:val="1"/>
    <w:rsid w:val="00CC19FB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qFormat w:val="1"/>
    <w:rsid w:val="00CC19F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qFormat w:val="1"/>
    <w:rsid w:val="00CC19FB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qFormat w:val="1"/>
    <w:rsid w:val="00CC19FB"/>
    <w:rPr>
      <w:rFonts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qFormat w:val="1"/>
    <w:rsid w:val="00CC19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CittChar" w:customStyle="1">
    <w:name w:val="Citát Char"/>
    <w:basedOn w:val="Standardnpsmoodstavce"/>
    <w:link w:val="Citt"/>
    <w:uiPriority w:val="29"/>
    <w:qFormat w:val="1"/>
    <w:rsid w:val="00CC19FB"/>
    <w:rPr>
      <w:i w:val="1"/>
      <w:iCs w:val="1"/>
      <w:color w:val="404040" w:themeColor="text1" w:themeTint="0000BF"/>
    </w:rPr>
  </w:style>
  <w:style w:type="character" w:styleId="Zdraznnintenzivn">
    <w:name w:val="Intense Emphasis"/>
    <w:basedOn w:val="Standardnpsmoodstavce"/>
    <w:uiPriority w:val="21"/>
    <w:qFormat w:val="1"/>
    <w:rsid w:val="00CC19FB"/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qFormat w:val="1"/>
    <w:rsid w:val="00CC19FB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CC19FB"/>
    <w:rPr>
      <w:b w:val="1"/>
      <w:bCs w:val="1"/>
      <w:smallCaps w:val="1"/>
      <w:color w:val="0f4761" w:themeColor="accent1" w:themeShade="0000BF"/>
      <w:spacing w:val="5"/>
    </w:rPr>
  </w:style>
  <w:style w:type="character" w:styleId="ZkladntextChar" w:customStyle="1">
    <w:name w:val="Základní text Char"/>
    <w:basedOn w:val="Standardnpsmoodstavce"/>
    <w:link w:val="Zkladntext"/>
    <w:semiHidden w:val="1"/>
    <w:qFormat w:val="1"/>
    <w:rsid w:val="00CC19FB"/>
    <w:rPr>
      <w:rFonts w:ascii="Times New Roman" w:cs="Times New Roman" w:eastAsia="Times New Roman" w:hAnsi="Times New Roman"/>
      <w:kern w:val="0"/>
      <w:sz w:val="24"/>
      <w:szCs w:val="20"/>
      <w:lang w:eastAsia="cs-CZ"/>
    </w:rPr>
  </w:style>
  <w:style w:type="character" w:styleId="preformatted" w:customStyle="1">
    <w:name w:val="preformatted"/>
    <w:basedOn w:val="Standardnpsmoodstavce"/>
    <w:qFormat w:val="1"/>
    <w:rsid w:val="00CC19FB"/>
  </w:style>
  <w:style w:type="character" w:styleId="Siln">
    <w:name w:val="Strong"/>
    <w:basedOn w:val="Standardnpsmoodstavce"/>
    <w:uiPriority w:val="22"/>
    <w:qFormat w:val="1"/>
    <w:rsid w:val="00E177D5"/>
    <w:rPr>
      <w:b w:val="1"/>
      <w:bCs w:val="1"/>
    </w:rPr>
  </w:style>
  <w:style w:type="character" w:styleId="Hypertextovodkaz">
    <w:name w:val="Hyperlink"/>
    <w:basedOn w:val="Standardnpsmoodstavce"/>
    <w:uiPriority w:val="99"/>
    <w:unhideWhenUsed w:val="1"/>
    <w:rsid w:val="00E177D5"/>
    <w:rPr>
      <w:color w:val="0000ff"/>
      <w:u w:val="single"/>
    </w:rPr>
  </w:style>
  <w:style w:type="character" w:styleId="il" w:customStyle="1">
    <w:name w:val="il"/>
    <w:basedOn w:val="Standardnpsmoodstavce"/>
    <w:qFormat w:val="1"/>
    <w:rsid w:val="00EA6DFF"/>
  </w:style>
  <w:style w:type="paragraph" w:styleId="Nadpis" w:customStyle="1">
    <w:name w:val="Nadpis"/>
    <w:basedOn w:val="Normln"/>
    <w:next w:val="Zkladn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semiHidden w:val="1"/>
    <w:rsid w:val="00CC19FB"/>
    <w:pPr>
      <w:jc w:val="both"/>
    </w:pPr>
    <w:rPr>
      <w:rFonts w:ascii="Times New Roman" w:hAnsi="Times New Roman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 w:val="1"/>
    <w:pPr>
      <w:suppressLineNumbers w:val="1"/>
      <w:spacing w:after="120" w:before="120"/>
    </w:pPr>
    <w:rPr>
      <w:rFonts w:cs="Lucida Sans"/>
      <w:i w:val="1"/>
      <w:iCs w:val="1"/>
      <w:szCs w:val="24"/>
    </w:rPr>
  </w:style>
  <w:style w:type="paragraph" w:styleId="Rejstk" w:customStyle="1">
    <w:name w:val="Rejstřík"/>
    <w:basedOn w:val="Normln"/>
    <w:qFormat w:val="1"/>
    <w:pPr>
      <w:suppressLineNumbers w:val="1"/>
    </w:pPr>
    <w:rPr>
      <w:rFonts w:cs="Lucida Sans"/>
    </w:rPr>
  </w:style>
  <w:style w:type="paragraph" w:styleId="normal1" w:customStyle="1">
    <w:name w:val="normal1"/>
    <w:qFormat w:val="1"/>
  </w:style>
  <w:style w:type="paragraph" w:styleId="Nzev">
    <w:name w:val="Title"/>
    <w:basedOn w:val="Normln"/>
    <w:next w:val="Normln"/>
    <w:link w:val="NzevChar"/>
    <w:uiPriority w:val="10"/>
    <w:qFormat w:val="1"/>
    <w:rsid w:val="00CC19FB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dpis">
    <w:name w:val="Subtitle"/>
    <w:basedOn w:val="normal1"/>
    <w:next w:val="normal1"/>
    <w:link w:val="PodnadpisChar"/>
    <w:uiPriority w:val="11"/>
    <w:qFormat w:val="1"/>
    <w:rsid w:val="00CC19FB"/>
    <w:rPr>
      <w:color w:val="595959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CC19FB"/>
    <w:pPr>
      <w:spacing w:before="160"/>
      <w:jc w:val="center"/>
    </w:pPr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CC19FB"/>
    <w:pPr>
      <w:ind w:left="720"/>
      <w:contextualSpacing w:val="1"/>
    </w:p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CC19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paragraph" w:styleId="Normlnweb">
    <w:name w:val="Normal (Web)"/>
    <w:basedOn w:val="Normln"/>
    <w:uiPriority w:val="99"/>
    <w:unhideWhenUsed w:val="1"/>
    <w:qFormat w:val="1"/>
    <w:rsid w:val="00CC19FB"/>
    <w:pPr>
      <w:spacing w:afterAutospacing="1" w:beforeAutospacing="1"/>
    </w:pPr>
    <w:rPr>
      <w:rFonts w:ascii="Times New Roman" w:hAnsi="Times New Roman"/>
      <w:szCs w:val="24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A41B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A41B15"/>
    <w:rPr>
      <w:rFonts w:cs="Mangal"/>
      <w:sz w:val="20"/>
      <w:szCs w:val="18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A41B15"/>
    <w:rPr>
      <w:rFonts w:cs="Mangal" w:eastAsia="Times New Roman"/>
      <w:sz w:val="20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A41B15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A41B15"/>
    <w:rPr>
      <w:rFonts w:cs="Mangal" w:eastAsia="Times New Roman"/>
      <w:b w:val="1"/>
      <w:bCs w:val="1"/>
      <w:sz w:val="20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A41B15"/>
    <w:rPr>
      <w:rFonts w:ascii="Segoe UI" w:cs="Mangal" w:hAnsi="Segoe UI"/>
      <w:sz w:val="18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A41B15"/>
    <w:rPr>
      <w:rFonts w:ascii="Segoe UI" w:cs="Mangal" w:eastAsia="Times New Roman" w:hAnsi="Segoe UI"/>
      <w:sz w:val="18"/>
      <w:szCs w:val="16"/>
      <w:lang w:eastAsia="cs-CZ"/>
    </w:rPr>
  </w:style>
  <w:style w:type="paragraph" w:styleId="ListNumber-ContractCzechRadio" w:customStyle="1">
    <w:name w:val="List Number - Contract (Czech Radio)"/>
    <w:basedOn w:val="Normln"/>
    <w:uiPriority w:val="13"/>
    <w:qFormat w:val="1"/>
    <w:rsid w:val="000403F3"/>
    <w:pPr>
      <w:numPr>
        <w:ilvl w:val="1"/>
        <w:numId w:val="8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uppressAutoHyphens w:val="0"/>
      <w:spacing w:after="250" w:line="250" w:lineRule="exact"/>
    </w:pPr>
    <w:rPr>
      <w:rFonts w:ascii="Arial" w:hAnsi="Arial" w:cstheme="minorBidi" w:eastAsiaTheme="minorHAnsi"/>
      <w:sz w:val="20"/>
      <w:szCs w:val="22"/>
      <w:lang w:bidi="ar-SA" w:eastAsia="en-US"/>
    </w:rPr>
  </w:style>
  <w:style w:type="paragraph" w:styleId="ListLetter-ContractCzechRadio" w:customStyle="1">
    <w:name w:val="List Letter - Contract (Czech Radio)"/>
    <w:basedOn w:val="Normln"/>
    <w:uiPriority w:val="15"/>
    <w:qFormat w:val="1"/>
    <w:rsid w:val="000403F3"/>
    <w:pPr>
      <w:numPr>
        <w:ilvl w:val="2"/>
        <w:numId w:val="8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uppressAutoHyphens w:val="0"/>
      <w:spacing w:after="250" w:line="250" w:lineRule="exact"/>
    </w:pPr>
    <w:rPr>
      <w:rFonts w:ascii="Arial" w:hAnsi="Arial" w:cstheme="minorBidi" w:eastAsiaTheme="minorHAnsi"/>
      <w:sz w:val="20"/>
      <w:szCs w:val="22"/>
      <w:lang w:bidi="ar-SA" w:eastAsia="en-US"/>
    </w:rPr>
  </w:style>
  <w:style w:type="paragraph" w:styleId="Heading-Number-ContractCzechRadio" w:customStyle="1">
    <w:name w:val="Heading-Number - Contract (Czech Radio)"/>
    <w:basedOn w:val="Normln"/>
    <w:next w:val="ListNumber-ContractCzechRadio"/>
    <w:uiPriority w:val="11"/>
    <w:qFormat w:val="1"/>
    <w:rsid w:val="000403F3"/>
    <w:pPr>
      <w:keepNext w:val="1"/>
      <w:keepLines w:val="1"/>
      <w:numPr>
        <w:numId w:val="8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uppressAutoHyphens w:val="0"/>
      <w:spacing w:after="250" w:before="250" w:line="250" w:lineRule="exact"/>
      <w:jc w:val="center"/>
      <w:outlineLvl w:val="0"/>
    </w:pPr>
    <w:rPr>
      <w:rFonts w:ascii="Arial" w:hAnsi="Arial" w:cstheme="majorBidi" w:eastAsiaTheme="majorEastAsia"/>
      <w:b w:val="1"/>
      <w:color w:val="000f37"/>
      <w:sz w:val="20"/>
      <w:szCs w:val="26"/>
      <w:lang w:bidi="ar-SA" w:eastAsia="en-US"/>
    </w:rPr>
  </w:style>
  <w:style w:type="numbering" w:styleId="List-Contract" w:customStyle="1">
    <w:name w:val="List - Contract"/>
    <w:uiPriority w:val="99"/>
    <w:rsid w:val="000403F3"/>
    <w:pPr>
      <w:numPr>
        <w:numId w:val="8"/>
      </w:numPr>
    </w:pPr>
  </w:style>
  <w:style w:type="paragraph" w:styleId="Revize">
    <w:name w:val="Revision"/>
    <w:hidden w:val="1"/>
    <w:uiPriority w:val="99"/>
    <w:semiHidden w:val="1"/>
    <w:rsid w:val="006007B2"/>
    <w:pPr>
      <w:suppressAutoHyphens w:val="0"/>
    </w:pPr>
    <w:rPr>
      <w:rFonts w:cs="Mangal" w:eastAsia="Times New Roman"/>
      <w:szCs w:val="20"/>
      <w:lang w:eastAsia="cs-CZ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kub.hykes@archa-plus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cjjzc1GqWHxh1dfmeAXV4xnYow==">CgMxLjAyCGguZ2pkZ3hzOAByITFHb056V3F3Q2tyWVVlT2RDbUtfVENabXhaNHJBZkRCNg==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2024-08-23T10:28:00Z</dcterms:created>
  <dc:creator>Radka Kareisová</dc:creator>
</cp:coreProperties>
</file>