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E672C" w14:textId="77777777" w:rsidR="00333042" w:rsidRPr="008E237D" w:rsidRDefault="00333042" w:rsidP="000F2A45">
      <w:pPr>
        <w:pStyle w:val="RLNzevsmlouvy"/>
        <w:spacing w:after="0"/>
        <w:rPr>
          <w:sz w:val="20"/>
          <w:szCs w:val="20"/>
        </w:rPr>
      </w:pPr>
      <w:bookmarkStart w:id="0" w:name="OLE_LINK1"/>
      <w:bookmarkStart w:id="1" w:name="OLE_LINK2"/>
    </w:p>
    <w:p w14:paraId="69C22DC0" w14:textId="77777777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1 </w:t>
      </w:r>
    </w:p>
    <w:p w14:paraId="2E2E395D" w14:textId="64C84ACF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5B178A">
        <w:rPr>
          <w:spacing w:val="0"/>
          <w:kern w:val="0"/>
          <w:sz w:val="24"/>
          <w:szCs w:val="24"/>
        </w:rPr>
        <w:t>4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poradenských</w:t>
      </w:r>
      <w:r w:rsidR="00040C60" w:rsidRPr="00040C60">
        <w:rPr>
          <w:spacing w:val="0"/>
          <w:kern w:val="0"/>
          <w:sz w:val="24"/>
          <w:szCs w:val="24"/>
        </w:rPr>
        <w:t xml:space="preserve"> 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5B87525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5B178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C804B6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013418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Ing. Karlem Trpkošem, vrchním ředitelem sekce informačních technologií</w:t>
      </w:r>
    </w:p>
    <w:p w14:paraId="3FB73705" w14:textId="1CE4EE9C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  <w:r w:rsidR="00C804B6">
        <w:rPr>
          <w:sz w:val="20"/>
          <w:szCs w:val="20"/>
        </w:rPr>
        <w:t>, a.s.</w:t>
      </w:r>
    </w:p>
    <w:p w14:paraId="72C699F9" w14:textId="3507AD6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36C155AA" w14:textId="77777777" w:rsidR="005B178A" w:rsidRPr="004D66EA" w:rsidRDefault="005B178A" w:rsidP="005B178A">
      <w:pPr>
        <w:spacing w:after="0" w:line="280" w:lineRule="atLeast"/>
        <w:rPr>
          <w:rFonts w:cs="Arial"/>
          <w:b/>
          <w:bCs/>
          <w:szCs w:val="20"/>
        </w:rPr>
      </w:pPr>
      <w:r w:rsidRPr="004D66EA">
        <w:rPr>
          <w:rFonts w:cs="Arial"/>
          <w:b/>
          <w:bCs/>
          <w:szCs w:val="20"/>
        </w:rPr>
        <w:t xml:space="preserve">Poskytovatel: </w:t>
      </w:r>
      <w:r w:rsidRPr="004D66EA">
        <w:rPr>
          <w:rFonts w:cs="Arial"/>
          <w:b/>
          <w:bCs/>
          <w:szCs w:val="20"/>
        </w:rPr>
        <w:tab/>
        <w:t>Konsorcium KPMG a Tekies</w:t>
      </w:r>
    </w:p>
    <w:p w14:paraId="320035CC" w14:textId="77777777" w:rsidR="005B178A" w:rsidRPr="004D66EA" w:rsidRDefault="005B178A" w:rsidP="005B178A">
      <w:pPr>
        <w:spacing w:after="0" w:line="280" w:lineRule="atLeast"/>
        <w:rPr>
          <w:rFonts w:cs="Arial"/>
          <w:bCs/>
          <w:szCs w:val="20"/>
        </w:rPr>
      </w:pPr>
    </w:p>
    <w:p w14:paraId="4D1CA12F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/>
          <w:bCs/>
          <w:szCs w:val="20"/>
        </w:rPr>
        <w:t xml:space="preserve">Poskytovatel: </w:t>
      </w:r>
      <w:r w:rsidRPr="004D66EA">
        <w:rPr>
          <w:rFonts w:cs="Arial"/>
          <w:b/>
          <w:bCs/>
          <w:szCs w:val="20"/>
        </w:rPr>
        <w:tab/>
      </w:r>
      <w:r w:rsidRPr="004D66EA">
        <w:rPr>
          <w:rFonts w:cs="Arial"/>
          <w:b/>
          <w:color w:val="000000"/>
          <w:szCs w:val="20"/>
        </w:rPr>
        <w:t>KPMG Česká republika, s.r.o.</w:t>
      </w:r>
    </w:p>
    <w:p w14:paraId="5E606C40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se sídlem:</w:t>
      </w:r>
      <w:r w:rsidRPr="004D66EA">
        <w:rPr>
          <w:rFonts w:cs="Arial"/>
          <w:bCs/>
          <w:color w:val="000000"/>
          <w:szCs w:val="20"/>
        </w:rPr>
        <w:tab/>
        <w:t>Pobřežní 648/1a, 186 00 Praha 8</w:t>
      </w:r>
    </w:p>
    <w:p w14:paraId="3425CDD5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IČO:</w:t>
      </w:r>
      <w:r w:rsidRPr="004D66EA">
        <w:rPr>
          <w:rFonts w:cs="Arial"/>
          <w:bCs/>
          <w:color w:val="000000"/>
          <w:szCs w:val="20"/>
        </w:rPr>
        <w:tab/>
        <w:t>00553115</w:t>
      </w:r>
    </w:p>
    <w:p w14:paraId="29564483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DIČ:</w:t>
      </w:r>
      <w:r w:rsidRPr="004D66EA">
        <w:rPr>
          <w:rFonts w:cs="Arial"/>
          <w:bCs/>
          <w:color w:val="000000"/>
          <w:szCs w:val="20"/>
        </w:rPr>
        <w:tab/>
        <w:t>CZ00553115</w:t>
      </w:r>
    </w:p>
    <w:p w14:paraId="1ADF8139" w14:textId="1F5F6CFF" w:rsidR="00C804B6" w:rsidRDefault="005B178A" w:rsidP="005B178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szCs w:val="20"/>
        </w:rPr>
      </w:pPr>
      <w:r w:rsidRPr="004D66EA">
        <w:rPr>
          <w:rFonts w:cs="Arial"/>
          <w:szCs w:val="20"/>
        </w:rPr>
        <w:t xml:space="preserve">bankovní spojení: </w:t>
      </w:r>
      <w:r w:rsidRPr="004D66EA">
        <w:rPr>
          <w:rFonts w:cs="Arial"/>
          <w:szCs w:val="20"/>
        </w:rPr>
        <w:tab/>
      </w:r>
      <w:r w:rsidR="00B239DB" w:rsidRPr="00B239DB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6D8F3126" w14:textId="54855CD1" w:rsidR="005B178A" w:rsidRDefault="00E7013A" w:rsidP="005B178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sz w:val="18"/>
          <w:szCs w:val="18"/>
        </w:rPr>
      </w:pPr>
      <w:r>
        <w:rPr>
          <w:rFonts w:cs="Arial"/>
          <w:szCs w:val="20"/>
        </w:rPr>
        <w:t>č.</w:t>
      </w:r>
      <w:r w:rsidR="00C804B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</w:t>
      </w:r>
      <w:r w:rsidR="00C804B6">
        <w:rPr>
          <w:rFonts w:cs="Arial"/>
          <w:szCs w:val="20"/>
        </w:rPr>
        <w:t>čtu</w:t>
      </w:r>
      <w:r>
        <w:rPr>
          <w:rFonts w:cs="Arial"/>
          <w:szCs w:val="20"/>
        </w:rPr>
        <w:t xml:space="preserve">: </w:t>
      </w:r>
      <w:bookmarkStart w:id="2" w:name="_Hlk77067232"/>
      <w:r w:rsidR="00C804B6">
        <w:rPr>
          <w:rFonts w:cs="Arial"/>
          <w:szCs w:val="20"/>
        </w:rPr>
        <w:tab/>
      </w:r>
      <w:bookmarkEnd w:id="2"/>
      <w:r w:rsidR="00B239DB" w:rsidRPr="00B239DB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295D7DA9" w14:textId="77777777" w:rsidR="005B178A" w:rsidRPr="004D66EA" w:rsidRDefault="005B178A" w:rsidP="005B178A">
      <w:pPr>
        <w:pStyle w:val="Default"/>
        <w:jc w:val="both"/>
        <w:rPr>
          <w:sz w:val="20"/>
          <w:szCs w:val="20"/>
        </w:rPr>
      </w:pPr>
      <w:r w:rsidRPr="004D66EA">
        <w:rPr>
          <w:bCs/>
          <w:sz w:val="20"/>
          <w:szCs w:val="20"/>
        </w:rPr>
        <w:t>zastoupen:</w:t>
      </w:r>
      <w:r w:rsidRPr="004D66EA">
        <w:rPr>
          <w:bCs/>
          <w:sz w:val="20"/>
          <w:szCs w:val="20"/>
        </w:rPr>
        <w:tab/>
      </w:r>
      <w:r w:rsidRPr="004D66EA">
        <w:rPr>
          <w:bCs/>
          <w:sz w:val="20"/>
          <w:szCs w:val="20"/>
        </w:rPr>
        <w:tab/>
      </w:r>
      <w:r w:rsidRPr="004D66EA">
        <w:rPr>
          <w:sz w:val="20"/>
          <w:szCs w:val="20"/>
        </w:rPr>
        <w:t>Martin</w:t>
      </w:r>
      <w:r>
        <w:rPr>
          <w:sz w:val="20"/>
          <w:szCs w:val="20"/>
        </w:rPr>
        <w:t>em</w:t>
      </w:r>
      <w:r w:rsidRPr="004D66EA">
        <w:rPr>
          <w:sz w:val="20"/>
          <w:szCs w:val="20"/>
        </w:rPr>
        <w:t xml:space="preserve"> Hladík</w:t>
      </w:r>
      <w:r>
        <w:rPr>
          <w:sz w:val="20"/>
          <w:szCs w:val="20"/>
        </w:rPr>
        <w:t>em</w:t>
      </w:r>
      <w:r w:rsidRPr="004D66EA">
        <w:rPr>
          <w:sz w:val="20"/>
          <w:szCs w:val="20"/>
        </w:rPr>
        <w:t>, prokurist</w:t>
      </w:r>
      <w:r>
        <w:rPr>
          <w:sz w:val="20"/>
          <w:szCs w:val="20"/>
        </w:rPr>
        <w:t>ou</w:t>
      </w:r>
    </w:p>
    <w:p w14:paraId="02AA83CE" w14:textId="77777777" w:rsidR="005B178A" w:rsidRPr="004D66EA" w:rsidRDefault="005B178A" w:rsidP="005B178A">
      <w:pPr>
        <w:spacing w:after="0" w:line="280" w:lineRule="atLeast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 xml:space="preserve">zapsaný v obchodním rejstříku vedeném Městským soudem v </w:t>
      </w:r>
      <w:r w:rsidRPr="004D66EA">
        <w:rPr>
          <w:rFonts w:cs="Arial"/>
          <w:szCs w:val="20"/>
        </w:rPr>
        <w:t>Praze</w:t>
      </w:r>
      <w:r w:rsidRPr="004D66EA">
        <w:rPr>
          <w:rFonts w:cs="Arial"/>
          <w:bCs/>
          <w:color w:val="000000"/>
          <w:szCs w:val="20"/>
        </w:rPr>
        <w:t xml:space="preserve">, oddíl </w:t>
      </w:r>
      <w:r w:rsidRPr="004D66EA">
        <w:rPr>
          <w:rFonts w:cs="Arial"/>
          <w:szCs w:val="20"/>
        </w:rPr>
        <w:t>C, vložka</w:t>
      </w:r>
      <w:r w:rsidRPr="004D66EA">
        <w:rPr>
          <w:rFonts w:cs="Arial"/>
          <w:bCs/>
          <w:color w:val="000000"/>
          <w:szCs w:val="20"/>
        </w:rPr>
        <w:t xml:space="preserve"> </w:t>
      </w:r>
      <w:r w:rsidRPr="004D66EA">
        <w:rPr>
          <w:rFonts w:cs="Arial"/>
          <w:szCs w:val="20"/>
        </w:rPr>
        <w:t>326</w:t>
      </w:r>
    </w:p>
    <w:p w14:paraId="628F2D48" w14:textId="77777777" w:rsidR="005B178A" w:rsidRPr="004D66EA" w:rsidRDefault="005B178A" w:rsidP="005B178A">
      <w:pPr>
        <w:spacing w:after="0" w:line="280" w:lineRule="atLeast"/>
        <w:rPr>
          <w:rFonts w:cs="Arial"/>
          <w:bCs/>
          <w:szCs w:val="20"/>
        </w:rPr>
      </w:pPr>
      <w:r w:rsidRPr="004D66EA">
        <w:rPr>
          <w:rFonts w:cs="Arial"/>
          <w:bCs/>
          <w:szCs w:val="20"/>
        </w:rPr>
        <w:t>a</w:t>
      </w:r>
    </w:p>
    <w:p w14:paraId="29C90CE2" w14:textId="77777777" w:rsidR="005B178A" w:rsidRPr="004D66EA" w:rsidRDefault="005B178A" w:rsidP="005B178A">
      <w:pPr>
        <w:spacing w:after="0"/>
        <w:rPr>
          <w:rFonts w:cs="Arial"/>
          <w:szCs w:val="20"/>
        </w:rPr>
      </w:pPr>
      <w:r w:rsidRPr="004D66EA">
        <w:rPr>
          <w:rFonts w:cs="Arial"/>
          <w:b/>
          <w:bCs/>
          <w:szCs w:val="20"/>
        </w:rPr>
        <w:t>Poskytovatel:</w:t>
      </w:r>
      <w:r w:rsidRPr="004D66EA">
        <w:rPr>
          <w:rFonts w:cs="Arial"/>
          <w:b/>
          <w:bCs/>
          <w:szCs w:val="20"/>
        </w:rPr>
        <w:tab/>
      </w:r>
      <w:r w:rsidRPr="004D66EA">
        <w:rPr>
          <w:rFonts w:cs="Arial"/>
          <w:b/>
          <w:bCs/>
          <w:szCs w:val="20"/>
        </w:rPr>
        <w:tab/>
      </w:r>
      <w:bookmarkStart w:id="3" w:name="_Hlk138757753"/>
      <w:r w:rsidRPr="004D66EA">
        <w:rPr>
          <w:rFonts w:cs="Arial"/>
          <w:b/>
          <w:bCs/>
          <w:szCs w:val="20"/>
        </w:rPr>
        <w:t>Tekies s.r.o.</w:t>
      </w:r>
      <w:bookmarkEnd w:id="3"/>
    </w:p>
    <w:p w14:paraId="21000FE6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se sídlem:</w:t>
      </w:r>
      <w:r w:rsidRPr="004D66EA">
        <w:rPr>
          <w:rFonts w:cs="Arial"/>
          <w:bCs/>
          <w:color w:val="000000"/>
          <w:szCs w:val="20"/>
        </w:rPr>
        <w:tab/>
        <w:t>U Nikolajky 1097/3, 150 00 Praha 5 – Smíchov,</w:t>
      </w:r>
    </w:p>
    <w:p w14:paraId="1A6E9D35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IČO:</w:t>
      </w:r>
      <w:r w:rsidRPr="004D66EA">
        <w:rPr>
          <w:rFonts w:cs="Arial"/>
          <w:bCs/>
          <w:color w:val="000000"/>
          <w:szCs w:val="20"/>
        </w:rPr>
        <w:tab/>
        <w:t>07241127</w:t>
      </w:r>
      <w:r w:rsidRPr="004D66EA">
        <w:rPr>
          <w:rFonts w:cs="Arial"/>
          <w:bCs/>
          <w:color w:val="000000"/>
          <w:szCs w:val="20"/>
        </w:rPr>
        <w:tab/>
      </w:r>
    </w:p>
    <w:p w14:paraId="2091CC01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DIČ:</w:t>
      </w:r>
      <w:r w:rsidRPr="004D66EA">
        <w:rPr>
          <w:rFonts w:cs="Arial"/>
          <w:bCs/>
          <w:color w:val="000000"/>
          <w:szCs w:val="20"/>
        </w:rPr>
        <w:tab/>
        <w:t>CZ07241127</w:t>
      </w:r>
    </w:p>
    <w:p w14:paraId="144BFC5C" w14:textId="6A4232E2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szCs w:val="20"/>
        </w:rPr>
      </w:pPr>
      <w:r w:rsidRPr="004D66EA">
        <w:rPr>
          <w:rFonts w:cs="Arial"/>
          <w:szCs w:val="20"/>
        </w:rPr>
        <w:t xml:space="preserve">bankovní spojení: </w:t>
      </w:r>
      <w:r w:rsidRPr="004D66EA">
        <w:rPr>
          <w:rFonts w:cs="Arial"/>
          <w:szCs w:val="20"/>
        </w:rPr>
        <w:tab/>
      </w:r>
      <w:r w:rsidR="00B239DB" w:rsidRPr="00B239DB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421D1F87" w14:textId="77777777" w:rsidR="005B178A" w:rsidRPr="004D66EA" w:rsidRDefault="005B178A" w:rsidP="005B178A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zastoupen:</w:t>
      </w:r>
      <w:r w:rsidRPr="004D66EA">
        <w:rPr>
          <w:rFonts w:cs="Arial"/>
          <w:bCs/>
          <w:color w:val="000000"/>
          <w:szCs w:val="20"/>
        </w:rPr>
        <w:tab/>
      </w:r>
      <w:r w:rsidRPr="004D66EA">
        <w:rPr>
          <w:rFonts w:cs="Arial"/>
          <w:szCs w:val="20"/>
        </w:rPr>
        <w:t>Pavl</w:t>
      </w:r>
      <w:r>
        <w:rPr>
          <w:rFonts w:cs="Arial"/>
          <w:szCs w:val="20"/>
        </w:rPr>
        <w:t>em</w:t>
      </w:r>
      <w:r w:rsidRPr="004D66EA">
        <w:rPr>
          <w:rFonts w:cs="Arial"/>
          <w:szCs w:val="20"/>
        </w:rPr>
        <w:t xml:space="preserve"> Wimmer</w:t>
      </w:r>
      <w:r>
        <w:rPr>
          <w:rFonts w:cs="Arial"/>
          <w:szCs w:val="20"/>
        </w:rPr>
        <w:t>em</w:t>
      </w:r>
      <w:r w:rsidRPr="004D66EA">
        <w:rPr>
          <w:rFonts w:cs="Arial"/>
          <w:szCs w:val="20"/>
        </w:rPr>
        <w:t>, jednatel</w:t>
      </w:r>
      <w:r>
        <w:rPr>
          <w:rFonts w:cs="Arial"/>
          <w:szCs w:val="20"/>
        </w:rPr>
        <w:t>em</w:t>
      </w:r>
    </w:p>
    <w:p w14:paraId="724F4A2B" w14:textId="77777777" w:rsidR="005B178A" w:rsidRPr="004D66EA" w:rsidRDefault="005B178A" w:rsidP="005B178A">
      <w:pPr>
        <w:spacing w:after="0"/>
        <w:rPr>
          <w:rFonts w:cs="Arial"/>
          <w:bCs/>
          <w:szCs w:val="20"/>
        </w:rPr>
      </w:pPr>
      <w:r w:rsidRPr="004D66EA">
        <w:rPr>
          <w:rFonts w:cs="Arial"/>
          <w:bCs/>
          <w:color w:val="000000"/>
          <w:szCs w:val="20"/>
        </w:rPr>
        <w:t xml:space="preserve">zapsaný v obchodním rejstříku vedeném </w:t>
      </w:r>
      <w:r w:rsidRPr="004D66EA">
        <w:rPr>
          <w:rFonts w:cs="Arial"/>
          <w:szCs w:val="20"/>
        </w:rPr>
        <w:t xml:space="preserve">Městským </w:t>
      </w:r>
      <w:r w:rsidRPr="004D66EA">
        <w:rPr>
          <w:rFonts w:cs="Arial"/>
          <w:bCs/>
          <w:color w:val="000000"/>
          <w:szCs w:val="20"/>
        </w:rPr>
        <w:t xml:space="preserve">soudem v </w:t>
      </w:r>
      <w:r w:rsidRPr="004D66EA">
        <w:rPr>
          <w:rFonts w:cs="Arial"/>
          <w:szCs w:val="20"/>
        </w:rPr>
        <w:t>Praze</w:t>
      </w:r>
      <w:r w:rsidRPr="004D66EA">
        <w:rPr>
          <w:rFonts w:cs="Arial"/>
          <w:bCs/>
          <w:color w:val="000000"/>
          <w:szCs w:val="20"/>
        </w:rPr>
        <w:t xml:space="preserve">, oddíl </w:t>
      </w:r>
      <w:r w:rsidRPr="004D66EA">
        <w:rPr>
          <w:rFonts w:cs="Arial"/>
          <w:szCs w:val="20"/>
        </w:rPr>
        <w:t>C, vložka</w:t>
      </w:r>
      <w:r w:rsidRPr="004D66EA">
        <w:rPr>
          <w:rFonts w:cs="Arial"/>
          <w:bCs/>
          <w:color w:val="000000"/>
          <w:szCs w:val="20"/>
        </w:rPr>
        <w:t xml:space="preserve"> </w:t>
      </w:r>
      <w:r w:rsidRPr="004D66EA">
        <w:rPr>
          <w:rFonts w:cs="Arial"/>
          <w:szCs w:val="20"/>
        </w:rPr>
        <w:t>297415</w:t>
      </w:r>
    </w:p>
    <w:p w14:paraId="1D9853B6" w14:textId="1668121A" w:rsidR="00607561" w:rsidRPr="00040C60" w:rsidRDefault="00607561" w:rsidP="008E237D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="00902894"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318B2698" w14:textId="77777777" w:rsidR="00333042" w:rsidRPr="00040C60" w:rsidRDefault="00333042" w:rsidP="00040C60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0FCC23AF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>odatek č. 1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5B178A">
        <w:rPr>
          <w:rFonts w:cs="Arial"/>
          <w:szCs w:val="22"/>
          <w:lang w:eastAsia="en-US"/>
        </w:rPr>
        <w:t>4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poradenských</w:t>
      </w:r>
      <w:r w:rsidR="00040C60">
        <w:rPr>
          <w:rFonts w:cs="Arial"/>
          <w:szCs w:val="22"/>
          <w:lang w:eastAsia="en-US"/>
        </w:rPr>
        <w:t xml:space="preserve"> služeb</w:t>
      </w:r>
      <w:r w:rsidR="00C804B6">
        <w:rPr>
          <w:rFonts w:cs="Arial"/>
          <w:szCs w:val="22"/>
          <w:lang w:eastAsia="en-US"/>
        </w:rPr>
        <w:t>,</w:t>
      </w:r>
      <w:r w:rsidR="00040C60">
        <w:rPr>
          <w:rFonts w:cs="Arial"/>
          <w:szCs w:val="22"/>
          <w:lang w:eastAsia="en-US"/>
        </w:rPr>
        <w:t xml:space="preserve">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5B178A">
        <w:rPr>
          <w:rFonts w:cs="Arial"/>
          <w:szCs w:val="22"/>
          <w:lang w:eastAsia="en-US"/>
        </w:rPr>
        <w:t>19</w:t>
      </w:r>
      <w:r w:rsidR="00B90A4C">
        <w:rPr>
          <w:rFonts w:cs="Arial"/>
          <w:szCs w:val="22"/>
          <w:lang w:eastAsia="en-US"/>
        </w:rPr>
        <w:t xml:space="preserve">. </w:t>
      </w:r>
      <w:r w:rsidR="005B178A">
        <w:rPr>
          <w:rFonts w:cs="Arial"/>
          <w:szCs w:val="22"/>
          <w:lang w:eastAsia="en-US"/>
        </w:rPr>
        <w:t>1</w:t>
      </w:r>
      <w:r w:rsidR="00B90A4C">
        <w:rPr>
          <w:rFonts w:cs="Arial"/>
          <w:szCs w:val="22"/>
          <w:lang w:eastAsia="en-US"/>
        </w:rPr>
        <w:t>2. 202</w:t>
      </w:r>
      <w:r w:rsidR="00554A31">
        <w:rPr>
          <w:rFonts w:cs="Arial"/>
          <w:szCs w:val="22"/>
          <w:lang w:eastAsia="en-US"/>
        </w:rPr>
        <w:t>3</w:t>
      </w:r>
      <w:r w:rsidRPr="00333042">
        <w:rPr>
          <w:rFonts w:cs="Arial"/>
          <w:szCs w:val="22"/>
          <w:lang w:eastAsia="en-US"/>
        </w:rPr>
        <w:t xml:space="preserve"> v souladu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5A62D6" w:rsidRPr="00333042">
        <w:rPr>
          <w:rFonts w:cs="Arial"/>
          <w:b/>
          <w:lang w:eastAsia="en-US"/>
        </w:rPr>
        <w:t xml:space="preserve"> č.</w:t>
      </w:r>
      <w:r w:rsidR="008E237D">
        <w:rPr>
          <w:rFonts w:cs="Arial"/>
          <w:b/>
          <w:lang w:eastAsia="en-US"/>
        </w:rPr>
        <w:t xml:space="preserve"> </w:t>
      </w:r>
      <w:r w:rsidR="005A62D6" w:rsidRPr="00333042">
        <w:rPr>
          <w:rFonts w:cs="Arial"/>
          <w:b/>
          <w:lang w:eastAsia="en-US"/>
        </w:rPr>
        <w:t>1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Pr="00333042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4DF9B11E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vázány, dohodly se na následujícím znění Dodatku</w:t>
      </w:r>
      <w:r w:rsidR="00A76B56">
        <w:rPr>
          <w:rFonts w:cs="Arial"/>
          <w:lang w:val="cs-CZ"/>
        </w:rPr>
        <w:t xml:space="preserve"> č. 1</w:t>
      </w:r>
      <w:r w:rsidRPr="00333042">
        <w:rPr>
          <w:rFonts w:cs="Arial"/>
          <w:lang w:val="cs-CZ"/>
        </w:rPr>
        <w:t>:</w:t>
      </w:r>
    </w:p>
    <w:p w14:paraId="3FE4BEC8" w14:textId="0787C9BE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3DF42553" w14:textId="00D639DE" w:rsidR="00F9198F" w:rsidRPr="00F9198F" w:rsidRDefault="005B4150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 w:rsidR="005B178A">
        <w:rPr>
          <w:rFonts w:cs="Arial"/>
          <w:szCs w:val="22"/>
          <w:lang w:val="cs-CZ" w:eastAsia="en-US"/>
        </w:rPr>
        <w:t>19</w:t>
      </w:r>
      <w:r w:rsidR="004B71D4" w:rsidRPr="00333042">
        <w:rPr>
          <w:rFonts w:cs="Arial"/>
          <w:szCs w:val="22"/>
          <w:lang w:eastAsia="en-US"/>
        </w:rPr>
        <w:t xml:space="preserve">. </w:t>
      </w:r>
      <w:r w:rsidR="005B178A">
        <w:rPr>
          <w:rFonts w:cs="Arial"/>
          <w:szCs w:val="22"/>
          <w:lang w:eastAsia="en-US"/>
        </w:rPr>
        <w:t>1</w:t>
      </w:r>
      <w:r w:rsidR="00076F3A">
        <w:rPr>
          <w:rFonts w:cs="Arial"/>
          <w:szCs w:val="22"/>
          <w:lang w:val="cs-CZ" w:eastAsia="en-US"/>
        </w:rPr>
        <w:t>2</w:t>
      </w:r>
      <w:r w:rsidR="004B71D4" w:rsidRPr="00333042">
        <w:rPr>
          <w:rFonts w:cs="Arial"/>
          <w:szCs w:val="22"/>
          <w:lang w:eastAsia="en-US"/>
        </w:rPr>
        <w:t>. 202</w:t>
      </w:r>
      <w:r w:rsidR="0030649E">
        <w:rPr>
          <w:rFonts w:cs="Arial"/>
          <w:szCs w:val="22"/>
          <w:lang w:val="cs-CZ" w:eastAsia="en-US"/>
        </w:rPr>
        <w:t>3</w:t>
      </w:r>
      <w:r w:rsidR="004B71D4" w:rsidRPr="00333042">
        <w:rPr>
          <w:rFonts w:cs="Arial"/>
          <w:szCs w:val="22"/>
          <w:lang w:eastAsia="en-US"/>
        </w:rPr>
        <w:t xml:space="preserve"> </w:t>
      </w:r>
      <w:r w:rsidR="00A76B56">
        <w:rPr>
          <w:rFonts w:cs="Arial"/>
          <w:szCs w:val="22"/>
          <w:lang w:eastAsia="en-US"/>
        </w:rPr>
        <w:t>Dílčí smlouv</w:t>
      </w:r>
      <w:r w:rsidR="00A76B56">
        <w:rPr>
          <w:rFonts w:cs="Arial"/>
          <w:szCs w:val="22"/>
          <w:lang w:val="cs-CZ" w:eastAsia="en-US"/>
        </w:rPr>
        <w:t>u</w:t>
      </w:r>
      <w:r w:rsidR="00A76B56">
        <w:rPr>
          <w:rFonts w:cs="Arial"/>
          <w:szCs w:val="22"/>
          <w:lang w:eastAsia="en-US"/>
        </w:rPr>
        <w:t xml:space="preserve"> č. </w:t>
      </w:r>
      <w:r w:rsidR="005B178A">
        <w:rPr>
          <w:rFonts w:cs="Arial"/>
          <w:szCs w:val="22"/>
          <w:lang w:val="cs-CZ" w:eastAsia="en-US"/>
        </w:rPr>
        <w:t>4</w:t>
      </w:r>
      <w:r w:rsidR="00A76B56">
        <w:rPr>
          <w:rFonts w:cs="Arial"/>
          <w:szCs w:val="22"/>
          <w:lang w:eastAsia="en-US"/>
        </w:rPr>
        <w:t xml:space="preserve"> o poskytování </w:t>
      </w:r>
      <w:r w:rsidR="00076F3A">
        <w:rPr>
          <w:rFonts w:cs="Arial"/>
          <w:szCs w:val="22"/>
          <w:lang w:val="cs-CZ" w:eastAsia="en-US"/>
        </w:rPr>
        <w:t xml:space="preserve">poradenských </w:t>
      </w:r>
      <w:r w:rsidR="00A76B56">
        <w:rPr>
          <w:rFonts w:cs="Arial"/>
          <w:szCs w:val="22"/>
          <w:lang w:eastAsia="en-US"/>
        </w:rPr>
        <w:t>služeb</w:t>
      </w:r>
      <w:r w:rsidR="00A76B56">
        <w:rPr>
          <w:rFonts w:cs="Arial"/>
          <w:szCs w:val="22"/>
          <w:lang w:val="cs-CZ" w:eastAsia="en-US"/>
        </w:rPr>
        <w:t xml:space="preserve"> (dále jen „</w:t>
      </w:r>
      <w:r w:rsidR="00A76B56" w:rsidRPr="00A76B56">
        <w:rPr>
          <w:rFonts w:cs="Arial"/>
          <w:b/>
          <w:bCs/>
          <w:szCs w:val="22"/>
          <w:lang w:val="cs-CZ" w:eastAsia="en-US"/>
        </w:rPr>
        <w:t>Dílčí smlouva</w:t>
      </w:r>
      <w:r w:rsidR="009C032B">
        <w:rPr>
          <w:rFonts w:cs="Arial"/>
          <w:b/>
          <w:bCs/>
          <w:szCs w:val="22"/>
          <w:lang w:val="cs-CZ" w:eastAsia="en-US"/>
        </w:rPr>
        <w:t xml:space="preserve"> č. </w:t>
      </w:r>
      <w:r w:rsidR="005B178A">
        <w:rPr>
          <w:rFonts w:cs="Arial"/>
          <w:b/>
          <w:bCs/>
          <w:szCs w:val="22"/>
          <w:lang w:val="cs-CZ" w:eastAsia="en-US"/>
        </w:rPr>
        <w:t>4</w:t>
      </w:r>
      <w:r w:rsidR="00A76B56">
        <w:rPr>
          <w:rFonts w:cs="Arial"/>
          <w:szCs w:val="22"/>
          <w:lang w:val="cs-CZ" w:eastAsia="en-US"/>
        </w:rPr>
        <w:t>“)</w:t>
      </w:r>
      <w:r w:rsidR="00FF776F">
        <w:rPr>
          <w:rFonts w:cs="Arial"/>
          <w:szCs w:val="22"/>
          <w:lang w:val="cs-CZ" w:eastAsia="en-US"/>
        </w:rPr>
        <w:t xml:space="preserve"> na základě </w:t>
      </w:r>
      <w:r w:rsidR="00C804B6">
        <w:rPr>
          <w:rFonts w:cs="Arial"/>
          <w:szCs w:val="22"/>
          <w:lang w:val="cs-CZ" w:eastAsia="en-US"/>
        </w:rPr>
        <w:t>m</w:t>
      </w:r>
      <w:r w:rsidR="00FF776F">
        <w:rPr>
          <w:rFonts w:cs="Arial"/>
          <w:szCs w:val="22"/>
          <w:lang w:val="cs-CZ" w:eastAsia="en-US"/>
        </w:rPr>
        <w:t xml:space="preserve">initendru </w:t>
      </w:r>
      <w:r w:rsidR="009C032B">
        <w:rPr>
          <w:rFonts w:cs="Arial"/>
          <w:szCs w:val="22"/>
          <w:lang w:val="cs-CZ" w:eastAsia="en-US"/>
        </w:rPr>
        <w:t xml:space="preserve">s názvem </w:t>
      </w:r>
      <w:r w:rsidR="00FF776F">
        <w:rPr>
          <w:rFonts w:cs="Arial"/>
          <w:szCs w:val="22"/>
          <w:lang w:val="cs-CZ" w:eastAsia="en-US"/>
        </w:rPr>
        <w:t>„</w:t>
      </w:r>
      <w:r w:rsidR="005B178A" w:rsidRPr="005B178A">
        <w:rPr>
          <w:rFonts w:cs="Arial"/>
          <w:i/>
          <w:iCs/>
          <w:szCs w:val="22"/>
          <w:lang w:val="cs-CZ" w:eastAsia="en-US"/>
        </w:rPr>
        <w:t>(</w:t>
      </w:r>
      <w:r w:rsidR="005B178A" w:rsidRPr="005B178A">
        <w:rPr>
          <w:rFonts w:cs="Arial"/>
          <w:i/>
          <w:iCs/>
          <w:szCs w:val="20"/>
        </w:rPr>
        <w:t xml:space="preserve">M-03) Strategické poradenství v ICT </w:t>
      </w:r>
      <w:r w:rsidR="005B178A">
        <w:rPr>
          <w:rFonts w:cs="Arial"/>
          <w:i/>
          <w:iCs/>
          <w:szCs w:val="20"/>
        </w:rPr>
        <w:t>– P</w:t>
      </w:r>
      <w:r w:rsidR="005B178A" w:rsidRPr="005B178A">
        <w:rPr>
          <w:rFonts w:cs="Arial"/>
          <w:i/>
          <w:iCs/>
          <w:szCs w:val="20"/>
        </w:rPr>
        <w:t>oskytování poradenských služeb k</w:t>
      </w:r>
      <w:r w:rsidR="005B178A" w:rsidRPr="005B178A">
        <w:rPr>
          <w:rFonts w:cs="Arial"/>
          <w:i/>
          <w:iCs/>
          <w:color w:val="FFFFFF"/>
          <w:sz w:val="32"/>
          <w:szCs w:val="32"/>
        </w:rPr>
        <w:t xml:space="preserve"> </w:t>
      </w:r>
      <w:r w:rsidR="005B178A" w:rsidRPr="005B178A">
        <w:rPr>
          <w:rFonts w:cs="Arial"/>
          <w:i/>
          <w:iCs/>
          <w:szCs w:val="20"/>
        </w:rPr>
        <w:t xml:space="preserve">projektu </w:t>
      </w:r>
      <w:bookmarkStart w:id="4" w:name="_Hlk150344549"/>
      <w:proofErr w:type="spellStart"/>
      <w:r w:rsidR="005B178A" w:rsidRPr="005B178A">
        <w:rPr>
          <w:rFonts w:cs="Arial"/>
          <w:i/>
          <w:iCs/>
          <w:szCs w:val="20"/>
        </w:rPr>
        <w:t>Enterpise</w:t>
      </w:r>
      <w:proofErr w:type="spellEnd"/>
      <w:r w:rsidR="005B178A" w:rsidRPr="005B178A">
        <w:rPr>
          <w:rFonts w:cs="Arial"/>
          <w:i/>
          <w:iCs/>
          <w:szCs w:val="20"/>
        </w:rPr>
        <w:t xml:space="preserve"> Architektura I</w:t>
      </w:r>
      <w:bookmarkEnd w:id="4"/>
      <w:r w:rsidR="00FF776F" w:rsidRPr="00C804B6">
        <w:rPr>
          <w:rFonts w:cs="Arial"/>
          <w:szCs w:val="22"/>
          <w:lang w:eastAsia="en-US"/>
        </w:rPr>
        <w:t>“</w:t>
      </w:r>
      <w:r w:rsidR="00C804B6" w:rsidRPr="00C804B6">
        <w:rPr>
          <w:rFonts w:cs="Arial"/>
          <w:szCs w:val="22"/>
          <w:lang w:eastAsia="en-US"/>
        </w:rPr>
        <w:t xml:space="preserve"> (dále jen “</w:t>
      </w:r>
      <w:r w:rsidR="00C804B6" w:rsidRPr="00C804B6">
        <w:rPr>
          <w:rFonts w:cs="Arial"/>
          <w:b/>
          <w:bCs/>
          <w:i/>
          <w:iCs/>
          <w:szCs w:val="22"/>
          <w:lang w:eastAsia="en-US"/>
        </w:rPr>
        <w:t>Minitendr</w:t>
      </w:r>
      <w:r w:rsidR="00C804B6" w:rsidRPr="00C804B6">
        <w:rPr>
          <w:rFonts w:cs="Arial"/>
          <w:szCs w:val="22"/>
          <w:lang w:eastAsia="en-US"/>
        </w:rPr>
        <w:t>”)</w:t>
      </w:r>
      <w:r w:rsidR="00C804B6">
        <w:rPr>
          <w:rFonts w:cs="Arial"/>
          <w:szCs w:val="22"/>
          <w:lang w:eastAsia="en-US"/>
        </w:rPr>
        <w:t>.</w:t>
      </w:r>
      <w:r w:rsidR="00A76B56" w:rsidRPr="00C804B6">
        <w:rPr>
          <w:rFonts w:cs="Arial"/>
          <w:szCs w:val="22"/>
          <w:lang w:val="cs-CZ" w:eastAsia="en-US"/>
        </w:rPr>
        <w:t xml:space="preserve"> </w:t>
      </w:r>
      <w:r w:rsidR="00A76B56" w:rsidRPr="00C804B6">
        <w:rPr>
          <w:rFonts w:cs="Arial"/>
          <w:szCs w:val="20"/>
        </w:rPr>
        <w:t>Poskytovatel</w:t>
      </w:r>
      <w:r w:rsidR="00A76B56" w:rsidRPr="00407C33">
        <w:rPr>
          <w:rFonts w:cs="Arial"/>
          <w:szCs w:val="20"/>
        </w:rPr>
        <w:t xml:space="preserve"> se Dílčí smlouvou </w:t>
      </w:r>
      <w:r w:rsidR="009C032B">
        <w:rPr>
          <w:rFonts w:cs="Arial"/>
          <w:szCs w:val="20"/>
          <w:lang w:val="cs-CZ"/>
        </w:rPr>
        <w:t xml:space="preserve">č. </w:t>
      </w:r>
      <w:r w:rsidR="005B178A">
        <w:rPr>
          <w:rFonts w:cs="Arial"/>
          <w:szCs w:val="20"/>
          <w:lang w:val="cs-CZ"/>
        </w:rPr>
        <w:t>4</w:t>
      </w:r>
      <w:r w:rsidR="009C032B">
        <w:rPr>
          <w:rFonts w:cs="Arial"/>
          <w:szCs w:val="20"/>
          <w:lang w:val="cs-CZ"/>
        </w:rPr>
        <w:t xml:space="preserve"> </w:t>
      </w:r>
      <w:r w:rsidR="00A76B56" w:rsidRPr="00407C33">
        <w:rPr>
          <w:rFonts w:cs="Arial"/>
          <w:szCs w:val="20"/>
        </w:rPr>
        <w:t>zav</w:t>
      </w:r>
      <w:r w:rsidR="005B178A">
        <w:rPr>
          <w:rFonts w:cs="Arial"/>
          <w:szCs w:val="20"/>
        </w:rPr>
        <w:t>ázal</w:t>
      </w:r>
      <w:r w:rsidR="00A76B56" w:rsidRPr="00407C33">
        <w:rPr>
          <w:rFonts w:cs="Arial"/>
          <w:szCs w:val="20"/>
        </w:rPr>
        <w:t xml:space="preserve"> </w:t>
      </w:r>
      <w:r w:rsidR="00076F3A">
        <w:rPr>
          <w:rFonts w:cs="Arial"/>
          <w:szCs w:val="20"/>
          <w:lang w:val="cs-CZ"/>
        </w:rPr>
        <w:t xml:space="preserve">poskytnout </w:t>
      </w:r>
      <w:r w:rsidR="00076F3A" w:rsidRPr="00407C33">
        <w:rPr>
          <w:rFonts w:cs="Arial"/>
          <w:szCs w:val="20"/>
        </w:rPr>
        <w:t xml:space="preserve">plnění </w:t>
      </w:r>
      <w:r w:rsidR="00076F3A">
        <w:rPr>
          <w:rFonts w:cs="Arial"/>
          <w:szCs w:val="20"/>
        </w:rPr>
        <w:t xml:space="preserve">spočívající v zajištění </w:t>
      </w:r>
      <w:r w:rsidR="00076F3A" w:rsidRPr="00511241">
        <w:rPr>
          <w:rFonts w:cs="Arial"/>
          <w:szCs w:val="20"/>
        </w:rPr>
        <w:t>kapacit IT odborníků</w:t>
      </w:r>
      <w:r w:rsidR="005B178A" w:rsidRPr="005B178A">
        <w:rPr>
          <w:rFonts w:cs="Arial"/>
          <w:szCs w:val="20"/>
        </w:rPr>
        <w:t xml:space="preserve"> </w:t>
      </w:r>
      <w:r w:rsidR="005B178A" w:rsidRPr="00F24A5C">
        <w:rPr>
          <w:rFonts w:cs="Arial"/>
          <w:szCs w:val="20"/>
        </w:rPr>
        <w:t>na</w:t>
      </w:r>
      <w:r w:rsidR="005B178A">
        <w:rPr>
          <w:rFonts w:cs="Arial"/>
          <w:szCs w:val="20"/>
        </w:rPr>
        <w:t> </w:t>
      </w:r>
      <w:r w:rsidR="005B178A" w:rsidRPr="00F24A5C">
        <w:rPr>
          <w:rFonts w:cs="Arial"/>
          <w:szCs w:val="20"/>
        </w:rPr>
        <w:t xml:space="preserve">poskytování odborných poradenských služeb </w:t>
      </w:r>
      <w:r w:rsidR="005B178A" w:rsidRPr="00C87BE7">
        <w:rPr>
          <w:rFonts w:cs="Arial"/>
          <w:szCs w:val="20"/>
        </w:rPr>
        <w:t>v oblasti enterprise architektury a</w:t>
      </w:r>
      <w:r w:rsidR="005B178A">
        <w:rPr>
          <w:rFonts w:cs="Arial"/>
          <w:szCs w:val="20"/>
        </w:rPr>
        <w:t> </w:t>
      </w:r>
      <w:r w:rsidR="005B178A" w:rsidRPr="00C87BE7">
        <w:rPr>
          <w:rFonts w:cs="Arial"/>
          <w:szCs w:val="20"/>
        </w:rPr>
        <w:t>projektového řízení</w:t>
      </w:r>
      <w:r w:rsidR="005B178A">
        <w:rPr>
          <w:rFonts w:cs="Arial"/>
          <w:szCs w:val="20"/>
        </w:rPr>
        <w:t xml:space="preserve">, spočívající v tvorbě </w:t>
      </w:r>
      <w:r w:rsidR="005B178A" w:rsidRPr="001B4226">
        <w:rPr>
          <w:rFonts w:cs="Arial"/>
          <w:szCs w:val="20"/>
        </w:rPr>
        <w:t>enterprise architektury v oblasti procesního řízení a centralizace zpracování vybraných procesů nebo aktivit. Nedílnou úlohou</w:t>
      </w:r>
      <w:r w:rsidR="005B178A">
        <w:rPr>
          <w:rFonts w:cs="Arial"/>
          <w:szCs w:val="20"/>
        </w:rPr>
        <w:t xml:space="preserve"> </w:t>
      </w:r>
      <w:r w:rsidR="00C804B6">
        <w:rPr>
          <w:rFonts w:cs="Arial"/>
          <w:szCs w:val="20"/>
        </w:rPr>
        <w:t xml:space="preserve">Poskytovatele </w:t>
      </w:r>
      <w:r w:rsidR="005B178A">
        <w:rPr>
          <w:rFonts w:cs="Arial"/>
          <w:szCs w:val="20"/>
        </w:rPr>
        <w:t>je</w:t>
      </w:r>
      <w:r w:rsidR="005B178A" w:rsidRPr="001B4226">
        <w:rPr>
          <w:rFonts w:cs="Arial"/>
          <w:szCs w:val="20"/>
        </w:rPr>
        <w:t xml:space="preserve"> také posouzení dopadů na ostatní systémy MPSV, stanovení vhodných integračních </w:t>
      </w:r>
      <w:proofErr w:type="spellStart"/>
      <w:r w:rsidR="005B178A" w:rsidRPr="001B4226">
        <w:rPr>
          <w:rFonts w:cs="Arial"/>
          <w:szCs w:val="20"/>
        </w:rPr>
        <w:t>patternů</w:t>
      </w:r>
      <w:proofErr w:type="spellEnd"/>
      <w:r w:rsidR="005B178A" w:rsidRPr="001B4226">
        <w:rPr>
          <w:rFonts w:cs="Arial"/>
          <w:szCs w:val="20"/>
        </w:rPr>
        <w:t xml:space="preserve">, návrh integrace stávajících </w:t>
      </w:r>
      <w:proofErr w:type="spellStart"/>
      <w:r w:rsidR="005B178A" w:rsidRPr="001B4226">
        <w:rPr>
          <w:rFonts w:cs="Arial"/>
          <w:szCs w:val="20"/>
        </w:rPr>
        <w:t>stavově</w:t>
      </w:r>
      <w:proofErr w:type="spellEnd"/>
      <w:r w:rsidR="005B178A" w:rsidRPr="001B4226">
        <w:rPr>
          <w:rFonts w:cs="Arial"/>
          <w:szCs w:val="20"/>
        </w:rPr>
        <w:t xml:space="preserve"> orientovaných AIS a stanovaní referenční architektury jednotlivých procesně orientovaných systémů</w:t>
      </w:r>
      <w:r w:rsidR="005B178A">
        <w:rPr>
          <w:rFonts w:cs="Arial"/>
          <w:szCs w:val="20"/>
        </w:rPr>
        <w:t xml:space="preserve">. </w:t>
      </w:r>
      <w:r w:rsidR="005B178A" w:rsidRPr="00C87BE7">
        <w:rPr>
          <w:rFonts w:cs="Arial"/>
          <w:szCs w:val="20"/>
        </w:rPr>
        <w:t>Součástí plnění je také t</w:t>
      </w:r>
      <w:r w:rsidR="005B178A" w:rsidRPr="001B4226">
        <w:rPr>
          <w:rFonts w:cs="Arial"/>
          <w:szCs w:val="20"/>
        </w:rPr>
        <w:t>vorba enterprise architektury pro tvorbu multikanálových řešení dle zásad jednotné obsluhy klientů v různých komunikačních kanálech</w:t>
      </w:r>
      <w:r w:rsidR="005B178A">
        <w:rPr>
          <w:rFonts w:cs="Arial"/>
          <w:szCs w:val="20"/>
        </w:rPr>
        <w:t xml:space="preserve"> (dále jen </w:t>
      </w:r>
      <w:r w:rsidR="005B178A">
        <w:rPr>
          <w:rFonts w:cs="Arial"/>
          <w:szCs w:val="22"/>
          <w:lang w:val="cs-CZ" w:eastAsia="en-US"/>
        </w:rPr>
        <w:t>„</w:t>
      </w:r>
      <w:r w:rsidR="005B178A" w:rsidRPr="005B178A">
        <w:rPr>
          <w:rFonts w:cs="Arial"/>
          <w:b/>
          <w:bCs/>
          <w:szCs w:val="20"/>
        </w:rPr>
        <w:t>Služby</w:t>
      </w:r>
      <w:r w:rsidR="005B178A">
        <w:rPr>
          <w:rFonts w:cs="Arial"/>
          <w:szCs w:val="20"/>
        </w:rPr>
        <w:t>”)</w:t>
      </w:r>
      <w:r w:rsidR="005B178A" w:rsidRPr="001B4226">
        <w:rPr>
          <w:rFonts w:cs="Arial"/>
          <w:szCs w:val="20"/>
        </w:rPr>
        <w:t xml:space="preserve">. </w:t>
      </w:r>
    </w:p>
    <w:p w14:paraId="1C00EE22" w14:textId="45434A67" w:rsidR="00F9198F" w:rsidRPr="00D34F4A" w:rsidRDefault="00A76B56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 w:rsidR="009C032B">
        <w:rPr>
          <w:szCs w:val="22"/>
          <w:lang w:val="cs-CZ" w:eastAsia="en-US"/>
        </w:rPr>
        <w:t xml:space="preserve">č. </w:t>
      </w:r>
      <w:r w:rsidR="005B178A">
        <w:rPr>
          <w:szCs w:val="22"/>
          <w:lang w:val="cs-CZ" w:eastAsia="en-US"/>
        </w:rPr>
        <w:t>4</w:t>
      </w:r>
      <w:r w:rsidR="009C032B"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 w:rsidR="009C032B"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 w:rsidR="00FC48BF">
        <w:rPr>
          <w:szCs w:val="20"/>
          <w:lang w:val="cs-CZ"/>
        </w:rPr>
        <w:t xml:space="preserve">na poskytování poradenských služeb </w:t>
      </w:r>
      <w:r w:rsidRPr="00F9198F">
        <w:rPr>
          <w:szCs w:val="20"/>
        </w:rPr>
        <w:t>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 w:rsidR="009C032B">
        <w:rPr>
          <w:szCs w:val="20"/>
          <w:lang w:val="cs-CZ"/>
        </w:rPr>
        <w:t xml:space="preserve">, která byla uzavřena </w:t>
      </w:r>
      <w:r w:rsidR="00C804B6" w:rsidRPr="00F9198F">
        <w:rPr>
          <w:szCs w:val="20"/>
        </w:rPr>
        <w:t xml:space="preserve">dne </w:t>
      </w:r>
      <w:r w:rsidR="00C804B6">
        <w:rPr>
          <w:szCs w:val="20"/>
          <w:lang w:val="cs-CZ"/>
        </w:rPr>
        <w:t>20</w:t>
      </w:r>
      <w:r w:rsidR="00C804B6" w:rsidRPr="00F9198F">
        <w:rPr>
          <w:szCs w:val="20"/>
        </w:rPr>
        <w:t>.</w:t>
      </w:r>
      <w:r w:rsidR="00C804B6">
        <w:rPr>
          <w:szCs w:val="20"/>
          <w:lang w:val="cs-CZ"/>
        </w:rPr>
        <w:t xml:space="preserve"> </w:t>
      </w:r>
      <w:r w:rsidR="00C804B6" w:rsidRPr="00F9198F">
        <w:rPr>
          <w:szCs w:val="20"/>
        </w:rPr>
        <w:t>7.</w:t>
      </w:r>
      <w:r w:rsidR="00C804B6">
        <w:rPr>
          <w:szCs w:val="20"/>
          <w:lang w:val="cs-CZ"/>
        </w:rPr>
        <w:t xml:space="preserve"> </w:t>
      </w:r>
      <w:r w:rsidR="00C804B6" w:rsidRPr="00F9198F">
        <w:rPr>
          <w:szCs w:val="20"/>
        </w:rPr>
        <w:t xml:space="preserve">2023 </w:t>
      </w:r>
      <w:r w:rsidR="005B4150" w:rsidRPr="00F9198F">
        <w:rPr>
          <w:szCs w:val="22"/>
          <w:lang w:eastAsia="en-US"/>
        </w:rPr>
        <w:t xml:space="preserve">na základě zadávacího řízení veřejné zakázky </w:t>
      </w:r>
      <w:r w:rsidR="00A477F9">
        <w:rPr>
          <w:szCs w:val="22"/>
          <w:lang w:val="cs-CZ" w:eastAsia="en-US"/>
        </w:rPr>
        <w:t xml:space="preserve">s názvem </w:t>
      </w:r>
      <w:r w:rsidR="005B4150" w:rsidRPr="00F9198F">
        <w:rPr>
          <w:szCs w:val="22"/>
          <w:lang w:eastAsia="en-US"/>
        </w:rPr>
        <w:t>„</w:t>
      </w:r>
      <w:r w:rsidR="00FC48BF" w:rsidRPr="00FD69A3">
        <w:rPr>
          <w:rFonts w:cs="Arial"/>
          <w:i/>
          <w:iCs/>
          <w:snapToGrid w:val="0"/>
          <w:szCs w:val="22"/>
        </w:rPr>
        <w:t>Strategické poradenství v ICT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 xml:space="preserve">Podpisem Rámcové dohody se Poskytovatel zavázal Objednateli poskytovat služby definované v čl. 3 </w:t>
      </w:r>
      <w:r w:rsidRPr="00D34F4A">
        <w:rPr>
          <w:rFonts w:cs="Arial"/>
          <w:szCs w:val="20"/>
        </w:rPr>
        <w:t xml:space="preserve">Rámcové dohody, a to za podmínek stanovených v Dílčí smlouvě </w:t>
      </w:r>
      <w:r w:rsidR="009C032B" w:rsidRPr="00D34F4A">
        <w:rPr>
          <w:rFonts w:cs="Arial"/>
          <w:szCs w:val="20"/>
          <w:lang w:val="cs-CZ"/>
        </w:rPr>
        <w:t xml:space="preserve">č. </w:t>
      </w:r>
      <w:r w:rsidR="005B178A">
        <w:rPr>
          <w:rFonts w:cs="Arial"/>
          <w:szCs w:val="20"/>
          <w:lang w:val="cs-CZ"/>
        </w:rPr>
        <w:t>4</w:t>
      </w:r>
      <w:r w:rsidR="009C032B"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6DA7B976" w14:textId="3876D5A1" w:rsidR="005B178A" w:rsidRPr="003F5131" w:rsidRDefault="000729C5" w:rsidP="005B178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lang w:eastAsia="en-US"/>
        </w:rPr>
        <w:t>Po uzavření Dílčí smlouvy č. 4 nastala na straně Objednatele objektivní potřeba rozložit poskytování Služeb sjednaných Dílčí smlouvou č. 4 do delšího časového období</w:t>
      </w:r>
      <w:r w:rsidR="006D64FD">
        <w:rPr>
          <w:rFonts w:cs="Arial"/>
          <w:lang w:eastAsia="en-US"/>
        </w:rPr>
        <w:t xml:space="preserve"> a Služby dále čerpat</w:t>
      </w:r>
      <w:r>
        <w:rPr>
          <w:rFonts w:cs="Arial"/>
          <w:lang w:eastAsia="en-US"/>
        </w:rPr>
        <w:t xml:space="preserve">, a proto </w:t>
      </w:r>
      <w:r w:rsidRPr="000E121C">
        <w:rPr>
          <w:rFonts w:cs="Arial"/>
          <w:lang w:eastAsia="en-US"/>
        </w:rPr>
        <w:t xml:space="preserve">se </w:t>
      </w:r>
      <w:r>
        <w:rPr>
          <w:rFonts w:cs="Arial"/>
          <w:lang w:eastAsia="en-US"/>
        </w:rPr>
        <w:t>S</w:t>
      </w:r>
      <w:r w:rsidRPr="000E121C">
        <w:rPr>
          <w:rFonts w:cs="Arial"/>
          <w:lang w:eastAsia="en-US"/>
        </w:rPr>
        <w:t xml:space="preserve">mluvní strany dohodly na prodloužení </w:t>
      </w:r>
      <w:r>
        <w:rPr>
          <w:rFonts w:cs="Arial"/>
          <w:lang w:eastAsia="en-US"/>
        </w:rPr>
        <w:t>doby, na kterou je</w:t>
      </w:r>
      <w:r w:rsidRPr="000E121C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Dílčí s</w:t>
      </w:r>
      <w:r w:rsidRPr="000E121C">
        <w:rPr>
          <w:rFonts w:cs="Arial"/>
          <w:lang w:eastAsia="en-US"/>
        </w:rPr>
        <w:t>mlouv</w:t>
      </w:r>
      <w:r>
        <w:rPr>
          <w:rFonts w:cs="Arial"/>
          <w:lang w:eastAsia="en-US"/>
        </w:rPr>
        <w:t>a</w:t>
      </w:r>
      <w:r w:rsidR="00C804B6">
        <w:rPr>
          <w:rFonts w:cs="Arial"/>
          <w:lang w:eastAsia="en-US"/>
        </w:rPr>
        <w:t xml:space="preserve"> č. 4</w:t>
      </w:r>
      <w:r>
        <w:rPr>
          <w:rFonts w:cs="Arial"/>
          <w:lang w:eastAsia="en-US"/>
        </w:rPr>
        <w:t xml:space="preserve"> uzavřena, </w:t>
      </w:r>
      <w:r w:rsidRPr="000E121C">
        <w:rPr>
          <w:rFonts w:cs="Arial"/>
          <w:lang w:eastAsia="en-US"/>
        </w:rPr>
        <w:t xml:space="preserve">a </w:t>
      </w:r>
      <w:r>
        <w:rPr>
          <w:rFonts w:cs="Arial"/>
          <w:lang w:eastAsia="en-US"/>
        </w:rPr>
        <w:t xml:space="preserve">to </w:t>
      </w:r>
      <w:r w:rsidRPr="000E121C">
        <w:rPr>
          <w:rFonts w:cs="Arial"/>
          <w:lang w:eastAsia="en-US"/>
        </w:rPr>
        <w:t>způsobem uvedeným dále v tomto Dodatku</w:t>
      </w:r>
      <w:r>
        <w:rPr>
          <w:rFonts w:cs="Arial"/>
          <w:lang w:eastAsia="en-US"/>
        </w:rPr>
        <w:t xml:space="preserve"> č. 1</w:t>
      </w:r>
      <w:r w:rsidR="005B178A" w:rsidRPr="003F5131">
        <w:rPr>
          <w:rFonts w:cs="Arial"/>
          <w:szCs w:val="20"/>
        </w:rPr>
        <w:t xml:space="preserve">. </w:t>
      </w:r>
    </w:p>
    <w:p w14:paraId="5682C3D9" w14:textId="61E23918" w:rsidR="005B178A" w:rsidRPr="003F5131" w:rsidRDefault="000729C5" w:rsidP="005B178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74441">
        <w:rPr>
          <w:rFonts w:cs="Arial"/>
          <w:lang w:eastAsia="en-US"/>
        </w:rPr>
        <w:t xml:space="preserve">Smluvní strany konstatují, že změna </w:t>
      </w:r>
      <w:r>
        <w:rPr>
          <w:rFonts w:cs="Arial"/>
          <w:lang w:eastAsia="en-US"/>
        </w:rPr>
        <w:t>Dílčí s</w:t>
      </w:r>
      <w:r w:rsidRPr="00974441">
        <w:rPr>
          <w:rFonts w:cs="Arial"/>
          <w:lang w:eastAsia="en-US"/>
        </w:rPr>
        <w:t>mlouvy</w:t>
      </w:r>
      <w:r>
        <w:rPr>
          <w:rFonts w:cs="Arial"/>
          <w:lang w:eastAsia="en-US"/>
        </w:rPr>
        <w:t xml:space="preserve"> č. 4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na základě tohoto</w:t>
      </w:r>
      <w:r w:rsidRPr="00974441">
        <w:rPr>
          <w:rFonts w:cs="Arial"/>
          <w:lang w:eastAsia="en-US"/>
        </w:rPr>
        <w:t xml:space="preserve"> Dodatk</w:t>
      </w:r>
      <w:r>
        <w:rPr>
          <w:rFonts w:cs="Arial"/>
          <w:lang w:eastAsia="en-US"/>
        </w:rPr>
        <w:t>u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č. 1 </w:t>
      </w:r>
      <w:r w:rsidRPr="00974441">
        <w:rPr>
          <w:rFonts w:cs="Arial"/>
          <w:lang w:eastAsia="en-US"/>
        </w:rPr>
        <w:t xml:space="preserve">není podstatnou změnou závazku </w:t>
      </w:r>
      <w:r>
        <w:rPr>
          <w:rFonts w:cs="Arial"/>
          <w:lang w:eastAsia="en-US"/>
        </w:rPr>
        <w:t>ze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s</w:t>
      </w:r>
      <w:r w:rsidRPr="00974441">
        <w:rPr>
          <w:rFonts w:cs="Arial"/>
          <w:lang w:eastAsia="en-US"/>
        </w:rPr>
        <w:t xml:space="preserve">mlouvy ve smyslu ustanovení § 222 odst. </w:t>
      </w:r>
      <w:r>
        <w:rPr>
          <w:rFonts w:cs="Arial"/>
          <w:lang w:eastAsia="en-US"/>
        </w:rPr>
        <w:t>3 zákona č. 134/2016 Sb., o zadávání veřejných zakázek, ve znění pozdějších předpisů (dále jen „</w:t>
      </w:r>
      <w:r w:rsidRPr="009D2B92">
        <w:rPr>
          <w:rFonts w:cs="Arial"/>
          <w:b/>
          <w:bCs/>
          <w:lang w:eastAsia="en-US"/>
        </w:rPr>
        <w:t>ZZVZ</w:t>
      </w:r>
      <w:r>
        <w:rPr>
          <w:rFonts w:cs="Arial"/>
          <w:lang w:eastAsia="en-US"/>
        </w:rPr>
        <w:t>“)</w:t>
      </w:r>
      <w:r w:rsidRPr="00974441">
        <w:rPr>
          <w:rFonts w:cs="Arial"/>
          <w:lang w:eastAsia="en-US"/>
        </w:rPr>
        <w:t xml:space="preserve">, </w:t>
      </w:r>
      <w:r>
        <w:rPr>
          <w:rFonts w:cs="Arial"/>
          <w:lang w:eastAsia="en-US"/>
        </w:rPr>
        <w:br/>
      </w:r>
      <w:r w:rsidRPr="00974441">
        <w:rPr>
          <w:rFonts w:cs="Arial"/>
          <w:lang w:eastAsia="en-US"/>
        </w:rPr>
        <w:t xml:space="preserve">neboť </w:t>
      </w:r>
      <w:r w:rsidR="006D64FD">
        <w:rPr>
          <w:rFonts w:cs="Arial"/>
          <w:lang w:eastAsia="en-US"/>
        </w:rPr>
        <w:t>by neumožnila účast jiných dodavatelů, nemohla ovlivnit výběr dodavatele v Minitendru, nemění ekonomickou rovnováhu závazku z Dílčí smlouvy č. 4 a nevede</w:t>
      </w:r>
      <w:r w:rsidR="00C804B6">
        <w:rPr>
          <w:rFonts w:cs="Arial"/>
          <w:lang w:eastAsia="en-US"/>
        </w:rPr>
        <w:t xml:space="preserve"> ani</w:t>
      </w:r>
      <w:r w:rsidR="006D64FD">
        <w:rPr>
          <w:rFonts w:cs="Arial"/>
          <w:lang w:eastAsia="en-US"/>
        </w:rPr>
        <w:t xml:space="preserve"> k rozšíření rozsahu plnění </w:t>
      </w:r>
      <w:proofErr w:type="spellStart"/>
      <w:r w:rsidR="006D64FD">
        <w:rPr>
          <w:rFonts w:cs="Arial"/>
          <w:lang w:eastAsia="en-US"/>
        </w:rPr>
        <w:t>Minitendru</w:t>
      </w:r>
      <w:proofErr w:type="spellEnd"/>
      <w:r w:rsidR="006D64FD">
        <w:rPr>
          <w:rFonts w:cs="Arial"/>
          <w:lang w:eastAsia="en-US"/>
        </w:rPr>
        <w:t>. C</w:t>
      </w:r>
      <w:r w:rsidRPr="00974441">
        <w:rPr>
          <w:rFonts w:cs="Arial"/>
          <w:lang w:eastAsia="en-US"/>
        </w:rPr>
        <w:t xml:space="preserve">elková hodnota závazku </w:t>
      </w:r>
      <w:r w:rsidR="006D64FD">
        <w:rPr>
          <w:rFonts w:cs="Arial"/>
          <w:lang w:eastAsia="en-US"/>
        </w:rPr>
        <w:t xml:space="preserve">z Dílčí smlouvy č. 4 </w:t>
      </w:r>
      <w:r>
        <w:rPr>
          <w:rFonts w:cs="Arial"/>
          <w:lang w:eastAsia="en-US"/>
        </w:rPr>
        <w:t>zůstává beze změny</w:t>
      </w:r>
      <w:r w:rsidR="005B178A" w:rsidRPr="003F5131">
        <w:rPr>
          <w:rFonts w:cs="Arial"/>
          <w:szCs w:val="20"/>
        </w:rPr>
        <w:t>.</w:t>
      </w:r>
    </w:p>
    <w:p w14:paraId="0BEF7054" w14:textId="61570574" w:rsidR="003E1606" w:rsidRPr="00EE299A" w:rsidRDefault="003E1606" w:rsidP="005B178A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rPr>
          <w:rFonts w:cs="Arial"/>
          <w:lang w:val="cs-CZ"/>
        </w:rPr>
      </w:pPr>
    </w:p>
    <w:p w14:paraId="55A3B7D0" w14:textId="61CF42BB" w:rsidR="005B4150" w:rsidRDefault="005B4150" w:rsidP="00871D0F">
      <w:pPr>
        <w:pStyle w:val="RLlneksmlouvy"/>
        <w:keepNext w:val="0"/>
        <w:widowControl w:val="0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1</w:t>
      </w:r>
    </w:p>
    <w:p w14:paraId="4CD709E6" w14:textId="693AA4C5" w:rsidR="00F75080" w:rsidRPr="000E121C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bookmarkStart w:id="5" w:name="_Ref524623310"/>
      <w:r w:rsidRPr="000E121C">
        <w:rPr>
          <w:rFonts w:cs="Arial"/>
        </w:rPr>
        <w:t xml:space="preserve">Smluvní strany se dohodly, že ustanovení </w:t>
      </w:r>
      <w:r>
        <w:rPr>
          <w:rFonts w:cs="Arial"/>
        </w:rPr>
        <w:t>odst. 4.1 Dílčí s</w:t>
      </w:r>
      <w:r w:rsidRPr="000E121C">
        <w:rPr>
          <w:rFonts w:cs="Arial"/>
        </w:rPr>
        <w:t xml:space="preserve">mlouvy </w:t>
      </w:r>
      <w:r>
        <w:rPr>
          <w:rFonts w:cs="Arial"/>
        </w:rPr>
        <w:t xml:space="preserve">č. 4 </w:t>
      </w:r>
      <w:r w:rsidRPr="000E121C">
        <w:rPr>
          <w:rFonts w:cs="Arial"/>
        </w:rPr>
        <w:t xml:space="preserve">se </w:t>
      </w:r>
      <w:r>
        <w:rPr>
          <w:rFonts w:cs="Arial"/>
        </w:rPr>
        <w:t>upravuje následovně</w:t>
      </w:r>
      <w:r w:rsidRPr="000E121C">
        <w:rPr>
          <w:rFonts w:cs="Arial"/>
        </w:rPr>
        <w:t xml:space="preserve">: </w:t>
      </w:r>
    </w:p>
    <w:p w14:paraId="70A39232" w14:textId="4BD4BCB6" w:rsidR="00F75080" w:rsidRPr="00B82BB9" w:rsidRDefault="00F75080" w:rsidP="00F75080">
      <w:pPr>
        <w:pStyle w:val="RLslovanodstavec"/>
        <w:numPr>
          <w:ilvl w:val="0"/>
          <w:numId w:val="0"/>
        </w:numPr>
        <w:spacing w:before="60" w:after="0" w:line="280" w:lineRule="atLeast"/>
        <w:ind w:left="737" w:hanging="29"/>
        <w:rPr>
          <w:rFonts w:cs="Arial"/>
          <w:i/>
          <w:iCs/>
          <w:color w:val="000000"/>
          <w:spacing w:val="0"/>
        </w:rPr>
      </w:pPr>
      <w:r w:rsidRPr="00B82BB9">
        <w:rPr>
          <w:rFonts w:cs="Arial"/>
          <w:i/>
          <w:iCs/>
          <w:color w:val="000000"/>
          <w:spacing w:val="0"/>
        </w:rPr>
        <w:t>„</w:t>
      </w:r>
      <w:r w:rsidRPr="00F75080">
        <w:rPr>
          <w:rFonts w:cs="Arial"/>
          <w:i/>
          <w:iCs/>
          <w:szCs w:val="20"/>
          <w:lang w:eastAsia="en-US"/>
        </w:rPr>
        <w:t xml:space="preserve">Tato Dílčí smlouva se uzavírá na dobu určitou, a to </w:t>
      </w:r>
      <w:r>
        <w:rPr>
          <w:rFonts w:cs="Arial"/>
          <w:i/>
          <w:iCs/>
          <w:szCs w:val="20"/>
          <w:lang w:eastAsia="en-US"/>
        </w:rPr>
        <w:t>do 31. 8. 2025</w:t>
      </w:r>
      <w:r w:rsidRPr="00F75080">
        <w:rPr>
          <w:rFonts w:cs="Arial"/>
          <w:i/>
          <w:iCs/>
          <w:szCs w:val="20"/>
          <w:lang w:eastAsia="en-US"/>
        </w:rPr>
        <w:t>, případně do vyčerpání stanovené maximální částky uvedené v odst. 3.2 této Dílčí smlouvy, podle toho, která z uváděných skutečností nastane dříve</w:t>
      </w:r>
      <w:r w:rsidRPr="00F75080">
        <w:rPr>
          <w:rFonts w:cs="Arial"/>
          <w:i/>
          <w:iCs/>
          <w:color w:val="000000"/>
          <w:spacing w:val="0"/>
        </w:rPr>
        <w:t>.</w:t>
      </w:r>
      <w:r w:rsidRPr="00B82BB9">
        <w:rPr>
          <w:rFonts w:cs="Arial"/>
          <w:i/>
          <w:iCs/>
          <w:color w:val="000000"/>
          <w:spacing w:val="0"/>
        </w:rPr>
        <w:t>“</w:t>
      </w:r>
    </w:p>
    <w:p w14:paraId="4E2C799B" w14:textId="77777777" w:rsidR="00F75080" w:rsidRPr="00974441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974441">
        <w:rPr>
          <w:rFonts w:cs="Arial"/>
        </w:rPr>
        <w:t xml:space="preserve">Smluvní strany potvrzují, že ostatní ustanovení </w:t>
      </w:r>
      <w:r>
        <w:rPr>
          <w:rFonts w:cs="Arial"/>
        </w:rPr>
        <w:t>S</w:t>
      </w:r>
      <w:r w:rsidRPr="00974441">
        <w:rPr>
          <w:rFonts w:cs="Arial"/>
        </w:rPr>
        <w:t>mlouvy</w:t>
      </w:r>
      <w:r>
        <w:rPr>
          <w:rFonts w:cs="Arial"/>
        </w:rPr>
        <w:t xml:space="preserve"> </w:t>
      </w:r>
      <w:r w:rsidRPr="00974441">
        <w:rPr>
          <w:rFonts w:cs="Arial"/>
        </w:rPr>
        <w:t xml:space="preserve">zůstávají tímto Dodatkem </w:t>
      </w:r>
      <w:r>
        <w:rPr>
          <w:rFonts w:cs="Arial"/>
        </w:rPr>
        <w:t xml:space="preserve">č. 1 </w:t>
      </w:r>
      <w:r w:rsidRPr="00974441">
        <w:rPr>
          <w:rFonts w:cs="Arial"/>
        </w:rPr>
        <w:t>nedotčena.</w:t>
      </w:r>
      <w:bookmarkEnd w:id="5"/>
      <w:r w:rsidRPr="00974441">
        <w:rPr>
          <w:rFonts w:cs="Arial"/>
        </w:rPr>
        <w:t xml:space="preserve"> </w:t>
      </w:r>
    </w:p>
    <w:p w14:paraId="70443B56" w14:textId="77777777" w:rsidR="00871D0F" w:rsidRPr="00FD3169" w:rsidRDefault="00871D0F" w:rsidP="00FD3169">
      <w:pPr>
        <w:spacing w:before="120"/>
        <w:ind w:left="567"/>
        <w:jc w:val="both"/>
        <w:rPr>
          <w:rFonts w:cs="Arial"/>
          <w:szCs w:val="20"/>
          <w:lang w:eastAsia="x-none"/>
        </w:rPr>
      </w:pPr>
    </w:p>
    <w:p w14:paraId="3BD681D7" w14:textId="78DFF387" w:rsidR="00E720C5" w:rsidRDefault="00E720C5" w:rsidP="00421642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6EEF7D35" w14:textId="2811E494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6" w:name="_Hlt313894965"/>
      <w:bookmarkStart w:id="7" w:name="_Hlt313947528"/>
      <w:bookmarkStart w:id="8" w:name="_Hlt313947599"/>
      <w:bookmarkStart w:id="9" w:name="_Hlt313947695"/>
      <w:bookmarkStart w:id="10" w:name="_Hlt313947731"/>
      <w:bookmarkStart w:id="11" w:name="_Hlt313947749"/>
      <w:bookmarkStart w:id="12" w:name="_Hlt313951415"/>
      <w:bookmarkEnd w:id="6"/>
      <w:bookmarkEnd w:id="7"/>
      <w:bookmarkEnd w:id="8"/>
      <w:bookmarkEnd w:id="9"/>
      <w:bookmarkEnd w:id="10"/>
      <w:bookmarkEnd w:id="11"/>
      <w:bookmarkEnd w:id="12"/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Sb., </w:t>
      </w:r>
      <w:r w:rsidR="003A61E3">
        <w:rPr>
          <w:rFonts w:cs="Arial"/>
          <w:lang w:val="cs-CZ"/>
        </w:rPr>
        <w:t>z</w:t>
      </w:r>
      <w:r w:rsidR="003A61E3" w:rsidRPr="004D43BE">
        <w:rPr>
          <w:rFonts w:cs="Arial"/>
        </w:rPr>
        <w:t>ákon o zvláštních podmínkách účinnosti některých smluv, uveřejňování těchto smluv a o registru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558F298F" w:rsidR="004645DE" w:rsidRPr="00333042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7EBDED68" w14:textId="17551219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lastRenderedPageBreak/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D41D8D" w14:paraId="7195B10C" w14:textId="77777777" w:rsidTr="00D2682F">
        <w:tc>
          <w:tcPr>
            <w:tcW w:w="4644" w:type="dxa"/>
          </w:tcPr>
          <w:p w14:paraId="635C39E6" w14:textId="77777777" w:rsidR="00D41D8D" w:rsidRPr="00A16B28" w:rsidRDefault="00D41D8D" w:rsidP="00A73113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Objednatel</w:t>
            </w:r>
          </w:p>
          <w:p w14:paraId="642628EF" w14:textId="77777777" w:rsidR="00D41D8D" w:rsidRPr="00E07D66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  <w:tc>
          <w:tcPr>
            <w:tcW w:w="4534" w:type="dxa"/>
          </w:tcPr>
          <w:p w14:paraId="26FD46BF" w14:textId="77777777" w:rsidR="00D41D8D" w:rsidRPr="00A16B28" w:rsidRDefault="00D41D8D" w:rsidP="00A73113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2"/>
              </w:rPr>
            </w:pPr>
            <w:r w:rsidRPr="00A16B28">
              <w:rPr>
                <w:rFonts w:cs="Arial"/>
                <w:b/>
                <w:bCs/>
                <w:szCs w:val="22"/>
              </w:rPr>
              <w:t>Poskytovatel</w:t>
            </w:r>
          </w:p>
          <w:p w14:paraId="5D8FD2C5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</w:tr>
      <w:tr w:rsidR="00D41D8D" w14:paraId="65B06DBE" w14:textId="77777777" w:rsidTr="00D2682F">
        <w:tc>
          <w:tcPr>
            <w:tcW w:w="4644" w:type="dxa"/>
          </w:tcPr>
          <w:p w14:paraId="5F0E8860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4B92BF50" w14:textId="77777777" w:rsidR="00D41D8D" w:rsidRPr="00A16B28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52C0D2BE" w14:textId="64C860BF" w:rsidR="00D41D8D" w:rsidRPr="00A73113" w:rsidRDefault="00D41D8D" w:rsidP="00A73113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 xml:space="preserve">Česká republika – Ministerstvo práce </w:t>
            </w:r>
            <w:r w:rsidR="00C804B6">
              <w:rPr>
                <w:rFonts w:cs="Arial"/>
                <w:b/>
                <w:bCs/>
                <w:szCs w:val="20"/>
              </w:rPr>
              <w:br/>
            </w: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</w:tc>
        <w:tc>
          <w:tcPr>
            <w:tcW w:w="4534" w:type="dxa"/>
          </w:tcPr>
          <w:p w14:paraId="1EBD1119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6459E35" w14:textId="77777777" w:rsidR="00D41D8D" w:rsidRPr="00A16B28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1351CAEB" w14:textId="08A6FA85" w:rsidR="00D2682F" w:rsidRPr="004D66EA" w:rsidRDefault="00D2682F" w:rsidP="00D2682F">
            <w:pPr>
              <w:pStyle w:val="Default"/>
              <w:spacing w:after="0" w:line="280" w:lineRule="atLeast"/>
              <w:jc w:val="center"/>
              <w:rPr>
                <w:sz w:val="20"/>
                <w:szCs w:val="20"/>
              </w:rPr>
            </w:pPr>
          </w:p>
          <w:p w14:paraId="0F08F51F" w14:textId="206229D6" w:rsidR="00D41D8D" w:rsidRPr="00A73113" w:rsidRDefault="00D2682F" w:rsidP="00A73113">
            <w:pPr>
              <w:pStyle w:val="Default"/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2682F">
              <w:rPr>
                <w:b/>
                <w:bCs/>
                <w:sz w:val="20"/>
                <w:szCs w:val="20"/>
              </w:rPr>
              <w:t>KPMG Česká republika, s.r.o.</w:t>
            </w:r>
          </w:p>
        </w:tc>
      </w:tr>
      <w:tr w:rsidR="00D41D8D" w14:paraId="5C194A6E" w14:textId="77777777" w:rsidTr="00D2682F">
        <w:tc>
          <w:tcPr>
            <w:tcW w:w="4644" w:type="dxa"/>
          </w:tcPr>
          <w:p w14:paraId="3C6EF6CD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07FEFC14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D41D8D" w14:paraId="09F23762" w14:textId="77777777" w:rsidTr="00D2682F">
        <w:tc>
          <w:tcPr>
            <w:tcW w:w="4644" w:type="dxa"/>
          </w:tcPr>
          <w:p w14:paraId="51493C85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7CCAC4F0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elektronického podpisu</w:t>
            </w:r>
          </w:p>
        </w:tc>
      </w:tr>
      <w:tr w:rsidR="00D41D8D" w14:paraId="4A5B0A52" w14:textId="77777777" w:rsidTr="00D2682F">
        <w:tc>
          <w:tcPr>
            <w:tcW w:w="4644" w:type="dxa"/>
          </w:tcPr>
          <w:p w14:paraId="2C4363EC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305D2CDA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50BA21CE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0FAFC7D0" w14:textId="77777777" w:rsidR="00D41D8D" w:rsidRPr="00A16B28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0E18AD89" w14:textId="08E581CF" w:rsidR="00D2682F" w:rsidRDefault="00D2682F" w:rsidP="00D2682F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</w:p>
          <w:p w14:paraId="0D45D077" w14:textId="3FEEFB71" w:rsidR="00D41D8D" w:rsidRPr="00A73113" w:rsidRDefault="00D2682F" w:rsidP="00A73113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Tekies s.r.o</w:t>
            </w:r>
          </w:p>
        </w:tc>
      </w:tr>
    </w:tbl>
    <w:p w14:paraId="0F1F6CB0" w14:textId="77777777" w:rsidR="000E07D5" w:rsidRDefault="000E07D5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0E07D5" w:rsidSect="00A73113">
      <w:headerReference w:type="default" r:id="rId11"/>
      <w:pgSz w:w="11906" w:h="16838"/>
      <w:pgMar w:top="1304" w:right="1418" w:bottom="1021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DE830" w14:textId="77777777" w:rsidR="004240FB" w:rsidRDefault="004240FB">
      <w:r>
        <w:separator/>
      </w:r>
    </w:p>
  </w:endnote>
  <w:endnote w:type="continuationSeparator" w:id="0">
    <w:p w14:paraId="55FFCF54" w14:textId="77777777" w:rsidR="004240FB" w:rsidRDefault="004240FB">
      <w:r>
        <w:continuationSeparator/>
      </w:r>
    </w:p>
  </w:endnote>
  <w:endnote w:type="continuationNotice" w:id="1">
    <w:p w14:paraId="0F848AA0" w14:textId="77777777" w:rsidR="004240FB" w:rsidRDefault="004240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A2493" w14:textId="77777777" w:rsidR="004240FB" w:rsidRDefault="004240FB">
      <w:r>
        <w:separator/>
      </w:r>
    </w:p>
  </w:footnote>
  <w:footnote w:type="continuationSeparator" w:id="0">
    <w:p w14:paraId="247C639B" w14:textId="77777777" w:rsidR="004240FB" w:rsidRDefault="004240FB">
      <w:r>
        <w:continuationSeparator/>
      </w:r>
    </w:p>
  </w:footnote>
  <w:footnote w:type="continuationNotice" w:id="1">
    <w:p w14:paraId="29486997" w14:textId="77777777" w:rsidR="004240FB" w:rsidRDefault="004240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7E56D45F" w:rsidR="000F2A45" w:rsidRPr="009B50EF" w:rsidRDefault="000F2A45" w:rsidP="005B178A">
    <w:pPr>
      <w:pStyle w:val="Zhlav"/>
      <w:pBdr>
        <w:bottom w:val="none" w:sz="0" w:space="0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62C6FCD"/>
    <w:multiLevelType w:val="multilevel"/>
    <w:tmpl w:val="343E996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8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6"/>
  </w:num>
  <w:num w:numId="2" w16cid:durableId="11614307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1"/>
  </w:num>
  <w:num w:numId="7" w16cid:durableId="1103186587">
    <w:abstractNumId w:val="4"/>
  </w:num>
  <w:num w:numId="8" w16cid:durableId="821000331">
    <w:abstractNumId w:val="9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7"/>
  </w:num>
  <w:num w:numId="11" w16cid:durableId="1277101984">
    <w:abstractNumId w:val="5"/>
  </w:num>
  <w:num w:numId="12" w16cid:durableId="801271120">
    <w:abstractNumId w:val="6"/>
  </w:num>
  <w:num w:numId="13" w16cid:durableId="744451370">
    <w:abstractNumId w:val="2"/>
  </w:num>
  <w:num w:numId="14" w16cid:durableId="114157848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9C5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9E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6C90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31"/>
    <w:rsid w:val="00554A7B"/>
    <w:rsid w:val="00554C1E"/>
    <w:rsid w:val="00554ECF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8A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4F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39DB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A4C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04B6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BDA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13A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080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5504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2024-02-14T15:02:00Z</dcterms:created>
  <dcterms:modified xsi:type="dcterms:W3CDTF">2024-12-20T14:17:00Z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