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4D0F7788" w:rsidR="001227A2" w:rsidRPr="00C9449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>
        <w:rPr>
          <w:rFonts w:ascii="Arial" w:hAnsi="Arial"/>
          <w:spacing w:val="0"/>
          <w:kern w:val="0"/>
          <w:sz w:val="24"/>
          <w:szCs w:val="24"/>
        </w:rPr>
        <w:t xml:space="preserve">Dodatek č. 1 k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č. </w:t>
      </w:r>
      <w:r w:rsidR="002A5CB9">
        <w:rPr>
          <w:rFonts w:ascii="Arial" w:hAnsi="Arial"/>
          <w:spacing w:val="0"/>
          <w:kern w:val="0"/>
          <w:sz w:val="24"/>
          <w:szCs w:val="24"/>
        </w:rPr>
        <w:t>17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086CE61E" w:rsidR="00C9449A" w:rsidRPr="00616227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3F5131"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2A5CB9">
        <w:rPr>
          <w:rFonts w:ascii="Arial" w:hAnsi="Arial" w:cs="Arial"/>
          <w:b/>
          <w:bCs/>
          <w:sz w:val="20"/>
          <w:szCs w:val="20"/>
        </w:rPr>
        <w:t xml:space="preserve">č. </w:t>
      </w:r>
      <w:r w:rsidR="003F5131">
        <w:rPr>
          <w:rFonts w:ascii="Arial" w:hAnsi="Arial" w:cs="Arial"/>
          <w:b/>
          <w:bCs/>
          <w:sz w:val="20"/>
          <w:szCs w:val="20"/>
        </w:rPr>
        <w:t>1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60442C06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>uzavřen</w:t>
      </w:r>
      <w:r w:rsidR="003F5131">
        <w:rPr>
          <w:rFonts w:ascii="Arial" w:hAnsi="Arial" w:cs="Arial"/>
          <w:spacing w:val="-2"/>
          <w:sz w:val="20"/>
          <w:szCs w:val="20"/>
        </w:rPr>
        <w:t>ý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Default="00C9449A" w:rsidP="00C9449A"/>
    <w:p w14:paraId="2DB90F92" w14:textId="77777777" w:rsidR="003F5131" w:rsidRPr="00C9449A" w:rsidRDefault="003F5131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58BD7F12" w14:textId="77777777" w:rsidR="008C47FF" w:rsidRPr="00D234DF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622CABD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4FC85F72" w14:textId="3D65A770" w:rsidR="008C47FF" w:rsidRPr="00DA665B" w:rsidRDefault="008C47FF" w:rsidP="003F5131">
      <w:pPr>
        <w:pStyle w:val="Defaul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202D2" w:rsidRPr="001202D2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026763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58452C09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528063CE" w14:textId="089A52A2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Na základě Rámcové dohody o poskytování právních služeb v oblasti informačních a komunikačních technologií ze dne 28. 4. 2023, uzavřely Smluvní strany dne </w:t>
      </w:r>
      <w:r w:rsidR="00A369C3">
        <w:rPr>
          <w:rFonts w:ascii="Arial" w:hAnsi="Arial" w:cs="Arial"/>
          <w:sz w:val="20"/>
          <w:szCs w:val="20"/>
        </w:rPr>
        <w:t>19</w:t>
      </w:r>
      <w:r w:rsidRPr="003F5131">
        <w:rPr>
          <w:rFonts w:ascii="Arial" w:hAnsi="Arial" w:cs="Arial"/>
          <w:sz w:val="20"/>
          <w:szCs w:val="20"/>
        </w:rPr>
        <w:t xml:space="preserve">. </w:t>
      </w:r>
      <w:r w:rsidR="00A369C3">
        <w:rPr>
          <w:rFonts w:ascii="Arial" w:hAnsi="Arial" w:cs="Arial"/>
          <w:sz w:val="20"/>
          <w:szCs w:val="20"/>
        </w:rPr>
        <w:t>3</w:t>
      </w:r>
      <w:r w:rsidRPr="003F5131">
        <w:rPr>
          <w:rFonts w:ascii="Arial" w:hAnsi="Arial" w:cs="Arial"/>
          <w:sz w:val="20"/>
          <w:szCs w:val="20"/>
        </w:rPr>
        <w:t>. 202</w:t>
      </w:r>
      <w:r w:rsidR="00A369C3">
        <w:rPr>
          <w:rFonts w:ascii="Arial" w:hAnsi="Arial" w:cs="Arial"/>
          <w:sz w:val="20"/>
          <w:szCs w:val="20"/>
        </w:rPr>
        <w:t>4</w:t>
      </w:r>
      <w:r w:rsidRPr="003F5131">
        <w:rPr>
          <w:rFonts w:ascii="Arial" w:hAnsi="Arial" w:cs="Arial"/>
          <w:sz w:val="20"/>
          <w:szCs w:val="20"/>
        </w:rPr>
        <w:t xml:space="preserve"> Dílčí smlouvu č. </w:t>
      </w:r>
      <w:r w:rsidR="00A369C3">
        <w:rPr>
          <w:rFonts w:ascii="Arial" w:hAnsi="Arial" w:cs="Arial"/>
          <w:sz w:val="20"/>
          <w:szCs w:val="20"/>
        </w:rPr>
        <w:t>17</w:t>
      </w:r>
      <w:r w:rsidRPr="003F5131">
        <w:rPr>
          <w:rFonts w:ascii="Arial" w:hAnsi="Arial" w:cs="Arial"/>
          <w:sz w:val="20"/>
          <w:szCs w:val="20"/>
        </w:rPr>
        <w:t xml:space="preserve"> o poskytování právních služeb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3F5131">
        <w:rPr>
          <w:rFonts w:ascii="Arial" w:hAnsi="Arial" w:cs="Arial"/>
          <w:b/>
          <w:bCs/>
          <w:sz w:val="20"/>
          <w:szCs w:val="20"/>
        </w:rPr>
        <w:t xml:space="preserve">Dílčí smlouva č. </w:t>
      </w:r>
      <w:r w:rsidR="002A5CB9">
        <w:rPr>
          <w:rFonts w:ascii="Arial" w:hAnsi="Arial" w:cs="Arial"/>
          <w:b/>
          <w:bCs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“)</w:t>
      </w:r>
      <w:r w:rsidRPr="003F5131">
        <w:rPr>
          <w:rFonts w:ascii="Arial" w:hAnsi="Arial" w:cs="Arial"/>
          <w:sz w:val="20"/>
          <w:szCs w:val="20"/>
        </w:rPr>
        <w:t xml:space="preserve">, na základě které </w:t>
      </w:r>
      <w:r>
        <w:rPr>
          <w:rFonts w:ascii="Arial" w:hAnsi="Arial" w:cs="Arial"/>
          <w:sz w:val="20"/>
          <w:szCs w:val="20"/>
        </w:rPr>
        <w:t xml:space="preserve">se Poskytovatel </w:t>
      </w:r>
      <w:r w:rsidRPr="003F5131">
        <w:rPr>
          <w:rFonts w:ascii="Arial" w:hAnsi="Arial" w:cs="Arial"/>
          <w:sz w:val="20"/>
          <w:szCs w:val="20"/>
        </w:rPr>
        <w:t>zav</w:t>
      </w:r>
      <w:r w:rsidR="00A369C3">
        <w:rPr>
          <w:rFonts w:ascii="Arial" w:hAnsi="Arial" w:cs="Arial"/>
          <w:sz w:val="20"/>
          <w:szCs w:val="20"/>
        </w:rPr>
        <w:t>ázal</w:t>
      </w:r>
      <w:r w:rsidRPr="003F5131">
        <w:rPr>
          <w:rFonts w:ascii="Arial" w:hAnsi="Arial" w:cs="Arial"/>
          <w:sz w:val="20"/>
          <w:szCs w:val="20"/>
        </w:rPr>
        <w:t xml:space="preserve"> poskytnout plnění spočívající v právním poradenství </w:t>
      </w:r>
      <w:r w:rsidR="00A224FC" w:rsidRPr="006A5335">
        <w:rPr>
          <w:rFonts w:ascii="Arial" w:hAnsi="Arial" w:cs="Arial"/>
          <w:sz w:val="20"/>
          <w:szCs w:val="20"/>
          <w:lang w:eastAsia="en-US"/>
        </w:rPr>
        <w:t>souvisejícím</w:t>
      </w:r>
      <w:r w:rsidR="00A224FC" w:rsidRPr="0007580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369C3" w:rsidRPr="002E7C67">
        <w:rPr>
          <w:rFonts w:ascii="Arial" w:hAnsi="Arial" w:cs="Arial"/>
          <w:sz w:val="20"/>
          <w:szCs w:val="20"/>
        </w:rPr>
        <w:t>se zadávacím řízením s názvem „</w:t>
      </w:r>
      <w:bookmarkStart w:id="7" w:name="_Hlk134191069"/>
      <w:r w:rsidR="00A369C3" w:rsidRPr="002E7C67">
        <w:rPr>
          <w:rFonts w:ascii="Arial" w:hAnsi="Arial" w:cs="Arial"/>
          <w:i/>
          <w:iCs/>
          <w:sz w:val="20"/>
          <w:szCs w:val="20"/>
        </w:rPr>
        <w:t>IT testování II</w:t>
      </w:r>
      <w:bookmarkEnd w:id="7"/>
      <w:r w:rsidR="00A369C3" w:rsidRPr="002E7C67">
        <w:rPr>
          <w:rFonts w:ascii="Arial" w:hAnsi="Arial" w:cs="Arial"/>
          <w:sz w:val="20"/>
          <w:szCs w:val="20"/>
        </w:rPr>
        <w:t>“ připravovaném v jednacím řízení s uveřejněním (dále jako „</w:t>
      </w:r>
      <w:r w:rsidR="00A369C3" w:rsidRPr="002E7C67">
        <w:rPr>
          <w:rFonts w:ascii="Arial" w:hAnsi="Arial" w:cs="Arial"/>
          <w:b/>
          <w:bCs/>
          <w:sz w:val="20"/>
          <w:szCs w:val="20"/>
        </w:rPr>
        <w:t>Veřejná zakázka</w:t>
      </w:r>
      <w:r w:rsidR="00A369C3" w:rsidRPr="002E7C67">
        <w:rPr>
          <w:rFonts w:ascii="Arial" w:hAnsi="Arial" w:cs="Arial"/>
          <w:sz w:val="20"/>
          <w:szCs w:val="20"/>
        </w:rPr>
        <w:t>“), průběžné právní podpoře Objednatele spočívající v poskytování konzultací, analýz a právních stanovisek souvisejících se zadáním Veřejné zakázky a</w:t>
      </w:r>
      <w:r w:rsidR="00A369C3">
        <w:rPr>
          <w:rFonts w:ascii="Arial" w:hAnsi="Arial" w:cs="Arial"/>
          <w:sz w:val="20"/>
          <w:szCs w:val="20"/>
        </w:rPr>
        <w:t> </w:t>
      </w:r>
      <w:r w:rsidR="00A369C3" w:rsidRPr="002E7C67">
        <w:rPr>
          <w:rFonts w:ascii="Arial" w:hAnsi="Arial" w:cs="Arial"/>
          <w:sz w:val="20"/>
          <w:szCs w:val="20"/>
        </w:rPr>
        <w:t>případným přezkumem zákonnosti postupů Objednatele v zadávacím řízení ze</w:t>
      </w:r>
      <w:r w:rsidR="00A369C3">
        <w:rPr>
          <w:rFonts w:ascii="Arial" w:hAnsi="Arial" w:cs="Arial"/>
          <w:sz w:val="20"/>
          <w:szCs w:val="20"/>
        </w:rPr>
        <w:t> </w:t>
      </w:r>
      <w:r w:rsidR="00A369C3" w:rsidRPr="002E7C67">
        <w:rPr>
          <w:rFonts w:ascii="Arial" w:hAnsi="Arial" w:cs="Arial"/>
          <w:sz w:val="20"/>
          <w:szCs w:val="20"/>
        </w:rPr>
        <w:t>strany Úřadu pro ochranu hospodářské soutěže apod.</w:t>
      </w:r>
      <w:r w:rsidR="00A369C3"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>Služby</w:t>
      </w:r>
      <w:r w:rsidRPr="003F5131">
        <w:rPr>
          <w:rFonts w:ascii="Arial" w:hAnsi="Arial" w:cs="Arial"/>
          <w:sz w:val="20"/>
          <w:szCs w:val="20"/>
        </w:rPr>
        <w:t xml:space="preserve">“). </w:t>
      </w:r>
    </w:p>
    <w:p w14:paraId="38175FF0" w14:textId="67E6CEEF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Toc357594081"/>
      <w:bookmarkStart w:id="9" w:name="_Toc358638377"/>
      <w:bookmarkStart w:id="10" w:name="_Toc361816450"/>
      <w:bookmarkStart w:id="11" w:name="_Toc361816563"/>
      <w:r w:rsidRPr="003F5131">
        <w:rPr>
          <w:rFonts w:ascii="Arial" w:hAnsi="Arial" w:cs="Arial"/>
          <w:sz w:val="20"/>
          <w:szCs w:val="20"/>
        </w:rPr>
        <w:t xml:space="preserve">Poskytování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lužeb na základě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A369C3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nebylo dosud ukončeno, neboť nedošlo ke</w:t>
      </w:r>
      <w:r w:rsidR="00804FDC"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 xml:space="preserve">skončení její účinnosti v souladu s ustanovením odst.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A369C3">
        <w:rPr>
          <w:rFonts w:ascii="Arial" w:hAnsi="Arial" w:cs="Arial"/>
          <w:sz w:val="20"/>
          <w:szCs w:val="20"/>
        </w:rPr>
        <w:t>17</w:t>
      </w:r>
      <w:r w:rsidRPr="003F5131">
        <w:rPr>
          <w:rFonts w:ascii="Arial" w:hAnsi="Arial" w:cs="Arial"/>
          <w:sz w:val="20"/>
          <w:szCs w:val="20"/>
        </w:rPr>
        <w:t xml:space="preserve">. </w:t>
      </w:r>
    </w:p>
    <w:p w14:paraId="73C85A78" w14:textId="1FF9C5E5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S ohledem na skutečnost, že na straně Objednatele přetrvává potřeba čerpat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lužby dle Dílčí smlouvy č. </w:t>
      </w:r>
      <w:r w:rsidR="00A369C3">
        <w:rPr>
          <w:rFonts w:ascii="Arial" w:hAnsi="Arial" w:cs="Arial"/>
          <w:sz w:val="20"/>
          <w:szCs w:val="20"/>
        </w:rPr>
        <w:t>17</w:t>
      </w:r>
      <w:r w:rsidRPr="003F5131">
        <w:rPr>
          <w:rFonts w:ascii="Arial" w:hAnsi="Arial" w:cs="Arial"/>
          <w:sz w:val="20"/>
          <w:szCs w:val="20"/>
        </w:rPr>
        <w:t xml:space="preserve">, </w:t>
      </w:r>
      <w:r w:rsidR="00A369C3">
        <w:rPr>
          <w:rFonts w:ascii="Arial" w:hAnsi="Arial" w:cs="Arial"/>
          <w:sz w:val="20"/>
          <w:szCs w:val="20"/>
        </w:rPr>
        <w:t xml:space="preserve">přičemž Veřejná zakázka bude zadávána opakovaně, kdy původní zadávací řízení bylo zrušeno, </w:t>
      </w:r>
      <w:r w:rsidRPr="003F5131">
        <w:rPr>
          <w:rFonts w:ascii="Arial" w:hAnsi="Arial" w:cs="Arial"/>
          <w:sz w:val="20"/>
          <w:szCs w:val="20"/>
        </w:rPr>
        <w:t>se smluvní strany dohodly na prodloužení účinnosti Dílčí smlouvy</w:t>
      </w:r>
      <w:r>
        <w:rPr>
          <w:rFonts w:ascii="Arial" w:hAnsi="Arial" w:cs="Arial"/>
          <w:sz w:val="20"/>
          <w:szCs w:val="20"/>
        </w:rPr>
        <w:t xml:space="preserve"> č</w:t>
      </w:r>
      <w:r w:rsidRPr="003F5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369C3">
        <w:rPr>
          <w:rFonts w:ascii="Arial" w:hAnsi="Arial" w:cs="Arial"/>
          <w:sz w:val="20"/>
          <w:szCs w:val="20"/>
        </w:rPr>
        <w:t>17</w:t>
      </w:r>
      <w:r w:rsidRPr="003F5131">
        <w:rPr>
          <w:rFonts w:ascii="Arial" w:hAnsi="Arial" w:cs="Arial"/>
          <w:sz w:val="20"/>
          <w:szCs w:val="20"/>
        </w:rPr>
        <w:t>, a to způsobem uvedeným dále v tomto Dodatku</w:t>
      </w:r>
      <w:r w:rsidR="00A369C3">
        <w:rPr>
          <w:rFonts w:ascii="Arial" w:hAnsi="Arial" w:cs="Arial"/>
          <w:sz w:val="20"/>
          <w:szCs w:val="20"/>
        </w:rPr>
        <w:t xml:space="preserve"> č.</w:t>
      </w:r>
      <w:r w:rsidR="00D6306C">
        <w:rPr>
          <w:rFonts w:ascii="Arial" w:hAnsi="Arial" w:cs="Arial"/>
          <w:sz w:val="20"/>
          <w:szCs w:val="20"/>
        </w:rPr>
        <w:t xml:space="preserve"> 1</w:t>
      </w:r>
      <w:r w:rsidRPr="003F5131">
        <w:rPr>
          <w:rFonts w:ascii="Arial" w:hAnsi="Arial" w:cs="Arial"/>
          <w:sz w:val="20"/>
          <w:szCs w:val="20"/>
        </w:rPr>
        <w:t>.</w:t>
      </w:r>
    </w:p>
    <w:p w14:paraId="1DCC6C19" w14:textId="20CA7AEC" w:rsidR="001227A2" w:rsidRPr="00BB2C2E" w:rsidRDefault="001227A2" w:rsidP="00C95CA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72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PŘEDMĚT </w:t>
      </w:r>
      <w:bookmarkEnd w:id="8"/>
      <w:bookmarkEnd w:id="9"/>
      <w:bookmarkEnd w:id="10"/>
      <w:bookmarkEnd w:id="11"/>
      <w:r w:rsidR="00D6306C">
        <w:rPr>
          <w:rFonts w:ascii="Arial" w:hAnsi="Arial" w:cs="Arial"/>
          <w:sz w:val="20"/>
          <w:szCs w:val="20"/>
        </w:rPr>
        <w:t>DODATKU</w:t>
      </w:r>
    </w:p>
    <w:p w14:paraId="465BCA0F" w14:textId="1474833F" w:rsidR="001227A2" w:rsidRPr="005D11B2" w:rsidRDefault="000D39C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A369C3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D39C8">
        <w:rPr>
          <w:rFonts w:ascii="Arial" w:hAnsi="Arial" w:cs="Arial"/>
          <w:sz w:val="20"/>
          <w:szCs w:val="20"/>
        </w:rPr>
        <w:t>ruší</w:t>
      </w:r>
      <w:proofErr w:type="gramEnd"/>
      <w:r w:rsidRPr="000D39C8">
        <w:rPr>
          <w:rFonts w:ascii="Arial" w:hAnsi="Arial" w:cs="Arial"/>
          <w:sz w:val="20"/>
          <w:szCs w:val="20"/>
        </w:rPr>
        <w:t xml:space="preserve"> a </w:t>
      </w:r>
      <w:r w:rsidR="00A369C3" w:rsidRPr="00974441">
        <w:rPr>
          <w:rFonts w:ascii="Arial" w:hAnsi="Arial" w:cs="Arial"/>
          <w:sz w:val="20"/>
        </w:rPr>
        <w:t>nahrazuje se následujícím textem</w:t>
      </w:r>
      <w:r w:rsidRPr="000D39C8">
        <w:rPr>
          <w:rFonts w:ascii="Arial" w:hAnsi="Arial" w:cs="Arial"/>
          <w:sz w:val="20"/>
          <w:szCs w:val="20"/>
        </w:rPr>
        <w:t>:</w:t>
      </w:r>
    </w:p>
    <w:p w14:paraId="7219F487" w14:textId="553CA05A" w:rsidR="000D39C8" w:rsidRPr="000D39C8" w:rsidRDefault="000D39C8" w:rsidP="000D39C8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4.1 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Poskytovatel se zavazuje, že Služby bude poskytovat a předávat Objednateli průběžně v</w:t>
      </w: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období ode dne nabytí účinnosti Dílčí smlouvy do 3</w:t>
      </w: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1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 </w:t>
      </w:r>
      <w:r w:rsidR="00804FDC">
        <w:rPr>
          <w:rFonts w:ascii="Arial" w:hAnsi="Arial" w:cs="Arial"/>
          <w:b w:val="0"/>
          <w:i/>
          <w:iCs/>
          <w:sz w:val="20"/>
          <w:szCs w:val="20"/>
          <w:lang w:eastAsia="cs-CZ"/>
        </w:rPr>
        <w:t>12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. 202</w:t>
      </w:r>
      <w:r w:rsidR="00A369C3">
        <w:rPr>
          <w:rFonts w:ascii="Arial" w:hAnsi="Arial" w:cs="Arial"/>
          <w:b w:val="0"/>
          <w:i/>
          <w:iCs/>
          <w:sz w:val="20"/>
          <w:szCs w:val="20"/>
          <w:lang w:eastAsia="cs-CZ"/>
        </w:rPr>
        <w:t>5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, případně do vyčerpání finanční částky ve výši </w:t>
      </w:r>
      <w:r w:rsidR="00A369C3">
        <w:rPr>
          <w:rFonts w:ascii="Arial" w:hAnsi="Arial" w:cs="Arial"/>
          <w:b w:val="0"/>
          <w:i/>
          <w:iCs/>
          <w:sz w:val="20"/>
          <w:szCs w:val="20"/>
          <w:lang w:eastAsia="cs-CZ"/>
        </w:rPr>
        <w:t>495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000,- Kč bez DPH, s ohledem na to, která z uvedených skutečností nastane dříve.</w:t>
      </w:r>
    </w:p>
    <w:p w14:paraId="659E2B72" w14:textId="77777777" w:rsidR="001227A2" w:rsidRPr="00BB2C2E" w:rsidRDefault="001227A2" w:rsidP="00C95CA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72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5"/>
      <w:bookmarkStart w:id="13" w:name="_Toc358638381"/>
      <w:bookmarkStart w:id="14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2"/>
      <w:bookmarkEnd w:id="13"/>
      <w:bookmarkEnd w:id="14"/>
    </w:p>
    <w:p w14:paraId="49E7A501" w14:textId="2F6156B9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Dílčí smlouva č. </w:t>
      </w:r>
      <w:r w:rsidR="00A369C3">
        <w:rPr>
          <w:rFonts w:ascii="Arial" w:hAnsi="Arial" w:cs="Arial"/>
          <w:sz w:val="20"/>
          <w:szCs w:val="20"/>
          <w:lang w:eastAsia="en-US"/>
        </w:rPr>
        <w:t>17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</w:t>
      </w:r>
      <w:r w:rsidR="00A369C3">
        <w:rPr>
          <w:rFonts w:ascii="Arial" w:hAnsi="Arial" w:cs="Arial"/>
          <w:sz w:val="20"/>
          <w:szCs w:val="20"/>
          <w:lang w:eastAsia="en-US"/>
        </w:rPr>
        <w:t xml:space="preserve">č. 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1 nedotčena. Znění tohoto Dodatku </w:t>
      </w:r>
      <w:r w:rsidR="00A369C3">
        <w:rPr>
          <w:rFonts w:ascii="Arial" w:hAnsi="Arial" w:cs="Arial"/>
          <w:sz w:val="20"/>
          <w:szCs w:val="20"/>
          <w:lang w:eastAsia="en-US"/>
        </w:rPr>
        <w:t xml:space="preserve">č. 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1 </w:t>
      </w:r>
      <w:proofErr w:type="gramStart"/>
      <w:r w:rsidRPr="000D39C8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0D39C8">
        <w:rPr>
          <w:rFonts w:ascii="Arial" w:hAnsi="Arial" w:cs="Arial"/>
          <w:sz w:val="20"/>
          <w:szCs w:val="20"/>
          <w:lang w:eastAsia="en-US"/>
        </w:rPr>
        <w:t xml:space="preserve"> úplnou dohodu Smluvních stran o předmětu a rozsahu změny Dílčí smlouvy č. </w:t>
      </w:r>
      <w:r w:rsidR="00A369C3">
        <w:rPr>
          <w:rFonts w:ascii="Arial" w:hAnsi="Arial" w:cs="Arial"/>
          <w:sz w:val="20"/>
          <w:szCs w:val="20"/>
          <w:lang w:eastAsia="en-US"/>
        </w:rPr>
        <w:t>17</w:t>
      </w:r>
      <w:r w:rsidRPr="000D39C8">
        <w:rPr>
          <w:rFonts w:ascii="Arial" w:hAnsi="Arial" w:cs="Arial"/>
          <w:sz w:val="20"/>
          <w:szCs w:val="20"/>
          <w:lang w:eastAsia="en-US"/>
        </w:rPr>
        <w:t>.</w:t>
      </w:r>
    </w:p>
    <w:p w14:paraId="02207958" w14:textId="2D6EDA62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Tento Dodatek 1 je uzavírán v souladu s § 222 odst. </w:t>
      </w:r>
      <w:r>
        <w:rPr>
          <w:rFonts w:ascii="Arial" w:hAnsi="Arial" w:cs="Arial"/>
          <w:sz w:val="20"/>
          <w:szCs w:val="20"/>
          <w:lang w:eastAsia="en-US"/>
        </w:rPr>
        <w:t xml:space="preserve">3 ZZVZ </w:t>
      </w:r>
      <w:r w:rsidRPr="000D39C8">
        <w:rPr>
          <w:rFonts w:ascii="Arial" w:hAnsi="Arial" w:cs="Arial"/>
          <w:sz w:val="20"/>
          <w:szCs w:val="20"/>
          <w:lang w:eastAsia="en-US"/>
        </w:rPr>
        <w:t>s tím, že uzavření tohoto Dodatku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D39C8">
        <w:rPr>
          <w:rFonts w:ascii="Arial" w:hAnsi="Arial" w:cs="Arial"/>
          <w:sz w:val="20"/>
          <w:szCs w:val="20"/>
          <w:lang w:eastAsia="en-US"/>
        </w:rPr>
        <w:t>1 není podstatnou změn</w:t>
      </w:r>
      <w:r>
        <w:rPr>
          <w:rFonts w:ascii="Arial" w:hAnsi="Arial" w:cs="Arial"/>
          <w:sz w:val="20"/>
          <w:szCs w:val="20"/>
          <w:lang w:eastAsia="en-US"/>
        </w:rPr>
        <w:t>o</w:t>
      </w:r>
      <w:r w:rsidRPr="000D39C8">
        <w:rPr>
          <w:rFonts w:ascii="Arial" w:hAnsi="Arial" w:cs="Arial"/>
          <w:sz w:val="20"/>
          <w:szCs w:val="20"/>
          <w:lang w:eastAsia="en-US"/>
        </w:rPr>
        <w:t>u závazku ze smlouvy ve smyslu ZZVZ.</w:t>
      </w:r>
    </w:p>
    <w:p w14:paraId="32DBDC0B" w14:textId="67E01BA8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</w:rPr>
        <w:t xml:space="preserve">Tento Dodatek </w:t>
      </w:r>
      <w:r w:rsidR="00A369C3">
        <w:rPr>
          <w:rFonts w:ascii="Arial" w:hAnsi="Arial" w:cs="Arial"/>
          <w:sz w:val="20"/>
          <w:szCs w:val="20"/>
        </w:rPr>
        <w:t xml:space="preserve">č. </w:t>
      </w:r>
      <w:r w:rsidRPr="000D39C8">
        <w:rPr>
          <w:rFonts w:ascii="Arial" w:hAnsi="Arial" w:cs="Arial"/>
          <w:sz w:val="20"/>
          <w:szCs w:val="20"/>
        </w:rPr>
        <w:t xml:space="preserve">1 nabývá platnosti dnem jeho podpisu oběma Smluvními stranami a účinnosti </w:t>
      </w:r>
      <w:r w:rsidRPr="000D39C8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smluv), ve znění pozdějších předpisů</w:t>
      </w:r>
      <w:r w:rsidRPr="000D39C8">
        <w:rPr>
          <w:rFonts w:ascii="Arial" w:hAnsi="Arial" w:cs="Arial"/>
          <w:sz w:val="20"/>
          <w:szCs w:val="20"/>
        </w:rPr>
        <w:t>.</w:t>
      </w:r>
    </w:p>
    <w:p w14:paraId="379558E2" w14:textId="7A34F0CE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 xml:space="preserve">Tento Dodatek </w:t>
      </w:r>
      <w:r w:rsidR="00A369C3">
        <w:rPr>
          <w:rFonts w:ascii="Arial" w:hAnsi="Arial" w:cs="Arial"/>
          <w:sz w:val="20"/>
          <w:szCs w:val="20"/>
        </w:rPr>
        <w:t xml:space="preserve">č. </w:t>
      </w:r>
      <w:r w:rsidRPr="000D39C8">
        <w:rPr>
          <w:rFonts w:ascii="Arial" w:hAnsi="Arial" w:cs="Arial"/>
          <w:sz w:val="20"/>
          <w:szCs w:val="20"/>
        </w:rPr>
        <w:t>1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77F9A22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54907DB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0DBF3FFE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5FFCD324" w14:textId="77777777" w:rsidR="00A369C3" w:rsidRDefault="00A369C3">
      <w:pPr>
        <w:spacing w:after="0" w:line="240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sz w:val="20"/>
          <w:szCs w:val="16"/>
        </w:rPr>
        <w:br w:type="page"/>
      </w:r>
    </w:p>
    <w:p w14:paraId="7D06A83F" w14:textId="2A7184B5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0D39C8">
        <w:rPr>
          <w:rFonts w:ascii="Arial" w:hAnsi="Arial" w:cs="Arial"/>
          <w:sz w:val="20"/>
          <w:szCs w:val="16"/>
        </w:rPr>
        <w:lastRenderedPageBreak/>
        <w:t xml:space="preserve">Smluvní strany prohlašují, že si tento Dodatek </w:t>
      </w:r>
      <w:r w:rsidR="00A369C3">
        <w:rPr>
          <w:rFonts w:ascii="Arial" w:hAnsi="Arial" w:cs="Arial"/>
          <w:sz w:val="20"/>
          <w:szCs w:val="16"/>
        </w:rPr>
        <w:t xml:space="preserve">č. </w:t>
      </w:r>
      <w:r w:rsidRPr="000D39C8">
        <w:rPr>
          <w:rFonts w:ascii="Arial" w:hAnsi="Arial" w:cs="Arial"/>
          <w:sz w:val="20"/>
          <w:szCs w:val="16"/>
        </w:rPr>
        <w:t>1 přečetly, že s jeho obsahem souhlasí a na důkaz toho k němu připojují svoje podpisy.</w:t>
      </w:r>
    </w:p>
    <w:p w14:paraId="3659BB64" w14:textId="71B0E509" w:rsidR="00C107E2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8F022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77777777" w:rsidR="008C47FF" w:rsidRPr="00EA1303" w:rsidRDefault="008C47FF" w:rsidP="008C47FF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28B4A229" w14:textId="13C2514E" w:rsidR="008C47FF" w:rsidRPr="00BB2C2E" w:rsidRDefault="008C47FF" w:rsidP="008C47F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3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4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 w:numId="56" w16cid:durableId="1102840408">
    <w:abstractNumId w:val="22"/>
  </w:num>
  <w:num w:numId="57" w16cid:durableId="776951663">
    <w:abstractNumId w:val="22"/>
  </w:num>
  <w:num w:numId="58" w16cid:durableId="674844911">
    <w:abstractNumId w:val="52"/>
  </w:num>
  <w:num w:numId="59" w16cid:durableId="315182697">
    <w:abstractNumId w:val="22"/>
  </w:num>
  <w:num w:numId="60" w16cid:durableId="927422221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2D2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5CB9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22D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69C3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5CA0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79F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34</cp:revision>
  <cp:lastPrinted>2022-10-20T09:07:00Z</cp:lastPrinted>
  <dcterms:created xsi:type="dcterms:W3CDTF">2022-10-18T09:43:00Z</dcterms:created>
  <dcterms:modified xsi:type="dcterms:W3CDTF">2024-12-19T09:07:00Z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