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511AC788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DE0428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DE0428" w:rsidRPr="00F67CAC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F67CAC">
        <w:rPr>
          <w:rFonts w:ascii="Palatino Linotype" w:hAnsi="Palatino Linotype" w:cs="Tahoma"/>
          <w:b/>
          <w:sz w:val="28"/>
          <w:szCs w:val="28"/>
          <w:lang w:eastAsia="cs-CZ"/>
        </w:rPr>
        <w:t>7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>ve znění pozdějších předpisů (dále jen „</w:t>
      </w:r>
      <w:r w:rsidR="001118FF" w:rsidRPr="00F67CAC">
        <w:rPr>
          <w:b/>
          <w:i/>
          <w:iCs/>
        </w:rPr>
        <w:t>ZZVZ</w:t>
      </w:r>
      <w:r w:rsidR="001118FF" w:rsidRPr="00C87458">
        <w:t>“)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2F2D4FFB" w14:textId="77777777" w:rsidR="00F67CAC" w:rsidRPr="00F67CAC" w:rsidRDefault="00F67CAC" w:rsidP="00F67CAC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Cs/>
          <w:color w:val="000000"/>
          <w:sz w:val="28"/>
          <w:szCs w:val="28"/>
        </w:rPr>
      </w:pPr>
      <w:r w:rsidRPr="00F67CAC">
        <w:rPr>
          <w:rFonts w:ascii="Palatino Linotype" w:hAnsi="Palatino Linotype"/>
          <w:b/>
          <w:bCs/>
          <w:color w:val="000000"/>
          <w:sz w:val="28"/>
          <w:szCs w:val="28"/>
        </w:rPr>
        <w:t>Dodávky v oblasti rozvoje KSI a WAN MPSV – NOVÁ WAN</w:t>
      </w:r>
    </w:p>
    <w:p w14:paraId="7D529815" w14:textId="6A63E134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4C37C2F" w14:textId="2A7FC6F4" w:rsidR="00F67CAC" w:rsidRDefault="00F67CA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3005B1B" w14:textId="77777777" w:rsidR="00F67CAC" w:rsidRPr="006477BC" w:rsidRDefault="00F67CA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Cs w:val="24"/>
        </w:rPr>
      </w:pPr>
    </w:p>
    <w:p w14:paraId="50035C46" w14:textId="4353D8E6" w:rsidR="006477BC" w:rsidRDefault="006477BC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Cs w:val="24"/>
          <w:lang w:eastAsia="cs-CZ"/>
        </w:rPr>
      </w:pPr>
      <w:r w:rsidRPr="006477BC">
        <w:rPr>
          <w:rFonts w:ascii="Palatino Linotype" w:hAnsi="Palatino Linotype"/>
          <w:b/>
          <w:bCs/>
          <w:color w:val="000000"/>
          <w:szCs w:val="24"/>
        </w:rPr>
        <w:t>Náhrada nepodporovaných směrovačů ve WAN a rozšíření SD WAN - dodávka</w:t>
      </w:r>
      <w:r w:rsidRPr="006477BC">
        <w:rPr>
          <w:rFonts w:ascii="Palatino Linotype" w:hAnsi="Palatino Linotype" w:cs="Tahoma"/>
          <w:b/>
          <w:szCs w:val="24"/>
          <w:lang w:eastAsia="cs-CZ"/>
        </w:rPr>
        <w:t xml:space="preserve"> </w:t>
      </w:r>
    </w:p>
    <w:p w14:paraId="02B4D83C" w14:textId="6ED81FC1" w:rsidR="006477BC" w:rsidRDefault="006477BC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Cs w:val="24"/>
          <w:lang w:eastAsia="cs-CZ"/>
        </w:rPr>
      </w:pPr>
    </w:p>
    <w:p w14:paraId="74472486" w14:textId="685131B9" w:rsidR="006477BC" w:rsidRDefault="006477BC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Cs w:val="24"/>
          <w:lang w:eastAsia="cs-CZ"/>
        </w:rPr>
      </w:pPr>
    </w:p>
    <w:p w14:paraId="0DED6897" w14:textId="77777777" w:rsidR="006477BC" w:rsidRPr="006477BC" w:rsidRDefault="006477BC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Cs w:val="24"/>
          <w:lang w:eastAsia="cs-CZ"/>
        </w:rPr>
      </w:pPr>
    </w:p>
    <w:p w14:paraId="5718A193" w14:textId="071F1F60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DE0428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DE0428" w:rsidRPr="00DE0428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F67CAC">
        <w:rPr>
          <w:rFonts w:ascii="Palatino Linotype" w:hAnsi="Palatino Linotype" w:cs="Tahoma"/>
          <w:b/>
          <w:sz w:val="22"/>
          <w:szCs w:val="28"/>
          <w:lang w:eastAsia="cs-CZ"/>
        </w:rPr>
        <w:t>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F543630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D77C21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78537EB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631481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1BA8505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231EB7E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67D22F49" w:rsidR="00611918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56CF9D6" w14:textId="77777777" w:rsidR="006477BC" w:rsidRPr="00FB009D" w:rsidRDefault="006477BC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5C5BA3F5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Smluvní strany, vědomy si svých závazků v této Prováděcí smlouvě</w:t>
      </w:r>
      <w:r w:rsidR="00F67CAC">
        <w:rPr>
          <w:rFonts w:ascii="Palatino Linotype" w:hAnsi="Palatino Linotype" w:cs="Arial"/>
          <w:sz w:val="22"/>
          <w:szCs w:val="22"/>
        </w:rPr>
        <w:t xml:space="preserve"> PS 2024-07</w:t>
      </w:r>
      <w:r w:rsidRPr="00DA172E">
        <w:rPr>
          <w:rFonts w:ascii="Palatino Linotype" w:hAnsi="Palatino Linotype" w:cs="Arial"/>
          <w:sz w:val="22"/>
          <w:szCs w:val="22"/>
        </w:rPr>
        <w:t xml:space="preserve"> obsažených a s úmyslem být touto Prováděcí smlouvou </w:t>
      </w:r>
      <w:r w:rsidR="00F67CAC">
        <w:rPr>
          <w:rFonts w:ascii="Palatino Linotype" w:hAnsi="Palatino Linotype" w:cs="Arial"/>
          <w:sz w:val="22"/>
          <w:szCs w:val="22"/>
        </w:rPr>
        <w:t xml:space="preserve">PS 2024-07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F67CAC">
        <w:rPr>
          <w:rFonts w:ascii="Palatino Linotype" w:hAnsi="Palatino Linotype" w:cs="Arial"/>
          <w:sz w:val="22"/>
          <w:szCs w:val="22"/>
        </w:rPr>
        <w:t xml:space="preserve"> PS 2024-07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0CD9B63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DE0428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DE0428" w:rsidRPr="00F67CAC">
        <w:rPr>
          <w:rFonts w:ascii="Palatino Linotype" w:hAnsi="Palatino Linotype" w:cs="Arial"/>
          <w:sz w:val="22"/>
          <w:szCs w:val="22"/>
        </w:rPr>
        <w:t>0</w:t>
      </w:r>
      <w:r w:rsidR="00F67CAC">
        <w:rPr>
          <w:rFonts w:ascii="Palatino Linotype" w:hAnsi="Palatino Linotype" w:cs="Arial"/>
          <w:sz w:val="22"/>
          <w:szCs w:val="22"/>
        </w:rPr>
        <w:t>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ED4C74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D77C21">
        <w:rPr>
          <w:rFonts w:ascii="Palatino Linotype" w:hAnsi="Palatino Linotype" w:cs="Arial"/>
          <w:sz w:val="22"/>
          <w:szCs w:val="22"/>
        </w:rPr>
        <w:t xml:space="preserve">, </w:t>
      </w:r>
      <w:r w:rsidR="00AD329E" w:rsidRPr="00AD329E">
        <w:rPr>
          <w:rFonts w:ascii="Palatino Linotype" w:hAnsi="Palatino Linotype" w:cs="Arial"/>
          <w:sz w:val="22"/>
          <w:szCs w:val="22"/>
        </w:rPr>
        <w:t>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C34045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D77C21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57308CBB" w14:textId="77777777" w:rsidR="00ED4C74" w:rsidRDefault="00ED4C7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2DC89810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08739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296DC69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D77C21">
        <w:rPr>
          <w:rFonts w:ascii="Palatino Linotype" w:hAnsi="Palatino Linotype" w:cs="Arial"/>
          <w:sz w:val="22"/>
          <w:szCs w:val="22"/>
        </w:rPr>
        <w:t>,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67ADF2F7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 xml:space="preserve">nejpozději </w:t>
      </w:r>
      <w:r w:rsidRPr="00DE0428">
        <w:rPr>
          <w:rFonts w:ascii="Palatino Linotype" w:hAnsi="Palatino Linotype" w:cs="Arial"/>
          <w:sz w:val="22"/>
          <w:szCs w:val="22"/>
        </w:rPr>
        <w:t>do</w:t>
      </w:r>
      <w:r w:rsidR="00A25B89" w:rsidRPr="00DE0428">
        <w:rPr>
          <w:rFonts w:ascii="Palatino Linotype" w:hAnsi="Palatino Linotype" w:cs="Arial"/>
          <w:sz w:val="22"/>
          <w:szCs w:val="22"/>
        </w:rPr>
        <w:t xml:space="preserve"> </w:t>
      </w:r>
      <w:r w:rsidR="006477BC" w:rsidRPr="006477BC">
        <w:rPr>
          <w:rFonts w:ascii="Palatino Linotype" w:hAnsi="Palatino Linotype" w:cs="Arial"/>
          <w:sz w:val="22"/>
          <w:szCs w:val="22"/>
        </w:rPr>
        <w:t>2</w:t>
      </w:r>
      <w:r w:rsidR="00995569">
        <w:rPr>
          <w:rFonts w:ascii="Palatino Linotype" w:hAnsi="Palatino Linotype" w:cs="Arial"/>
          <w:sz w:val="22"/>
          <w:szCs w:val="22"/>
        </w:rPr>
        <w:t>7</w:t>
      </w:r>
      <w:r w:rsidR="00A25B89" w:rsidRPr="006477BC">
        <w:rPr>
          <w:rFonts w:ascii="Palatino Linotype" w:hAnsi="Palatino Linotype" w:cs="Arial"/>
          <w:sz w:val="22"/>
          <w:szCs w:val="22"/>
        </w:rPr>
        <w:t>.</w:t>
      </w:r>
      <w:r w:rsidR="001118FF" w:rsidRPr="006477BC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6477BC">
        <w:rPr>
          <w:rFonts w:ascii="Palatino Linotype" w:hAnsi="Palatino Linotype" w:cs="Arial"/>
          <w:sz w:val="22"/>
          <w:szCs w:val="22"/>
        </w:rPr>
        <w:t>12.</w:t>
      </w:r>
      <w:r w:rsidR="001118FF" w:rsidRPr="006477BC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6477BC">
        <w:rPr>
          <w:rFonts w:ascii="Palatino Linotype" w:hAnsi="Palatino Linotype" w:cs="Arial"/>
          <w:sz w:val="22"/>
          <w:szCs w:val="22"/>
        </w:rPr>
        <w:t>202</w:t>
      </w:r>
      <w:r w:rsidR="00D77C21" w:rsidRPr="006477BC">
        <w:rPr>
          <w:rFonts w:ascii="Palatino Linotype" w:hAnsi="Palatino Linotype" w:cs="Arial"/>
          <w:sz w:val="22"/>
          <w:szCs w:val="22"/>
        </w:rPr>
        <w:t>4</w:t>
      </w:r>
      <w:r w:rsidR="0015799C" w:rsidRPr="006477BC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5782E76D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D77C21">
        <w:rPr>
          <w:rFonts w:ascii="Palatino Linotype" w:hAnsi="Palatino Linotype" w:cs="Arial"/>
          <w:sz w:val="22"/>
          <w:szCs w:val="22"/>
        </w:rPr>
        <w:t xml:space="preserve">strany se dohodly na celkové ceně za plnění dle této Prováděcí smlouvy ve výši </w:t>
      </w:r>
      <w:r w:rsidR="00B619E5">
        <w:rPr>
          <w:rFonts w:ascii="Palatino Linotype" w:hAnsi="Palatino Linotype" w:cs="Arial"/>
          <w:sz w:val="22"/>
          <w:szCs w:val="22"/>
        </w:rPr>
        <w:t>4.042.300</w:t>
      </w:r>
      <w:r w:rsidR="00D77C21">
        <w:rPr>
          <w:rFonts w:ascii="Palatino Linotype" w:hAnsi="Palatino Linotype" w:cs="Arial"/>
          <w:sz w:val="22"/>
          <w:szCs w:val="22"/>
        </w:rPr>
        <w:t xml:space="preserve">,- Kč (slovy: </w:t>
      </w:r>
      <w:r w:rsidR="00B619E5" w:rsidRPr="00B619E5">
        <w:rPr>
          <w:rFonts w:ascii="Palatino Linotype" w:hAnsi="Palatino Linotype" w:cs="Arial"/>
          <w:sz w:val="22"/>
          <w:szCs w:val="22"/>
        </w:rPr>
        <w:t>čtyři miliony čtyřicet dva tisíc tři sta korun českých</w:t>
      </w:r>
      <w:r w:rsidR="008C3615">
        <w:rPr>
          <w:rFonts w:ascii="Palatino Linotype" w:hAnsi="Palatino Linotype" w:cs="Arial"/>
          <w:sz w:val="22"/>
          <w:szCs w:val="22"/>
        </w:rPr>
        <w:t xml:space="preserve">) </w:t>
      </w:r>
      <w:r w:rsidR="00D77C21">
        <w:rPr>
          <w:rFonts w:ascii="Palatino Linotype" w:hAnsi="Palatino Linotype" w:cs="Arial"/>
          <w:sz w:val="22"/>
          <w:szCs w:val="22"/>
        </w:rPr>
        <w:t xml:space="preserve">bez DPH, což činí </w:t>
      </w:r>
      <w:r w:rsidR="00B619E5">
        <w:rPr>
          <w:rFonts w:ascii="Palatino Linotype" w:hAnsi="Palatino Linotype" w:cs="Arial"/>
          <w:sz w:val="22"/>
          <w:szCs w:val="22"/>
        </w:rPr>
        <w:t>4.891.183,-</w:t>
      </w:r>
      <w:r w:rsidR="00D77C21">
        <w:rPr>
          <w:rFonts w:ascii="Palatino Linotype" w:hAnsi="Palatino Linotype" w:cs="Arial"/>
          <w:sz w:val="22"/>
          <w:szCs w:val="22"/>
        </w:rPr>
        <w:t xml:space="preserve"> Kč (slovy: </w:t>
      </w:r>
      <w:r w:rsidR="00B619E5" w:rsidRPr="00B619E5">
        <w:rPr>
          <w:rFonts w:ascii="Palatino Linotype" w:hAnsi="Palatino Linotype" w:cs="Arial"/>
          <w:sz w:val="22"/>
          <w:szCs w:val="22"/>
        </w:rPr>
        <w:t>čtyři miliony osm set devadesát jedna tisíc jedno sto osmdesát tři korun českých</w:t>
      </w:r>
      <w:r w:rsidR="00D77C21">
        <w:rPr>
          <w:rFonts w:ascii="Palatino Linotype" w:hAnsi="Palatino Linotype" w:cs="Arial"/>
          <w:sz w:val="22"/>
          <w:szCs w:val="22"/>
        </w:rPr>
        <w:t>) včetně DPH. Rozpad ceny plnění je uveden v příloze č. 2 této Prováděcí smlouvy – Cenová specifikace a v příloze č. 3 této Prováděcí smlouvy – Detailní rozpis dodávky</w:t>
      </w:r>
      <w:r w:rsidR="00E7176B">
        <w:rPr>
          <w:rFonts w:ascii="Palatino Linotype" w:hAnsi="Palatino Linotype" w:cs="Arial"/>
          <w:sz w:val="22"/>
          <w:szCs w:val="22"/>
        </w:rPr>
        <w:t>.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</w:t>
      </w:r>
    </w:p>
    <w:p w14:paraId="5F2F5E2F" w14:textId="64A8BCC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ED4C74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 xml:space="preserve">případě změny sazby DPH je Dodavatel povinen k ceně bez DPH účtovat DPH </w:t>
      </w:r>
      <w:r w:rsidRPr="00943336">
        <w:rPr>
          <w:rFonts w:ascii="Palatino Linotype" w:hAnsi="Palatino Linotype" w:cs="Arial"/>
          <w:sz w:val="22"/>
          <w:szCs w:val="22"/>
        </w:rPr>
        <w:lastRenderedPageBreak/>
        <w:t>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5BCAE21C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7113E9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7113E9">
        <w:rPr>
          <w:rFonts w:ascii="Palatino Linotype" w:hAnsi="Palatino Linotype" w:cs="Arial"/>
          <w:sz w:val="22"/>
          <w:szCs w:val="22"/>
        </w:rPr>
        <w:t xml:space="preserve"> při splnění</w:t>
      </w:r>
      <w:r w:rsidRPr="00116327">
        <w:rPr>
          <w:rFonts w:ascii="Palatino Linotype" w:hAnsi="Palatino Linotype" w:cs="Arial"/>
          <w:sz w:val="22"/>
          <w:szCs w:val="22"/>
        </w:rPr>
        <w:t xml:space="preserve"> 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9D46A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1AF395B8" w14:textId="77777777" w:rsidR="00ED4C74" w:rsidRDefault="00ED4C7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5" w:name="_Hlk128134466"/>
      <w:r>
        <w:rPr>
          <w:rFonts w:ascii="Palatino Linotype" w:hAnsi="Palatino Linotype" w:cs="Arial"/>
          <w:sz w:val="22"/>
          <w:szCs w:val="22"/>
        </w:rPr>
        <w:br w:type="page"/>
      </w:r>
    </w:p>
    <w:p w14:paraId="5BDEB9C7" w14:textId="293CC238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007189">
        <w:rPr>
          <w:rFonts w:ascii="Palatino Linotype" w:hAnsi="Palatino Linotype" w:cs="Arial"/>
          <w:sz w:val="22"/>
          <w:szCs w:val="22"/>
        </w:rPr>
        <w:lastRenderedPageBreak/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7113E9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5F69C911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ED4C74" w:rsidRPr="00170E44">
        <w:rPr>
          <w:rFonts w:ascii="Palatino Linotype" w:hAnsi="Palatino Linotype" w:cs="Arial"/>
          <w:sz w:val="22"/>
          <w:szCs w:val="22"/>
        </w:rPr>
        <w:t xml:space="preserve">Smluvní strany se dohodly, že v případě změny </w:t>
      </w:r>
      <w:r w:rsidR="00ED4C74">
        <w:rPr>
          <w:rFonts w:ascii="Palatino Linotype" w:hAnsi="Palatino Linotype" w:cs="Arial"/>
          <w:sz w:val="22"/>
          <w:szCs w:val="22"/>
        </w:rPr>
        <w:t>kontaktních osob</w:t>
      </w:r>
      <w:r w:rsidR="00ED4C74" w:rsidRPr="00170E44">
        <w:rPr>
          <w:rFonts w:ascii="Palatino Linotype" w:hAnsi="Palatino Linotype" w:cs="Arial"/>
          <w:sz w:val="22"/>
          <w:szCs w:val="22"/>
        </w:rPr>
        <w:t xml:space="preserve">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A6F7E21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ED4C74">
        <w:rPr>
          <w:rFonts w:ascii="Palatino Linotype" w:hAnsi="Palatino Linotype" w:cs="Arial"/>
          <w:sz w:val="22"/>
          <w:szCs w:val="22"/>
        </w:rPr>
        <w:t>mluvní s</w:t>
      </w:r>
      <w:r w:rsidRPr="00DA172E">
        <w:rPr>
          <w:rFonts w:ascii="Palatino Linotype" w:hAnsi="Palatino Linotype" w:cs="Arial"/>
          <w:sz w:val="22"/>
          <w:szCs w:val="22"/>
        </w:rPr>
        <w:t xml:space="preserve">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683D60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7113E9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</w:t>
      </w:r>
      <w:r w:rsidR="00715263">
        <w:rPr>
          <w:rFonts w:ascii="Palatino Linotype" w:hAnsi="Palatino Linotype" w:cs="Arial"/>
          <w:sz w:val="22"/>
          <w:szCs w:val="22"/>
        </w:rPr>
        <w:br/>
      </w:r>
      <w:r>
        <w:rPr>
          <w:rFonts w:ascii="Palatino Linotype" w:hAnsi="Palatino Linotype" w:cs="Arial"/>
          <w:sz w:val="22"/>
          <w:szCs w:val="22"/>
        </w:rPr>
        <w:t xml:space="preserve">o registru smluv. </w:t>
      </w:r>
    </w:p>
    <w:p w14:paraId="420929A6" w14:textId="5B4E27C1" w:rsidR="00A25B89" w:rsidRDefault="00A25B89" w:rsidP="00A25B8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3860178F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597491E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54628F4E" w14:textId="680F2E27" w:rsidR="006C6379" w:rsidRDefault="006C6379" w:rsidP="006C637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>
        <w:rPr>
          <w:rFonts w:ascii="Palatino Linotype" w:hAnsi="Palatino Linotype"/>
          <w:sz w:val="22"/>
          <w:szCs w:val="22"/>
          <w:lang w:eastAsia="cs-CZ"/>
        </w:rPr>
        <w:t>Příloha č. 3</w:t>
      </w: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Detailní rozpis dodávky</w:t>
      </w:r>
    </w:p>
    <w:p w14:paraId="1E6CF587" w14:textId="77777777" w:rsidR="000A294F" w:rsidRPr="006C6379" w:rsidRDefault="000A294F" w:rsidP="006C6379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35EC8F41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4F40880E" w14:textId="79B059F3" w:rsidR="006477BC" w:rsidRDefault="006477BC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D77A973" w14:textId="77777777" w:rsidR="006477BC" w:rsidRPr="000A294F" w:rsidRDefault="006477BC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1DB9F85E" w14:textId="0279DEC8" w:rsidR="00331174" w:rsidRPr="00331174" w:rsidRDefault="00331174" w:rsidP="006477BC">
      <w:pPr>
        <w:spacing w:before="120"/>
        <w:rPr>
          <w:rFonts w:ascii="Palatino Linotype" w:hAnsi="Palatino Linotype" w:cs="Arial"/>
          <w:sz w:val="22"/>
          <w:szCs w:val="22"/>
        </w:rPr>
      </w:pPr>
    </w:p>
    <w:p w14:paraId="18644DB7" w14:textId="5B061BA8" w:rsidR="00331174" w:rsidRPr="00331174" w:rsidRDefault="00331174" w:rsidP="006477BC">
      <w:pPr>
        <w:spacing w:before="120"/>
        <w:rPr>
          <w:rFonts w:ascii="Palatino Linotype" w:hAnsi="Palatino Linotype" w:cs="Arial"/>
          <w:sz w:val="22"/>
          <w:szCs w:val="22"/>
        </w:rPr>
      </w:pPr>
    </w:p>
    <w:p w14:paraId="145FD307" w14:textId="3B2F6299" w:rsidR="00331174" w:rsidRPr="00331174" w:rsidRDefault="00331174" w:rsidP="006477BC">
      <w:pPr>
        <w:spacing w:before="120"/>
        <w:rPr>
          <w:rFonts w:ascii="Palatino Linotype" w:hAnsi="Palatino Linotype" w:cs="Arial"/>
          <w:sz w:val="22"/>
          <w:szCs w:val="22"/>
        </w:rPr>
      </w:pPr>
    </w:p>
    <w:p w14:paraId="23E6641F" w14:textId="589BB940" w:rsidR="00331174" w:rsidRPr="00331174" w:rsidRDefault="00331174" w:rsidP="006477BC">
      <w:pPr>
        <w:spacing w:before="120"/>
        <w:rPr>
          <w:rFonts w:ascii="Palatino Linotype" w:hAnsi="Palatino Linotype" w:cs="Arial"/>
          <w:sz w:val="22"/>
          <w:szCs w:val="22"/>
        </w:rPr>
      </w:pPr>
    </w:p>
    <w:p w14:paraId="691EAABB" w14:textId="77777777" w:rsidR="00331174" w:rsidRPr="00331174" w:rsidRDefault="00331174" w:rsidP="006477BC">
      <w:pPr>
        <w:spacing w:before="120"/>
        <w:rPr>
          <w:rFonts w:ascii="Palatino Linotype" w:hAnsi="Palatino Linotype" w:cs="Arial"/>
          <w:sz w:val="22"/>
          <w:szCs w:val="22"/>
        </w:rPr>
      </w:pPr>
    </w:p>
    <w:p w14:paraId="0F34B4C6" w14:textId="77777777" w:rsidR="006477BC" w:rsidRPr="00331174" w:rsidRDefault="006477BC" w:rsidP="006477BC">
      <w:pPr>
        <w:rPr>
          <w:rFonts w:ascii="Palatino Linotype" w:hAnsi="Palatino Linotype" w:cs="Arial"/>
          <w:b/>
          <w:sz w:val="22"/>
          <w:szCs w:val="22"/>
        </w:rPr>
      </w:pPr>
    </w:p>
    <w:p w14:paraId="01F3E10F" w14:textId="77777777" w:rsidR="006477BC" w:rsidRPr="00331174" w:rsidRDefault="006477BC" w:rsidP="006477BC">
      <w:pPr>
        <w:rPr>
          <w:rFonts w:ascii="Palatino Linotype" w:hAnsi="Palatino Linotype" w:cs="Arial"/>
          <w:sz w:val="22"/>
          <w:szCs w:val="22"/>
        </w:rPr>
      </w:pPr>
    </w:p>
    <w:p w14:paraId="77E7D936" w14:textId="77777777" w:rsidR="000E541D" w:rsidRPr="008A3B35" w:rsidRDefault="000E541D" w:rsidP="002A6F43">
      <w:pPr>
        <w:pStyle w:val="odrka"/>
        <w:numPr>
          <w:ilvl w:val="0"/>
          <w:numId w:val="0"/>
        </w:numPr>
        <w:spacing w:before="0"/>
        <w:rPr>
          <w:rFonts w:ascii="Palatino Linotype" w:hAnsi="Palatino Linotype" w:cs="Arial"/>
          <w:sz w:val="22"/>
          <w:szCs w:val="22"/>
        </w:rPr>
        <w:sectPr w:rsidR="000E541D" w:rsidRPr="008A3B35" w:rsidSect="00D464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26C03D8F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8065883" w14:textId="77777777" w:rsidR="00604E1C" w:rsidRDefault="00604E1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4FB26FC" w14:textId="53ADDB5D" w:rsidR="00604E1C" w:rsidRDefault="00604E1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68077EB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6E69484" w14:textId="16DC5E14" w:rsidR="00EC6FDC" w:rsidRDefault="00EC6FD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FA697D5" w14:textId="251B926F" w:rsidR="00EC6FDC" w:rsidRDefault="00EC6FD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DCD6DD0" w14:textId="3CFA94F6" w:rsidR="00EC6FDC" w:rsidRDefault="00EC6FD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D000544" w14:textId="77777777" w:rsidR="00C01EC4" w:rsidRDefault="00C01EC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  <w:sectPr w:rsidR="00C01EC4" w:rsidSect="00D464C6">
          <w:pgSz w:w="16834" w:h="11909" w:orient="landscape" w:code="9"/>
          <w:pgMar w:top="720" w:right="720" w:bottom="720" w:left="720" w:header="431" w:footer="431" w:gutter="0"/>
          <w:cols w:space="708"/>
          <w:titlePg/>
          <w:docGrid w:linePitch="326"/>
        </w:sectPr>
      </w:pPr>
    </w:p>
    <w:p w14:paraId="16285224" w14:textId="3749BA00" w:rsidR="00EC6FDC" w:rsidRDefault="00492A2A" w:rsidP="00492A2A">
      <w:pPr>
        <w:overflowPunct/>
        <w:autoSpaceDE/>
        <w:autoSpaceDN/>
        <w:adjustRightInd/>
        <w:spacing w:line="240" w:lineRule="auto"/>
        <w:ind w:right="1786"/>
        <w:jc w:val="left"/>
        <w:textAlignment w:val="auto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lastRenderedPageBreak/>
        <w:t xml:space="preserve">Příloha č. 3 </w:t>
      </w:r>
      <w:r w:rsidR="002534A3">
        <w:rPr>
          <w:rFonts w:ascii="Palatino Linotype" w:hAnsi="Palatino Linotype" w:cs="Arial"/>
          <w:b/>
          <w:szCs w:val="24"/>
        </w:rPr>
        <w:t xml:space="preserve"> </w:t>
      </w:r>
      <w:r>
        <w:rPr>
          <w:rFonts w:ascii="Palatino Linotype" w:hAnsi="Palatino Linotype" w:cs="Arial"/>
          <w:b/>
          <w:szCs w:val="24"/>
        </w:rPr>
        <w:t>Detailní rozpis dodáv</w:t>
      </w:r>
      <w:r w:rsidR="002534A3">
        <w:rPr>
          <w:rFonts w:ascii="Palatino Linotype" w:hAnsi="Palatino Linotype" w:cs="Arial"/>
          <w:b/>
          <w:szCs w:val="24"/>
        </w:rPr>
        <w:t>ky</w:t>
      </w:r>
    </w:p>
    <w:p w14:paraId="62D54BBD" w14:textId="77777777" w:rsidR="00492A2A" w:rsidRDefault="00492A2A" w:rsidP="00492A2A">
      <w:pPr>
        <w:overflowPunct/>
        <w:autoSpaceDE/>
        <w:autoSpaceDN/>
        <w:adjustRightInd/>
        <w:spacing w:line="240" w:lineRule="auto"/>
        <w:ind w:right="1786"/>
        <w:jc w:val="left"/>
        <w:textAlignment w:val="auto"/>
        <w:rPr>
          <w:rFonts w:ascii="Palatino Linotype" w:hAnsi="Palatino Linotype" w:cs="Arial"/>
          <w:b/>
          <w:szCs w:val="24"/>
        </w:rPr>
      </w:pPr>
    </w:p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540"/>
        <w:gridCol w:w="1480"/>
        <w:gridCol w:w="3580"/>
        <w:gridCol w:w="1220"/>
        <w:gridCol w:w="1620"/>
      </w:tblGrid>
      <w:tr w:rsidR="00492A2A" w:rsidRPr="00492A2A" w14:paraId="2A98E06E" w14:textId="77777777" w:rsidTr="00492A2A">
        <w:trPr>
          <w:trHeight w:val="840"/>
        </w:trPr>
        <w:tc>
          <w:tcPr>
            <w:tcW w:w="1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5CEC65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Line 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Number</w:t>
            </w:r>
            <w:proofErr w:type="spellEnd"/>
          </w:p>
        </w:tc>
        <w:tc>
          <w:tcPr>
            <w:tcW w:w="2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189CAA5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Part 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4D407DD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Smart 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Account</w:t>
            </w:r>
            <w:proofErr w:type="spellEnd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Mandatory</w:t>
            </w:r>
            <w:proofErr w:type="spellEnd"/>
          </w:p>
        </w:tc>
        <w:tc>
          <w:tcPr>
            <w:tcW w:w="3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3E28629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Description</w:t>
            </w:r>
            <w:proofErr w:type="spellEnd"/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2E5B319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Service</w:t>
            </w:r>
            <w:proofErr w:type="spellEnd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Duration</w:t>
            </w:r>
            <w:proofErr w:type="spellEnd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Months</w:t>
            </w:r>
            <w:proofErr w:type="spellEnd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69696"/>
            <w:vAlign w:val="center"/>
            <w:hideMark/>
          </w:tcPr>
          <w:p w14:paraId="7B8B506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  <w:proofErr w:type="spellEnd"/>
          </w:p>
        </w:tc>
      </w:tr>
      <w:tr w:rsidR="00492A2A" w:rsidRPr="00492A2A" w14:paraId="7C862F40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E6A16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1.0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BCB6E5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C1161X-8PLTEP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54219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98B97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ISR 1100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Dual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GE SFP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SMS/GPS EMEA &amp; 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0F61B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23B93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5357627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CF9F2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1.0.1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18E95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CON-SNT-C11618TE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BC907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CFEE13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SNTC-8X5XNBD ISR 1100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Dual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GE SFP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141AA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5086F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7BB8F5D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693EC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9B3AE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PWR-66W-AC-V2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308AF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50CD2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Supply 66 Watt AC V2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C890 and C1100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DBF2D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00047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46072DBA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BC2F6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73EE8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P-BLANK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92253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AA384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Blank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3D9CF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BC5B4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4685FD5E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C721E7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07E2F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SL-1K-8P-IPB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9C1EB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53104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IP Base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Cisco ISR 1120 and 1160 8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Ports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A507D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2A302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61994F42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55D7A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3E75E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CAB-ACE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3E427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897CE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AC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Europe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), C13, CEE 7, 1.5M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89271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ACBB4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07110AA9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182873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78A4CE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GREEN-OPTION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B61B4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41644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Eco-friendly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Ship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only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cables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only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B20BA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7607A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539995E5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D2994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4F5F9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SISR1100UK9-176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12BDB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0495C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ISR1100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IOS XE - UNIVERSAL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1F2E90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E1B2E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511A3905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1858B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2.0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0F6AB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L-DNA-TIER-ADD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7E0EA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05EA0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Subscription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Routing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and SD-WAN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EFC6A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A5437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5C36661C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0A5A4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35E0A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IOSXE-CTRL-MODE-PF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F873E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83742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IOS XE SD-WAN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boot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up mode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Unified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image 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Opt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0CEDE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10F93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495C6DA2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F82EE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2CB2A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DNA-P-T1-A-3Y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CF97B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FC7E3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On-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Lic 3Y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upto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200M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Aggr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, 400M)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D83781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A328A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085699D4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E6B23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F19E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DSTACK-T1-A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A1A8E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DA8F8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Stack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upto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200M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Aggr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, 400M)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C0D21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4857A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7D6CB80C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58016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3BA14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SDWAN-UMB-ADV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A6927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4E5E4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Umbrella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483FC0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6936E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0825EBD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DDAD0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43CB5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SDWAN-ONPREM-PF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DDCF9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71595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SDWAN On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Option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7CA8F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46A96C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1209AEDB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D5516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A09C0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TE-EMBED-WANI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8EC0E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8B9AF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ThousandEyes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WAN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Insights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Embedded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C4B3E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37356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246D837C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85BEA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EF13B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C1100-8P-DNA-PF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D4E6B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A2F48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ISR1100 8-Port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Platform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Selection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DNA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8B01C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CF43E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155C4F76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5A023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13CD7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FL-1100-8P-HSEC-L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BE7E7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06571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IPSEC HSEC 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Cisco ISR 1100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4838F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BD4DB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7C5C05D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6128C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65212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SL-1100-8P-NA-A-L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B568A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37C8AD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ISR1100 8 Port Network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Stack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7081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2F083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58CD8A4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5908B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2.10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AFEE7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DNA-HSEC-UPGD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5CBFB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033EA5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U.S. Export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Restriction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Compliance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all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ISRs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B2903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53115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276609BA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3EA4C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lastRenderedPageBreak/>
              <w:t>2.11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45329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SVS-PDNA-ADV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B3078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3487C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Embedded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Support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SW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Tiered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On-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48DC6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3CBE8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492A2A" w:rsidRPr="00492A2A" w14:paraId="18E88080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8FDF6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3.0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79C95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C1121X-8PLTEP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D2E939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E087C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ISR 1100X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Dual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GE SFP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SMS/GPS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C5D68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C3CEF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59613ADA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6780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3.0.1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869F7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CON-SNT-C11218LE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A0A80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5A911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SNTC-8X5XNBD ISR 1100X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Dual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GE SFP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7D386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EAD7A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76FEC1D0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1B94C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27C9D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PWR-66W-AC-V2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765F3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2FE7B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Supply 66 Watt AC V2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C890 and C1100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D8774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64899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36760C02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5E3A9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FB117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P-BLANK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D9F52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9F64E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Blank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Pluggable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EE326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0F8BE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522A818C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B7777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6F597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SL-1K-8P-IPB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C8E5E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628B26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IP Base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Cisco ISR 1120 and 1160 8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Ports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51BB7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91A31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5D908233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B8A9A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525F8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CAB-ACE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27F71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40066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AC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Cord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Europe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), C13, CEE 7, 1.5M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42625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C3F4B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102BE745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DFB75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8881A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GREEN-OPTION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E1EA3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E2E29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Eco-friendly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Ship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router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with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only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Power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cables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only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1BDE4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2B035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450A69DC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F53F13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58EEA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SISR1100UK9-176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C8F85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EC738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ISR1100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IOS XE - UNIVERSAL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19E6C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B7321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0D50F785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8C094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4.0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4C689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cs-CZ"/>
              </w:rPr>
              <w:t>L-DNA-TIER-ADD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546DF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0BC77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Subscription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Routing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and SD-WAN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1050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5B296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77E385A4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34504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F89F0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C1100-8P-DNA-PF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F9339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3D319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ISR1100 8-Port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Platform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Selection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DNA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A3A8B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8B9BC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648D7AF3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8AE3C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52402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IOSXE-CTRL-MODE-PF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74352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27948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IOS XE SD-WAN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boot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up mode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Unified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image 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Opt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79A87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13B5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3BF36FEA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B2A50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71D4D6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FL-1100-8P-HSEC-L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FEE0A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BFDF28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IPSEC HSEC 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Cisco ISR 1100 8P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Series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4E599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D0F92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6B803CBF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5192B9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91F1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DNA-P-T1-A-3Y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1963E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1B875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On-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Lic 3Y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upto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200M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Aggr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, 400M)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24D5D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2BCDB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3D8E8EE3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A765F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DFFBB3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DSTACK-T1-A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BE7BA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99CE7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Stack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upto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200M (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Aggr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, 400M)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938D0A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96AD98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56693AAA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0C7F2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77734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SL-1100-8P-NA-A-L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8D6E4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CBDEA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ISR1100 8 Port Network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Stack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2A609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C9A26E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28FE9E4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FC6A6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8A67F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DNA-HSEC-UPGD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C3C00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A9CCA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U.S. Export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Restriction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Compliance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license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all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ISRs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1C871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977838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2C2C8363" w14:textId="77777777" w:rsidTr="00492A2A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0ACC6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50779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SDWAN-UMB-ADV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09A6F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571EF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Umbrella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4C677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290EDF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20BD56D7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2B948E7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2E9AE3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SDWAN-ONPREM-PF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F8CF8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33F534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SDWAN On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Deployment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Option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6B8D3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151B1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6495854C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AB937E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21219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TE-EMBED-WANI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9D34FB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Yes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C064A3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Cisco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ThousandEyes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WAN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Insights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Embedded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5AE3D2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1E2CB14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492A2A" w:rsidRPr="00492A2A" w14:paraId="0C4770ED" w14:textId="77777777" w:rsidTr="00492A2A">
        <w:trPr>
          <w:trHeight w:val="456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2795F1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4.11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B01685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SVS-PDNA-ADV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5CA93C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7D53020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Embedded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Support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for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SW -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Tiered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 DNA 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Advantage</w:t>
            </w:r>
            <w:proofErr w:type="spellEnd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 xml:space="preserve"> On-</w:t>
            </w:r>
            <w:proofErr w:type="spellStart"/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Prem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A4007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B36C1D" w14:textId="77777777" w:rsidR="00492A2A" w:rsidRPr="00492A2A" w:rsidRDefault="00492A2A" w:rsidP="00492A2A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</w:pPr>
            <w:r w:rsidRPr="00492A2A">
              <w:rPr>
                <w:rFonts w:ascii="Helvetica" w:hAnsi="Helvetica" w:cs="Helvetica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</w:tbl>
    <w:p w14:paraId="6B2A0A58" w14:textId="77777777" w:rsidR="00492A2A" w:rsidRPr="001A52F1" w:rsidRDefault="00492A2A" w:rsidP="00492A2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492A2A" w:rsidRPr="001A52F1" w:rsidSect="00492A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5124" w14:textId="77777777" w:rsidR="00166391" w:rsidRDefault="00166391" w:rsidP="00312D44">
      <w:pPr>
        <w:spacing w:line="240" w:lineRule="auto"/>
      </w:pPr>
      <w:r>
        <w:separator/>
      </w:r>
    </w:p>
  </w:endnote>
  <w:endnote w:type="continuationSeparator" w:id="0">
    <w:p w14:paraId="1287E8C4" w14:textId="77777777" w:rsidR="00166391" w:rsidRDefault="0016639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160E" w14:textId="77777777" w:rsidR="00604E1C" w:rsidRDefault="00604E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8C3615" w:rsidRPr="00107053" w:rsidRDefault="008C3615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8C3615" w:rsidRDefault="008C36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8C3615" w:rsidRPr="00107053" w:rsidRDefault="008C3615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1E0C" w14:textId="77777777" w:rsidR="00166391" w:rsidRDefault="00166391" w:rsidP="00312D44">
      <w:pPr>
        <w:spacing w:line="240" w:lineRule="auto"/>
      </w:pPr>
      <w:r>
        <w:separator/>
      </w:r>
    </w:p>
  </w:footnote>
  <w:footnote w:type="continuationSeparator" w:id="0">
    <w:p w14:paraId="1DE399A5" w14:textId="77777777" w:rsidR="00166391" w:rsidRDefault="0016639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38E7" w14:textId="77777777" w:rsidR="00604E1C" w:rsidRDefault="00604E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567C4CAE" w:rsidR="008C3615" w:rsidRDefault="008C3615">
    <w:pPr>
      <w:pStyle w:val="Zhlav"/>
    </w:pPr>
    <w:r>
      <w:t>MPSV1</w:t>
    </w:r>
    <w:r w:rsidRPr="00DE0428">
      <w:t>.2</w:t>
    </w:r>
    <w:r>
      <w:t>4</w:t>
    </w:r>
    <w:r w:rsidRPr="00DE0428">
      <w:t>.</w:t>
    </w:r>
    <w:r w:rsidRPr="00F67CAC">
      <w:t>01</w:t>
    </w:r>
    <w:r>
      <w:t>27</w:t>
    </w:r>
    <w:r w:rsidRPr="00D55C9F">
      <w:tab/>
    </w:r>
    <w:r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8C3615" w:rsidRDefault="008C361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8C3615" w:rsidRDefault="008C36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D5D5C8B"/>
    <w:multiLevelType w:val="hybridMultilevel"/>
    <w:tmpl w:val="23CA7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65E"/>
    <w:multiLevelType w:val="hybridMultilevel"/>
    <w:tmpl w:val="DC2867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2FF923CE"/>
    <w:multiLevelType w:val="multilevel"/>
    <w:tmpl w:val="0D18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1784"/>
    <w:multiLevelType w:val="hybridMultilevel"/>
    <w:tmpl w:val="D51E5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4A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1DE4"/>
    <w:multiLevelType w:val="hybridMultilevel"/>
    <w:tmpl w:val="ED16F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640F"/>
    <w:multiLevelType w:val="hybridMultilevel"/>
    <w:tmpl w:val="D524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6FA333F"/>
    <w:multiLevelType w:val="hybridMultilevel"/>
    <w:tmpl w:val="7162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21519183">
    <w:abstractNumId w:val="6"/>
  </w:num>
  <w:num w:numId="2" w16cid:durableId="871763769">
    <w:abstractNumId w:val="9"/>
  </w:num>
  <w:num w:numId="3" w16cid:durableId="1100877488">
    <w:abstractNumId w:val="8"/>
  </w:num>
  <w:num w:numId="4" w16cid:durableId="1797790824">
    <w:abstractNumId w:val="34"/>
  </w:num>
  <w:num w:numId="5" w16cid:durableId="251165863">
    <w:abstractNumId w:val="7"/>
  </w:num>
  <w:num w:numId="6" w16cid:durableId="610815966">
    <w:abstractNumId w:val="29"/>
  </w:num>
  <w:num w:numId="7" w16cid:durableId="1861509039">
    <w:abstractNumId w:val="12"/>
  </w:num>
  <w:num w:numId="8" w16cid:durableId="378095947">
    <w:abstractNumId w:val="2"/>
  </w:num>
  <w:num w:numId="9" w16cid:durableId="1769809742">
    <w:abstractNumId w:val="18"/>
  </w:num>
  <w:num w:numId="10" w16cid:durableId="1304772096">
    <w:abstractNumId w:val="28"/>
  </w:num>
  <w:num w:numId="11" w16cid:durableId="579097687">
    <w:abstractNumId w:val="23"/>
  </w:num>
  <w:num w:numId="12" w16cid:durableId="214050404">
    <w:abstractNumId w:val="1"/>
  </w:num>
  <w:num w:numId="13" w16cid:durableId="1805846537">
    <w:abstractNumId w:val="16"/>
  </w:num>
  <w:num w:numId="14" w16cid:durableId="1270242074">
    <w:abstractNumId w:val="0"/>
  </w:num>
  <w:num w:numId="15" w16cid:durableId="2132893357">
    <w:abstractNumId w:val="31"/>
  </w:num>
  <w:num w:numId="16" w16cid:durableId="137575191">
    <w:abstractNumId w:val="11"/>
  </w:num>
  <w:num w:numId="17" w16cid:durableId="1901011931">
    <w:abstractNumId w:val="32"/>
  </w:num>
  <w:num w:numId="18" w16cid:durableId="15651420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1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1675567">
    <w:abstractNumId w:val="14"/>
  </w:num>
  <w:num w:numId="21" w16cid:durableId="326326553">
    <w:abstractNumId w:val="19"/>
  </w:num>
  <w:num w:numId="22" w16cid:durableId="1155494974">
    <w:abstractNumId w:val="26"/>
  </w:num>
  <w:num w:numId="23" w16cid:durableId="1365868104">
    <w:abstractNumId w:val="20"/>
  </w:num>
  <w:num w:numId="24" w16cid:durableId="1059984674">
    <w:abstractNumId w:val="30"/>
  </w:num>
  <w:num w:numId="25" w16cid:durableId="660548640">
    <w:abstractNumId w:val="10"/>
  </w:num>
  <w:num w:numId="26" w16cid:durableId="1602685235">
    <w:abstractNumId w:val="24"/>
  </w:num>
  <w:num w:numId="27" w16cid:durableId="135028653">
    <w:abstractNumId w:val="21"/>
  </w:num>
  <w:num w:numId="28" w16cid:durableId="166211853">
    <w:abstractNumId w:val="5"/>
  </w:num>
  <w:num w:numId="29" w16cid:durableId="383333830">
    <w:abstractNumId w:val="17"/>
  </w:num>
  <w:num w:numId="30" w16cid:durableId="908422598">
    <w:abstractNumId w:val="25"/>
  </w:num>
  <w:num w:numId="31" w16cid:durableId="181012800">
    <w:abstractNumId w:val="4"/>
  </w:num>
  <w:num w:numId="32" w16cid:durableId="1921332681">
    <w:abstractNumId w:val="3"/>
  </w:num>
  <w:num w:numId="33" w16cid:durableId="621884367">
    <w:abstractNumId w:val="33"/>
  </w:num>
  <w:num w:numId="34" w16cid:durableId="583491843">
    <w:abstractNumId w:val="27"/>
  </w:num>
  <w:num w:numId="35" w16cid:durableId="2034644515">
    <w:abstractNumId w:val="15"/>
  </w:num>
  <w:num w:numId="36" w16cid:durableId="1210848616">
    <w:abstractNumId w:val="13"/>
  </w:num>
  <w:num w:numId="37" w16cid:durableId="115606617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16894"/>
    <w:rsid w:val="00021BAE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8739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6520"/>
    <w:rsid w:val="00107C8B"/>
    <w:rsid w:val="001118FF"/>
    <w:rsid w:val="00116327"/>
    <w:rsid w:val="00124FC4"/>
    <w:rsid w:val="0012665D"/>
    <w:rsid w:val="00127F22"/>
    <w:rsid w:val="00141CCB"/>
    <w:rsid w:val="00150E13"/>
    <w:rsid w:val="00152B2F"/>
    <w:rsid w:val="0015799C"/>
    <w:rsid w:val="00166391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4A3"/>
    <w:rsid w:val="002539CE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2D94"/>
    <w:rsid w:val="002E38D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117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2A2A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2341E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6D91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4E1C"/>
    <w:rsid w:val="00605B23"/>
    <w:rsid w:val="006108BD"/>
    <w:rsid w:val="00611918"/>
    <w:rsid w:val="00620171"/>
    <w:rsid w:val="00622B1C"/>
    <w:rsid w:val="00636A13"/>
    <w:rsid w:val="00640346"/>
    <w:rsid w:val="006424E1"/>
    <w:rsid w:val="006477BC"/>
    <w:rsid w:val="00650831"/>
    <w:rsid w:val="00651CE8"/>
    <w:rsid w:val="0065294C"/>
    <w:rsid w:val="0065605A"/>
    <w:rsid w:val="00664E00"/>
    <w:rsid w:val="00671C04"/>
    <w:rsid w:val="00677C70"/>
    <w:rsid w:val="00694143"/>
    <w:rsid w:val="00695413"/>
    <w:rsid w:val="006A593A"/>
    <w:rsid w:val="006B53E8"/>
    <w:rsid w:val="006C0963"/>
    <w:rsid w:val="006C5883"/>
    <w:rsid w:val="006C6379"/>
    <w:rsid w:val="006C75D3"/>
    <w:rsid w:val="006D6E20"/>
    <w:rsid w:val="006D7971"/>
    <w:rsid w:val="006E57DC"/>
    <w:rsid w:val="00705A48"/>
    <w:rsid w:val="007113E9"/>
    <w:rsid w:val="00715263"/>
    <w:rsid w:val="007262F2"/>
    <w:rsid w:val="00737DEC"/>
    <w:rsid w:val="00743622"/>
    <w:rsid w:val="00743C10"/>
    <w:rsid w:val="0074613C"/>
    <w:rsid w:val="0075087B"/>
    <w:rsid w:val="0075396F"/>
    <w:rsid w:val="00757185"/>
    <w:rsid w:val="007620A5"/>
    <w:rsid w:val="007621CE"/>
    <w:rsid w:val="00764D9D"/>
    <w:rsid w:val="00765630"/>
    <w:rsid w:val="00771E0A"/>
    <w:rsid w:val="00772829"/>
    <w:rsid w:val="00774D94"/>
    <w:rsid w:val="00775471"/>
    <w:rsid w:val="00780997"/>
    <w:rsid w:val="007859F6"/>
    <w:rsid w:val="007871AD"/>
    <w:rsid w:val="007876A8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1702A"/>
    <w:rsid w:val="00821DB2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3615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026B1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95569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19E5"/>
    <w:rsid w:val="00B67B81"/>
    <w:rsid w:val="00B73D11"/>
    <w:rsid w:val="00B84CA1"/>
    <w:rsid w:val="00B97A70"/>
    <w:rsid w:val="00B97F25"/>
    <w:rsid w:val="00BD38F2"/>
    <w:rsid w:val="00BD55AA"/>
    <w:rsid w:val="00BF2556"/>
    <w:rsid w:val="00C01EC4"/>
    <w:rsid w:val="00C056E8"/>
    <w:rsid w:val="00C064E6"/>
    <w:rsid w:val="00C10D2C"/>
    <w:rsid w:val="00C17101"/>
    <w:rsid w:val="00C21566"/>
    <w:rsid w:val="00C25587"/>
    <w:rsid w:val="00C36C6D"/>
    <w:rsid w:val="00C40F81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C583B"/>
    <w:rsid w:val="00CD0523"/>
    <w:rsid w:val="00CD1D07"/>
    <w:rsid w:val="00CD3C5A"/>
    <w:rsid w:val="00CD719A"/>
    <w:rsid w:val="00D16E17"/>
    <w:rsid w:val="00D22CE8"/>
    <w:rsid w:val="00D366CC"/>
    <w:rsid w:val="00D416B0"/>
    <w:rsid w:val="00D464C6"/>
    <w:rsid w:val="00D46888"/>
    <w:rsid w:val="00D532D2"/>
    <w:rsid w:val="00D54E88"/>
    <w:rsid w:val="00D55C9F"/>
    <w:rsid w:val="00D638A9"/>
    <w:rsid w:val="00D71E2E"/>
    <w:rsid w:val="00D77C21"/>
    <w:rsid w:val="00DA172E"/>
    <w:rsid w:val="00DA6B16"/>
    <w:rsid w:val="00DB0A83"/>
    <w:rsid w:val="00DB3C96"/>
    <w:rsid w:val="00DC24BD"/>
    <w:rsid w:val="00DC5728"/>
    <w:rsid w:val="00DD0B33"/>
    <w:rsid w:val="00DD1799"/>
    <w:rsid w:val="00DD5566"/>
    <w:rsid w:val="00DD6394"/>
    <w:rsid w:val="00DD747E"/>
    <w:rsid w:val="00DE0428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7176B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FDC"/>
    <w:rsid w:val="00EC7F2F"/>
    <w:rsid w:val="00ED41B4"/>
    <w:rsid w:val="00ED4C74"/>
    <w:rsid w:val="00ED795E"/>
    <w:rsid w:val="00EF1D42"/>
    <w:rsid w:val="00EF4B51"/>
    <w:rsid w:val="00F02E46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67CAC"/>
    <w:rsid w:val="00F7021E"/>
    <w:rsid w:val="00F733E8"/>
    <w:rsid w:val="00FB5656"/>
    <w:rsid w:val="00FB68B2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5C4FEA82-F2B5-4B3F-B204-CF35A37B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ED4C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BE81-C066-40BB-AB58-F059A49E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2185</Words>
  <Characters>12897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Vit</dc:creator>
  <cp:keywords/>
  <dc:description/>
  <cp:lastModifiedBy>Holečková Alexandra (MPSV)</cp:lastModifiedBy>
  <cp:revision>3</cp:revision>
  <cp:lastPrinted>2023-10-09T07:13:00Z</cp:lastPrinted>
  <dcterms:created xsi:type="dcterms:W3CDTF">2024-12-27T11:10:00Z</dcterms:created>
  <dcterms:modified xsi:type="dcterms:W3CDTF">2024-12-27T11:25:00Z</dcterms:modified>
</cp:coreProperties>
</file>