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0F15" w14:textId="4A2B1F10" w:rsidR="00DC0F5A" w:rsidRDefault="00DC0F5A" w:rsidP="00E36F0D">
      <w:pPr>
        <w:rPr>
          <w:rFonts w:asciiTheme="majorHAnsi" w:hAnsiTheme="majorHAnsi" w:cstheme="majorHAnsi"/>
          <w:b/>
          <w:sz w:val="22"/>
          <w:szCs w:val="22"/>
        </w:rPr>
      </w:pPr>
      <w:r>
        <w:rPr>
          <w:rFonts w:ascii="Calibri" w:hAnsi="Calibri" w:cs="Calibri"/>
          <w:noProof/>
          <w:sz w:val="3"/>
          <w:szCs w:val="3"/>
        </w:rPr>
        <mc:AlternateContent>
          <mc:Choice Requires="wps">
            <w:drawing>
              <wp:anchor distT="0" distB="0" distL="114300" distR="114300" simplePos="0" relativeHeight="251659264" behindDoc="1" locked="0" layoutInCell="1" allowOverlap="1" wp14:anchorId="582338FC" wp14:editId="2A627C5F">
                <wp:simplePos x="0" y="0"/>
                <wp:positionH relativeFrom="column">
                  <wp:posOffset>4200525</wp:posOffset>
                </wp:positionH>
                <wp:positionV relativeFrom="paragraph">
                  <wp:posOffset>-934720</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D96D0" w14:textId="77777777" w:rsidR="00DC0F5A" w:rsidRDefault="00DC0F5A" w:rsidP="00DC0F5A">
                            <w:r>
                              <w:rPr>
                                <w:noProof/>
                              </w:rPr>
                              <w:drawing>
                                <wp:inline distT="0" distB="0" distL="0" distR="0" wp14:anchorId="0E62B826" wp14:editId="7C3F3363">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7">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6EF7923" w14:textId="77777777" w:rsidR="00DC0F5A" w:rsidRDefault="00DC0F5A" w:rsidP="00DC0F5A">
                            <w:pPr>
                              <w:spacing w:after="120"/>
                              <w:jc w:val="center"/>
                              <w:rPr>
                                <w:rFonts w:ascii="Calibri" w:hAnsi="Calibri" w:cs="Calibri"/>
                                <w:sz w:val="21"/>
                                <w:szCs w:val="21"/>
                              </w:rPr>
                            </w:pPr>
                            <w:r w:rsidRPr="00DE078D">
                              <w:rPr>
                                <w:rFonts w:ascii="Calibri" w:hAnsi="Calibri" w:cs="Calibri"/>
                                <w:sz w:val="21"/>
                                <w:szCs w:val="21"/>
                              </w:rPr>
                              <w:t>NPU1002460793</w:t>
                            </w:r>
                          </w:p>
                          <w:p w14:paraId="4C0709CF" w14:textId="77777777" w:rsidR="00DC0F5A" w:rsidRPr="00A92ACE" w:rsidRDefault="00DC0F5A" w:rsidP="00DC0F5A">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rPr>
                              <w:t>NPU-420/114570/2024</w:t>
                            </w:r>
                          </w:p>
                          <w:p w14:paraId="451018B9" w14:textId="647E4568" w:rsidR="00DC0F5A" w:rsidRDefault="00DC0F5A" w:rsidP="00CB178C">
                            <w:r>
                              <w:rPr>
                                <w:rFonts w:ascii="Calibri" w:hAnsi="Calibri" w:cs="Calibri"/>
                                <w:sz w:val="21"/>
                                <w:szCs w:val="21"/>
                              </w:rPr>
                              <w:t>WAM:</w:t>
                            </w:r>
                            <w:r w:rsidR="00CB178C">
                              <w:rPr>
                                <w:rFonts w:ascii="Calibri" w:hAnsi="Calibri" w:cs="Calibri"/>
                                <w:sz w:val="21"/>
                                <w:szCs w:val="21"/>
                              </w:rPr>
                              <w:t xml:space="preserve"> 2003J124038</w:t>
                            </w:r>
                          </w:p>
                          <w:p w14:paraId="159158D6" w14:textId="77777777" w:rsidR="00DC0F5A" w:rsidRDefault="00DC0F5A" w:rsidP="00DC0F5A">
                            <w:pPr>
                              <w:spacing w:after="120"/>
                              <w:jc w:val="center"/>
                              <w:rPr>
                                <w:rFonts w:ascii="Calibri" w:hAnsi="Calibri" w:cs="Calibri"/>
                                <w:sz w:val="21"/>
                                <w:szCs w:val="21"/>
                              </w:rPr>
                            </w:pPr>
                          </w:p>
                          <w:p w14:paraId="0409C53D" w14:textId="77777777" w:rsidR="00DC0F5A" w:rsidRDefault="00DC0F5A" w:rsidP="00DC0F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338FC" id="_x0000_t202" coordsize="21600,21600" o:spt="202" path="m,l,21600r21600,l21600,xe">
                <v:stroke joinstyle="miter"/>
                <v:path gradientshapeok="t" o:connecttype="rect"/>
              </v:shapetype>
              <v:shape id="Textové pole 11" o:spid="_x0000_s1026" type="#_x0000_t202" style="position:absolute;margin-left:330.75pt;margin-top:-73.6pt;width:163.1pt;height:13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" stroked="f">
                <v:textbox>
                  <w:txbxContent>
                    <w:p w14:paraId="43DD96D0" w14:textId="77777777" w:rsidR="00DC0F5A" w:rsidRDefault="00DC0F5A" w:rsidP="00DC0F5A">
                      <w:r>
                        <w:rPr>
                          <w:noProof/>
                        </w:rPr>
                        <w:drawing>
                          <wp:inline distT="0" distB="0" distL="0" distR="0" wp14:anchorId="0E62B826" wp14:editId="7C3F3363">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26EF7923" w14:textId="77777777" w:rsidR="00DC0F5A" w:rsidRDefault="00DC0F5A" w:rsidP="00DC0F5A">
                      <w:pPr>
                        <w:spacing w:after="120"/>
                        <w:jc w:val="center"/>
                        <w:rPr>
                          <w:rFonts w:ascii="Calibri" w:hAnsi="Calibri" w:cs="Calibri"/>
                          <w:sz w:val="21"/>
                          <w:szCs w:val="21"/>
                        </w:rPr>
                      </w:pPr>
                      <w:r w:rsidRPr="00DE078D">
                        <w:rPr>
                          <w:rFonts w:ascii="Calibri" w:hAnsi="Calibri" w:cs="Calibri"/>
                          <w:sz w:val="21"/>
                          <w:szCs w:val="21"/>
                        </w:rPr>
                        <w:t>NPU1002460793</w:t>
                      </w:r>
                    </w:p>
                    <w:p w14:paraId="4C0709CF" w14:textId="77777777" w:rsidR="00DC0F5A" w:rsidRPr="00A92ACE" w:rsidRDefault="00DC0F5A" w:rsidP="00DC0F5A">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rPr>
                        <w:t>NPU-420/114570/2024</w:t>
                      </w:r>
                    </w:p>
                    <w:p w14:paraId="451018B9" w14:textId="647E4568" w:rsidR="00DC0F5A" w:rsidRDefault="00DC0F5A" w:rsidP="00CB178C">
                      <w:r>
                        <w:rPr>
                          <w:rFonts w:ascii="Calibri" w:hAnsi="Calibri" w:cs="Calibri"/>
                          <w:sz w:val="21"/>
                          <w:szCs w:val="21"/>
                        </w:rPr>
                        <w:t>WAM:</w:t>
                      </w:r>
                      <w:r w:rsidR="00CB178C">
                        <w:rPr>
                          <w:rFonts w:ascii="Calibri" w:hAnsi="Calibri" w:cs="Calibri"/>
                          <w:sz w:val="21"/>
                          <w:szCs w:val="21"/>
                        </w:rPr>
                        <w:t xml:space="preserve"> 2003J124038</w:t>
                      </w:r>
                    </w:p>
                    <w:p w14:paraId="159158D6" w14:textId="77777777" w:rsidR="00DC0F5A" w:rsidRDefault="00DC0F5A" w:rsidP="00DC0F5A">
                      <w:pPr>
                        <w:spacing w:after="120"/>
                        <w:jc w:val="center"/>
                        <w:rPr>
                          <w:rFonts w:ascii="Calibri" w:hAnsi="Calibri" w:cs="Calibri"/>
                          <w:sz w:val="21"/>
                          <w:szCs w:val="21"/>
                        </w:rPr>
                      </w:pPr>
                    </w:p>
                    <w:p w14:paraId="0409C53D" w14:textId="77777777" w:rsidR="00DC0F5A" w:rsidRDefault="00DC0F5A" w:rsidP="00DC0F5A">
                      <w:pPr>
                        <w:jc w:val="center"/>
                      </w:pPr>
                    </w:p>
                  </w:txbxContent>
                </v:textbox>
              </v:shape>
            </w:pict>
          </mc:Fallback>
        </mc:AlternateContent>
      </w:r>
    </w:p>
    <w:p w14:paraId="47B0F58A" w14:textId="73C791A3"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b/>
          <w:sz w:val="22"/>
          <w:szCs w:val="22"/>
        </w:rPr>
        <w:t>Národní památkový ústav,</w:t>
      </w:r>
      <w:r w:rsidRPr="00E36F0D">
        <w:rPr>
          <w:rFonts w:asciiTheme="majorHAnsi" w:hAnsiTheme="majorHAnsi" w:cstheme="majorHAnsi"/>
          <w:sz w:val="22"/>
          <w:szCs w:val="22"/>
        </w:rPr>
        <w:t xml:space="preserve"> státní příspěvková organizace</w:t>
      </w:r>
    </w:p>
    <w:p w14:paraId="6AC89B2D"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IČO: 75032333, DIČ: CZ75032333,</w:t>
      </w:r>
    </w:p>
    <w:p w14:paraId="2CF60AB4"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se sídlem: Valdštejnské nám. 162/3, PSČ 118 01 Praha 1 – Malá Strana,</w:t>
      </w:r>
    </w:p>
    <w:p w14:paraId="6CEA941D" w14:textId="77777777" w:rsidR="00DC0F5A" w:rsidRPr="0030529B" w:rsidRDefault="00DC0F5A" w:rsidP="00DC0F5A">
      <w:pPr>
        <w:rPr>
          <w:rFonts w:ascii="Calibri" w:hAnsi="Calibri" w:cs="Calibri"/>
          <w:sz w:val="22"/>
          <w:szCs w:val="22"/>
        </w:rPr>
      </w:pPr>
      <w:r w:rsidRPr="0030529B">
        <w:rPr>
          <w:rFonts w:ascii="Calibri" w:hAnsi="Calibri" w:cs="Calibri"/>
          <w:sz w:val="22"/>
          <w:szCs w:val="22"/>
        </w:rPr>
        <w:t>zastoupen: PhDr. Petrem Hrubým, ředitelem územní památkové správy v Ústí nad Labem,</w:t>
      </w:r>
    </w:p>
    <w:p w14:paraId="7E410FFF" w14:textId="77777777" w:rsidR="00DC0F5A" w:rsidRPr="0030529B" w:rsidRDefault="00DC0F5A" w:rsidP="00DC0F5A">
      <w:pPr>
        <w:rPr>
          <w:rFonts w:ascii="Calibri" w:hAnsi="Calibri" w:cs="Calibri"/>
          <w:sz w:val="22"/>
          <w:szCs w:val="22"/>
        </w:rPr>
      </w:pPr>
      <w:r w:rsidRPr="0030529B">
        <w:rPr>
          <w:rFonts w:ascii="Calibri" w:hAnsi="Calibri" w:cs="Calibri"/>
          <w:sz w:val="22"/>
          <w:szCs w:val="22"/>
        </w:rPr>
        <w:t>kontaktní osoba: Ing. Lukáš Kunst, vedoucí správy hradu Karlštejn,</w:t>
      </w:r>
    </w:p>
    <w:p w14:paraId="210FA665" w14:textId="3FC88DDC" w:rsidR="00DC0F5A" w:rsidRPr="005625E5" w:rsidRDefault="00DC0F5A" w:rsidP="00DC0F5A">
      <w:pPr>
        <w:rPr>
          <w:rFonts w:ascii="Calibri" w:hAnsi="Calibri" w:cs="Calibri"/>
          <w:sz w:val="22"/>
          <w:szCs w:val="22"/>
        </w:rPr>
      </w:pPr>
      <w:r w:rsidRPr="0030529B">
        <w:rPr>
          <w:rFonts w:ascii="Calibri" w:hAnsi="Calibri" w:cs="Calibri"/>
          <w:sz w:val="22"/>
          <w:szCs w:val="22"/>
        </w:rPr>
        <w:t xml:space="preserve">bankovní spojení: Česká národní banka, č. </w:t>
      </w:r>
      <w:proofErr w:type="spellStart"/>
      <w:r w:rsidRPr="0030529B">
        <w:rPr>
          <w:rFonts w:ascii="Calibri" w:hAnsi="Calibri" w:cs="Calibri"/>
          <w:sz w:val="22"/>
          <w:szCs w:val="22"/>
        </w:rPr>
        <w:t>ú.</w:t>
      </w:r>
      <w:proofErr w:type="spellEnd"/>
      <w:r w:rsidRPr="0030529B">
        <w:rPr>
          <w:rFonts w:ascii="Calibri" w:hAnsi="Calibri" w:cs="Calibri"/>
          <w:sz w:val="22"/>
          <w:szCs w:val="22"/>
        </w:rPr>
        <w:t xml:space="preserve">: </w:t>
      </w:r>
      <w:r w:rsidR="00A44CB6">
        <w:rPr>
          <w:rFonts w:ascii="Calibri" w:hAnsi="Calibri" w:cs="Calibri"/>
          <w:sz w:val="22"/>
          <w:szCs w:val="22"/>
        </w:rPr>
        <w:t>xxx</w:t>
      </w:r>
      <w:bookmarkStart w:id="0" w:name="_GoBack"/>
      <w:bookmarkEnd w:id="0"/>
    </w:p>
    <w:p w14:paraId="706F34CC" w14:textId="77777777" w:rsidR="00DC0F5A" w:rsidRPr="005625E5" w:rsidRDefault="00DC0F5A" w:rsidP="00DC0F5A">
      <w:pPr>
        <w:rPr>
          <w:rFonts w:ascii="Calibri" w:hAnsi="Calibri" w:cs="Calibri"/>
          <w:sz w:val="22"/>
          <w:szCs w:val="22"/>
        </w:rPr>
      </w:pPr>
    </w:p>
    <w:p w14:paraId="75497A94" w14:textId="77777777" w:rsidR="00DC0F5A" w:rsidRPr="005625E5" w:rsidRDefault="00DC0F5A" w:rsidP="00DC0F5A">
      <w:pPr>
        <w:rPr>
          <w:rFonts w:ascii="Calibri" w:hAnsi="Calibri" w:cs="Calibri"/>
          <w:b/>
          <w:i/>
          <w:sz w:val="22"/>
          <w:szCs w:val="22"/>
        </w:rPr>
      </w:pPr>
      <w:r w:rsidRPr="005625E5">
        <w:rPr>
          <w:rFonts w:ascii="Calibri" w:hAnsi="Calibri" w:cs="Calibri"/>
          <w:b/>
          <w:i/>
          <w:sz w:val="22"/>
          <w:szCs w:val="22"/>
        </w:rPr>
        <w:t>Doručovací adresa:</w:t>
      </w:r>
    </w:p>
    <w:p w14:paraId="1EF0855D" w14:textId="77777777" w:rsidR="00DC0F5A" w:rsidRPr="005625E5" w:rsidRDefault="00DC0F5A" w:rsidP="00DC0F5A">
      <w:pPr>
        <w:rPr>
          <w:rFonts w:ascii="Calibri" w:hAnsi="Calibri" w:cs="Calibri"/>
          <w:sz w:val="22"/>
          <w:szCs w:val="22"/>
        </w:rPr>
      </w:pPr>
      <w:r w:rsidRPr="005625E5">
        <w:rPr>
          <w:rFonts w:ascii="Calibri" w:hAnsi="Calibri" w:cs="Calibri"/>
          <w:sz w:val="22"/>
          <w:szCs w:val="22"/>
        </w:rPr>
        <w:t>Národní památkový ústav</w:t>
      </w:r>
      <w:r>
        <w:rPr>
          <w:rFonts w:ascii="Calibri" w:hAnsi="Calibri" w:cs="Calibri"/>
          <w:sz w:val="22"/>
          <w:szCs w:val="22"/>
        </w:rPr>
        <w:t>, územní památková správa v Ústí nad Labem</w:t>
      </w:r>
    </w:p>
    <w:p w14:paraId="0C391588" w14:textId="77777777" w:rsidR="00DC0F5A" w:rsidRPr="005625E5" w:rsidRDefault="00DC0F5A" w:rsidP="00DC0F5A">
      <w:pPr>
        <w:rPr>
          <w:rFonts w:ascii="Calibri" w:hAnsi="Calibri" w:cs="Calibri"/>
          <w:sz w:val="22"/>
          <w:szCs w:val="22"/>
        </w:rPr>
      </w:pPr>
      <w:r w:rsidRPr="005625E5">
        <w:rPr>
          <w:rFonts w:ascii="Calibri" w:hAnsi="Calibri" w:cs="Calibri"/>
          <w:sz w:val="22"/>
          <w:szCs w:val="22"/>
        </w:rPr>
        <w:t xml:space="preserve">adresa: </w:t>
      </w:r>
      <w:r>
        <w:rPr>
          <w:rFonts w:ascii="Calibri" w:hAnsi="Calibri" w:cs="Calibri"/>
          <w:sz w:val="22"/>
          <w:szCs w:val="22"/>
        </w:rPr>
        <w:t>Podmokelská 1/15, 400 07  Ústí nad Labem</w:t>
      </w:r>
    </w:p>
    <w:p w14:paraId="04FBC698" w14:textId="77777777" w:rsidR="00DC0F5A" w:rsidRPr="005625E5" w:rsidRDefault="00DC0F5A" w:rsidP="00DC0F5A">
      <w:pPr>
        <w:rPr>
          <w:rFonts w:ascii="Calibri" w:hAnsi="Calibri" w:cs="Calibri"/>
          <w:sz w:val="22"/>
          <w:szCs w:val="22"/>
        </w:rPr>
      </w:pPr>
      <w:r w:rsidRPr="005625E5">
        <w:rPr>
          <w:rFonts w:ascii="Calibri" w:hAnsi="Calibri" w:cs="Calibri"/>
          <w:sz w:val="22"/>
          <w:szCs w:val="22"/>
        </w:rPr>
        <w:t>(dále jen „</w:t>
      </w:r>
      <w:r w:rsidRPr="005625E5">
        <w:rPr>
          <w:rFonts w:ascii="Calibri" w:hAnsi="Calibri" w:cs="Calibri"/>
          <w:b/>
          <w:sz w:val="22"/>
          <w:szCs w:val="22"/>
        </w:rPr>
        <w:t>pronajímatel</w:t>
      </w:r>
      <w:r w:rsidRPr="005625E5">
        <w:rPr>
          <w:rFonts w:ascii="Calibri" w:hAnsi="Calibri" w:cs="Calibri"/>
          <w:sz w:val="22"/>
          <w:szCs w:val="22"/>
        </w:rPr>
        <w:t>“)</w:t>
      </w:r>
    </w:p>
    <w:p w14:paraId="23DA3642" w14:textId="77777777" w:rsidR="00E36F0D" w:rsidRPr="00E36F0D" w:rsidRDefault="00E36F0D" w:rsidP="00E36F0D">
      <w:pPr>
        <w:rPr>
          <w:rFonts w:asciiTheme="majorHAnsi" w:hAnsiTheme="majorHAnsi" w:cstheme="majorHAnsi"/>
          <w:sz w:val="22"/>
          <w:szCs w:val="22"/>
        </w:rPr>
      </w:pPr>
    </w:p>
    <w:p w14:paraId="056046EA"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a</w:t>
      </w:r>
    </w:p>
    <w:p w14:paraId="598D36AE" w14:textId="77777777" w:rsidR="00E36F0D" w:rsidRPr="00E36F0D" w:rsidRDefault="00E36F0D" w:rsidP="00E36F0D">
      <w:pPr>
        <w:rPr>
          <w:rFonts w:asciiTheme="majorHAnsi" w:hAnsiTheme="majorHAnsi" w:cstheme="majorHAnsi"/>
          <w:sz w:val="22"/>
          <w:szCs w:val="22"/>
        </w:rPr>
      </w:pPr>
    </w:p>
    <w:p w14:paraId="1977897B" w14:textId="77777777" w:rsidR="00E36F0D" w:rsidRPr="00E36F0D" w:rsidRDefault="00E36F0D" w:rsidP="00E36F0D">
      <w:pPr>
        <w:rPr>
          <w:rFonts w:asciiTheme="majorHAnsi" w:hAnsiTheme="majorHAnsi" w:cstheme="majorHAnsi"/>
          <w:b/>
          <w:sz w:val="22"/>
          <w:szCs w:val="22"/>
        </w:rPr>
      </w:pPr>
      <w:r w:rsidRPr="00E36F0D">
        <w:rPr>
          <w:rFonts w:asciiTheme="majorHAnsi" w:hAnsiTheme="majorHAnsi" w:cstheme="majorHAnsi"/>
          <w:b/>
          <w:sz w:val="22"/>
          <w:szCs w:val="22"/>
        </w:rPr>
        <w:t xml:space="preserve">Jana </w:t>
      </w:r>
      <w:proofErr w:type="gramStart"/>
      <w:r w:rsidRPr="00E36F0D">
        <w:rPr>
          <w:rFonts w:asciiTheme="majorHAnsi" w:hAnsiTheme="majorHAnsi" w:cstheme="majorHAnsi"/>
          <w:b/>
          <w:sz w:val="22"/>
          <w:szCs w:val="22"/>
        </w:rPr>
        <w:t>Skučková - Galerie</w:t>
      </w:r>
      <w:proofErr w:type="gramEnd"/>
      <w:r w:rsidRPr="00E36F0D">
        <w:rPr>
          <w:rFonts w:asciiTheme="majorHAnsi" w:hAnsiTheme="majorHAnsi" w:cstheme="majorHAnsi"/>
          <w:b/>
          <w:sz w:val="22"/>
          <w:szCs w:val="22"/>
        </w:rPr>
        <w:t xml:space="preserve"> ve Věži</w:t>
      </w:r>
    </w:p>
    <w:p w14:paraId="19E1E61D"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se sídlem: 252 31 Všenory 24</w:t>
      </w:r>
    </w:p>
    <w:p w14:paraId="0A45A361"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IČO: 15870634, DIČ:CZ5854300551</w:t>
      </w:r>
    </w:p>
    <w:p w14:paraId="2C998699"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 xml:space="preserve">zastoupený: pí. Janou </w:t>
      </w:r>
      <w:proofErr w:type="spellStart"/>
      <w:r w:rsidRPr="00E36F0D">
        <w:rPr>
          <w:rFonts w:asciiTheme="majorHAnsi" w:hAnsiTheme="majorHAnsi" w:cstheme="majorHAnsi"/>
          <w:sz w:val="22"/>
          <w:szCs w:val="22"/>
        </w:rPr>
        <w:t>Skučkovou</w:t>
      </w:r>
      <w:proofErr w:type="spellEnd"/>
    </w:p>
    <w:p w14:paraId="18CD6491" w14:textId="77777777" w:rsidR="00E36F0D" w:rsidRPr="00E36F0D" w:rsidRDefault="00E36F0D" w:rsidP="00E36F0D">
      <w:pPr>
        <w:rPr>
          <w:rFonts w:asciiTheme="majorHAnsi" w:hAnsiTheme="majorHAnsi" w:cstheme="majorHAnsi"/>
          <w:sz w:val="22"/>
          <w:szCs w:val="22"/>
        </w:rPr>
      </w:pPr>
      <w:r w:rsidRPr="00E36F0D">
        <w:rPr>
          <w:rFonts w:asciiTheme="majorHAnsi" w:hAnsiTheme="majorHAnsi" w:cstheme="majorHAnsi"/>
          <w:sz w:val="22"/>
          <w:szCs w:val="22"/>
        </w:rPr>
        <w:t>(dále jen „</w:t>
      </w:r>
      <w:r w:rsidRPr="00E36F0D">
        <w:rPr>
          <w:rFonts w:asciiTheme="majorHAnsi" w:hAnsiTheme="majorHAnsi" w:cstheme="majorHAnsi"/>
          <w:b/>
          <w:sz w:val="22"/>
          <w:szCs w:val="22"/>
        </w:rPr>
        <w:t>nájemce</w:t>
      </w:r>
      <w:r w:rsidRPr="00E36F0D">
        <w:rPr>
          <w:rFonts w:asciiTheme="majorHAnsi" w:hAnsiTheme="majorHAnsi" w:cstheme="majorHAnsi"/>
          <w:sz w:val="22"/>
          <w:szCs w:val="22"/>
        </w:rPr>
        <w:t>“)</w:t>
      </w:r>
    </w:p>
    <w:p w14:paraId="5376B5E5" w14:textId="1B28A6E8" w:rsidR="00B1452C" w:rsidRPr="004A2F8F" w:rsidRDefault="00B1452C">
      <w:pPr>
        <w:pBdr>
          <w:top w:val="nil"/>
          <w:left w:val="nil"/>
          <w:bottom w:val="nil"/>
          <w:right w:val="nil"/>
          <w:between w:val="nil"/>
        </w:pBdr>
        <w:rPr>
          <w:rFonts w:asciiTheme="majorHAnsi" w:eastAsia="Calibri" w:hAnsiTheme="majorHAnsi" w:cstheme="majorHAnsi"/>
          <w:color w:val="000000"/>
          <w:sz w:val="22"/>
          <w:szCs w:val="22"/>
        </w:rPr>
      </w:pPr>
    </w:p>
    <w:p w14:paraId="0C2CF387" w14:textId="77777777" w:rsidR="00B1452C" w:rsidRPr="004A2F8F" w:rsidRDefault="00B1452C">
      <w:pPr>
        <w:pBdr>
          <w:top w:val="nil"/>
          <w:left w:val="nil"/>
          <w:bottom w:val="nil"/>
          <w:right w:val="nil"/>
          <w:between w:val="nil"/>
        </w:pBdr>
        <w:rPr>
          <w:rFonts w:asciiTheme="majorHAnsi" w:eastAsia="Calibri" w:hAnsiTheme="majorHAnsi" w:cstheme="majorHAns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E2300EC" w14:textId="723C9400" w:rsidR="00691AF2" w:rsidRDefault="00691AF2">
      <w:pPr>
        <w:pBdr>
          <w:top w:val="nil"/>
          <w:left w:val="nil"/>
          <w:bottom w:val="nil"/>
          <w:right w:val="nil"/>
          <w:between w:val="nil"/>
        </w:pBdr>
        <w:jc w:val="center"/>
        <w:rPr>
          <w:rFonts w:ascii="Calibri" w:eastAsia="Calibri" w:hAnsi="Calibri" w:cs="Calibri"/>
          <w:b/>
          <w:color w:val="000000"/>
          <w:sz w:val="22"/>
          <w:szCs w:val="22"/>
        </w:rPr>
      </w:pPr>
    </w:p>
    <w:p w14:paraId="1906ABC7" w14:textId="77777777" w:rsidR="00346F95" w:rsidRDefault="00346F95">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Pr="00362223"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362223">
        <w:rPr>
          <w:rFonts w:ascii="Calibri" w:eastAsia="Calibri" w:hAnsi="Calibri" w:cs="Calibri"/>
          <w:b/>
          <w:color w:val="000000"/>
          <w:sz w:val="22"/>
          <w:szCs w:val="22"/>
        </w:rPr>
        <w:t>Úvodní ustanovení</w:t>
      </w:r>
    </w:p>
    <w:p w14:paraId="5DAA7B0E" w14:textId="77777777" w:rsidR="00B1452C" w:rsidRPr="0036222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1" w:name="30j0zll" w:colFirst="0" w:colLast="0"/>
      <w:bookmarkEnd w:id="1"/>
      <w:r w:rsidRPr="00362223">
        <w:rPr>
          <w:rFonts w:ascii="Calibri" w:eastAsia="Calibri" w:hAnsi="Calibri" w:cs="Calibri"/>
          <w:color w:val="000000"/>
          <w:sz w:val="22"/>
          <w:szCs w:val="22"/>
        </w:rPr>
        <w:t>Pronajímatel je příslušný hospodařit s nemovitostí ve vlastnictví státu:</w:t>
      </w:r>
    </w:p>
    <w:p w14:paraId="14A349A8" w14:textId="26284D3C" w:rsidR="004A2F8F" w:rsidRPr="00362223" w:rsidRDefault="00A075A2" w:rsidP="004A2F8F">
      <w:pPr>
        <w:pStyle w:val="odstavce"/>
        <w:ind w:firstLine="0"/>
        <w:rPr>
          <w:lang w:val="cs-CZ"/>
        </w:rPr>
      </w:pPr>
      <w:r w:rsidRPr="0067288E">
        <w:rPr>
          <w:b/>
          <w:lang w:val="cs-CZ"/>
        </w:rPr>
        <w:t>druhé patro Hodinové věže o celkové výměře 15m</w:t>
      </w:r>
      <w:r w:rsidRPr="0067288E">
        <w:rPr>
          <w:b/>
          <w:vertAlign w:val="superscript"/>
          <w:lang w:val="cs-CZ"/>
        </w:rPr>
        <w:t>2</w:t>
      </w:r>
      <w:r w:rsidR="004A2F8F" w:rsidRPr="00362223">
        <w:t xml:space="preserve">, státní hrad Karlštejn, Karlštejn 172, 267 </w:t>
      </w:r>
      <w:proofErr w:type="gramStart"/>
      <w:r w:rsidR="004A2F8F" w:rsidRPr="00362223">
        <w:t>18  Karlštejn</w:t>
      </w:r>
      <w:proofErr w:type="gramEnd"/>
      <w:r w:rsidR="004A2F8F" w:rsidRPr="00362223">
        <w:t>, zapsané na listu vlastnictví č. 94 katastrální území Budňany</w:t>
      </w:r>
      <w:r w:rsidR="004A2F8F" w:rsidRPr="00362223">
        <w:rPr>
          <w:lang w:val="cs-CZ"/>
        </w:rPr>
        <w:t xml:space="preserve"> (dále jen „předmět nájmu“).</w:t>
      </w:r>
    </w:p>
    <w:p w14:paraId="549B4E1D" w14:textId="77777777" w:rsidR="00B1452C" w:rsidRPr="00362223"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5108D2B"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3B99F9E2" w14:textId="2FF8BACD" w:rsidR="00A74EE3" w:rsidRDefault="00A74EE3">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74230537" w14:textId="77777777" w:rsidR="00346F95" w:rsidRDefault="00346F95">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A05E123" w14:textId="77777777" w:rsidR="00A74EE3" w:rsidRDefault="0082023E" w:rsidP="00A74EE3">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7E2DA088" w14:textId="13E35F04" w:rsidR="00A74EE3" w:rsidRPr="00A74EE3" w:rsidRDefault="00A74EE3" w:rsidP="00A74EE3">
      <w:pPr>
        <w:pStyle w:val="odstavce"/>
        <w:numPr>
          <w:ilvl w:val="1"/>
          <w:numId w:val="16"/>
        </w:numPr>
        <w:rPr>
          <w:color w:val="000000"/>
        </w:rPr>
      </w:pPr>
      <w:r w:rsidRPr="00A74EE3">
        <w:rPr>
          <w:rFonts w:asciiTheme="majorHAnsi" w:hAnsiTheme="majorHAnsi" w:cstheme="majorHAnsi"/>
          <w:color w:val="000000"/>
        </w:rPr>
        <w:t>V </w:t>
      </w:r>
      <w:r w:rsidRPr="00A74EE3">
        <w:rPr>
          <w:rFonts w:asciiTheme="majorHAnsi" w:hAnsiTheme="majorHAnsi" w:cstheme="majorHAnsi"/>
          <w:color w:val="000000"/>
          <w:lang w:val="cs-CZ"/>
        </w:rPr>
        <w:t>předmětu nájmu</w:t>
      </w:r>
      <w:r w:rsidRPr="00A74EE3">
        <w:rPr>
          <w:rFonts w:asciiTheme="majorHAnsi" w:hAnsiTheme="majorHAnsi" w:cstheme="majorHAnsi"/>
          <w:color w:val="000000"/>
        </w:rPr>
        <w:t xml:space="preserve"> je umístěn </w:t>
      </w:r>
      <w:r w:rsidR="00EF6DA5" w:rsidRPr="00A74EE3">
        <w:rPr>
          <w:rFonts w:asciiTheme="majorHAnsi" w:hAnsiTheme="majorHAnsi" w:cstheme="majorHAnsi"/>
          <w:color w:val="000000"/>
          <w:lang w:val="cs-CZ"/>
        </w:rPr>
        <w:t xml:space="preserve">historický mobiliář </w:t>
      </w:r>
      <w:r w:rsidR="00EF6DA5">
        <w:rPr>
          <w:rFonts w:asciiTheme="majorHAnsi" w:hAnsiTheme="majorHAnsi" w:cstheme="majorHAnsi"/>
          <w:color w:val="000000"/>
          <w:lang w:val="cs-CZ"/>
        </w:rPr>
        <w:t xml:space="preserve">- </w:t>
      </w:r>
      <w:r w:rsidRPr="00A74EE3">
        <w:rPr>
          <w:rFonts w:asciiTheme="majorHAnsi" w:hAnsiTheme="majorHAnsi" w:cstheme="majorHAnsi"/>
          <w:color w:val="000000"/>
        </w:rPr>
        <w:t>hodinový stroj</w:t>
      </w:r>
      <w:r w:rsidRPr="00A74EE3">
        <w:rPr>
          <w:rFonts w:asciiTheme="majorHAnsi" w:hAnsiTheme="majorHAnsi" w:cstheme="majorHAnsi"/>
          <w:color w:val="000000"/>
          <w:lang w:val="cs-CZ"/>
        </w:rPr>
        <w:t xml:space="preserve"> inventární číslo</w:t>
      </w:r>
      <w:r w:rsidRPr="00A74EE3">
        <w:rPr>
          <w:rFonts w:asciiTheme="majorHAnsi" w:hAnsiTheme="majorHAnsi" w:cstheme="majorHAnsi"/>
          <w:color w:val="000000"/>
        </w:rPr>
        <w:t xml:space="preserve"> KA</w:t>
      </w:r>
      <w:r w:rsidRPr="00A74EE3">
        <w:rPr>
          <w:rFonts w:asciiTheme="majorHAnsi" w:hAnsiTheme="majorHAnsi" w:cstheme="majorHAnsi"/>
          <w:color w:val="000000"/>
          <w:lang w:val="cs-CZ"/>
        </w:rPr>
        <w:t xml:space="preserve"> 1813</w:t>
      </w:r>
      <w:r w:rsidRPr="00A74EE3">
        <w:rPr>
          <w:rFonts w:asciiTheme="majorHAnsi" w:hAnsiTheme="majorHAnsi" w:cstheme="majorHAnsi"/>
          <w:color w:val="000000"/>
        </w:rPr>
        <w:t xml:space="preserve"> a nájemci se umožňuje užívat </w:t>
      </w:r>
      <w:r w:rsidRPr="00A74EE3">
        <w:rPr>
          <w:rFonts w:asciiTheme="majorHAnsi" w:hAnsiTheme="majorHAnsi" w:cstheme="majorHAnsi"/>
          <w:color w:val="000000"/>
          <w:lang w:val="cs-CZ"/>
        </w:rPr>
        <w:t xml:space="preserve">jej </w:t>
      </w:r>
      <w:r w:rsidRPr="00A74EE3">
        <w:rPr>
          <w:rFonts w:asciiTheme="majorHAnsi" w:hAnsiTheme="majorHAnsi" w:cstheme="majorHAnsi"/>
          <w:color w:val="000000"/>
        </w:rPr>
        <w:t xml:space="preserve">pouze za účelem vystavení zboží. </w:t>
      </w:r>
      <w:r w:rsidRPr="00A74EE3">
        <w:rPr>
          <w:rFonts w:asciiTheme="majorHAnsi" w:hAnsiTheme="majorHAnsi" w:cstheme="majorHAnsi"/>
          <w:color w:val="000000"/>
          <w:lang w:val="cs-CZ"/>
        </w:rPr>
        <w:t xml:space="preserve">Nájemce bere na vědomí, ze součástí předmětu </w:t>
      </w:r>
      <w:r w:rsidRPr="00A74EE3">
        <w:rPr>
          <w:rFonts w:asciiTheme="majorHAnsi" w:hAnsiTheme="majorHAnsi" w:cstheme="majorHAnsi"/>
          <w:color w:val="000000"/>
          <w:lang w:val="cs-CZ"/>
        </w:rPr>
        <w:lastRenderedPageBreak/>
        <w:t>nájmu je také</w:t>
      </w:r>
      <w:r w:rsidR="00BF5F68">
        <w:rPr>
          <w:rFonts w:asciiTheme="majorHAnsi" w:hAnsiTheme="majorHAnsi" w:cstheme="majorHAnsi"/>
          <w:color w:val="000000"/>
          <w:lang w:val="cs-CZ"/>
        </w:rPr>
        <w:t xml:space="preserve"> další historický mobiliář </w:t>
      </w:r>
      <w:r w:rsidRPr="00A74EE3">
        <w:rPr>
          <w:rFonts w:asciiTheme="majorHAnsi" w:hAnsiTheme="majorHAnsi" w:cstheme="majorHAnsi"/>
          <w:color w:val="000000"/>
          <w:lang w:val="cs-CZ"/>
        </w:rPr>
        <w:t xml:space="preserve">– dva historické zvony. Nájemce rovněž bere na vědomí, že není povoleno tento mobiliář jakýmkoliv způsobem užívat a </w:t>
      </w:r>
      <w:proofErr w:type="gramStart"/>
      <w:r w:rsidRPr="00A74EE3">
        <w:rPr>
          <w:rFonts w:asciiTheme="majorHAnsi" w:hAnsiTheme="majorHAnsi" w:cstheme="majorHAnsi"/>
          <w:color w:val="000000"/>
          <w:lang w:val="cs-CZ"/>
        </w:rPr>
        <w:t>využívat - včetně</w:t>
      </w:r>
      <w:proofErr w:type="gramEnd"/>
      <w:r w:rsidRPr="00A74EE3">
        <w:rPr>
          <w:rFonts w:asciiTheme="majorHAnsi" w:hAnsiTheme="majorHAnsi" w:cstheme="majorHAnsi"/>
          <w:color w:val="000000"/>
          <w:lang w:val="cs-CZ"/>
        </w:rPr>
        <w:t xml:space="preserve"> umísťování jakýkoliv cedulí.</w:t>
      </w:r>
      <w:r w:rsidRPr="00A74EE3">
        <w:rPr>
          <w:rFonts w:asciiTheme="majorHAnsi" w:hAnsiTheme="majorHAnsi" w:cstheme="majorHAnsi"/>
          <w:color w:val="000000"/>
        </w:rPr>
        <w:t> </w:t>
      </w:r>
    </w:p>
    <w:p w14:paraId="693B76B1" w14:textId="046B4EB7" w:rsidR="00A74EE3" w:rsidRPr="00A74EE3" w:rsidRDefault="00A74EE3" w:rsidP="00A74EE3">
      <w:pPr>
        <w:pStyle w:val="odstavce"/>
        <w:numPr>
          <w:ilvl w:val="1"/>
          <w:numId w:val="16"/>
        </w:numPr>
        <w:rPr>
          <w:color w:val="000000"/>
        </w:rPr>
      </w:pPr>
      <w:r w:rsidRPr="003733B1">
        <w:rPr>
          <w:rFonts w:cs="Arial"/>
        </w:rPr>
        <w:t>Mobiliář je nájemce oprávněn užívat vhodným způsobem v souladu s touto smlouvu včetně případných omezení uvedených v soupisu inventáře.</w:t>
      </w:r>
    </w:p>
    <w:p w14:paraId="2007E07A" w14:textId="7E8BF867" w:rsidR="00A74EE3" w:rsidRDefault="00A74EE3" w:rsidP="00A74EE3">
      <w:pPr>
        <w:pBdr>
          <w:top w:val="nil"/>
          <w:left w:val="nil"/>
          <w:bottom w:val="nil"/>
          <w:right w:val="nil"/>
          <w:between w:val="nil"/>
        </w:pBdr>
        <w:ind w:left="426"/>
        <w:jc w:val="both"/>
        <w:rPr>
          <w:rFonts w:asciiTheme="majorHAnsi" w:eastAsia="Calibri" w:hAnsiTheme="majorHAnsi" w:cstheme="majorHAnsi"/>
          <w:color w:val="000000"/>
          <w:sz w:val="24"/>
          <w:szCs w:val="22"/>
        </w:rPr>
      </w:pPr>
    </w:p>
    <w:p w14:paraId="5AC57722" w14:textId="77777777" w:rsidR="00346F95" w:rsidRPr="00A74EE3" w:rsidRDefault="00346F95" w:rsidP="00A74EE3">
      <w:pPr>
        <w:pBdr>
          <w:top w:val="nil"/>
          <w:left w:val="nil"/>
          <w:bottom w:val="nil"/>
          <w:right w:val="nil"/>
          <w:between w:val="nil"/>
        </w:pBdr>
        <w:ind w:left="426"/>
        <w:jc w:val="both"/>
        <w:rPr>
          <w:rFonts w:asciiTheme="majorHAnsi" w:eastAsia="Calibri" w:hAnsiTheme="majorHAnsi" w:cstheme="majorHAnsi"/>
          <w:color w:val="000000"/>
          <w:sz w:val="24"/>
          <w:szCs w:val="22"/>
        </w:rPr>
      </w:pPr>
    </w:p>
    <w:p w14:paraId="14674C11" w14:textId="77777777" w:rsidR="00B1452C" w:rsidRDefault="0082023E" w:rsidP="00A075A2">
      <w:pPr>
        <w:keepNext/>
        <w:keepLines/>
        <w:widowControl w:val="0"/>
        <w:numPr>
          <w:ilvl w:val="0"/>
          <w:numId w:val="12"/>
        </w:numPr>
        <w:pBdr>
          <w:top w:val="nil"/>
          <w:left w:val="nil"/>
          <w:bottom w:val="nil"/>
          <w:right w:val="nil"/>
          <w:between w:val="nil"/>
        </w:pBdr>
        <w:ind w:left="426" w:firstLine="850"/>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7428CB53" w:rsidR="00B1452C" w:rsidRPr="00A74EE3" w:rsidRDefault="0082023E">
      <w:pPr>
        <w:numPr>
          <w:ilvl w:val="1"/>
          <w:numId w:val="14"/>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A74EE3">
        <w:rPr>
          <w:rFonts w:asciiTheme="majorHAnsi" w:eastAsia="Calibri" w:hAnsiTheme="majorHAnsi" w:cstheme="majorHAnsi"/>
          <w:color w:val="000000"/>
          <w:sz w:val="22"/>
          <w:szCs w:val="22"/>
        </w:rPr>
        <w:t>Předmět nájmu bude užíván výlučně za účelem provozování podnikatelské činnosti spočívající v</w:t>
      </w:r>
      <w:r w:rsidR="00362223" w:rsidRPr="00A74EE3">
        <w:rPr>
          <w:rFonts w:asciiTheme="majorHAnsi" w:hAnsiTheme="majorHAnsi" w:cstheme="majorHAnsi"/>
          <w:sz w:val="22"/>
          <w:szCs w:val="22"/>
        </w:rPr>
        <w:t xml:space="preserve"> prodeji především </w:t>
      </w:r>
      <w:r w:rsidR="00A74EE3" w:rsidRPr="00A74EE3">
        <w:rPr>
          <w:rFonts w:asciiTheme="majorHAnsi" w:hAnsiTheme="majorHAnsi" w:cstheme="majorHAnsi"/>
          <w:sz w:val="22"/>
          <w:szCs w:val="22"/>
        </w:rPr>
        <w:t>drahých kamenů, polodrahokamů, stříbra, replik historického skla, obrazů, brožur a nosičů DVD</w:t>
      </w:r>
      <w:r w:rsidR="00362223" w:rsidRPr="00A74EE3">
        <w:rPr>
          <w:rFonts w:asciiTheme="majorHAnsi" w:hAnsiTheme="majorHAnsi" w:cstheme="majorHAnsi"/>
          <w:sz w:val="22"/>
          <w:szCs w:val="22"/>
        </w:rPr>
        <w:t>.</w:t>
      </w:r>
    </w:p>
    <w:p w14:paraId="301AE904"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 xml:space="preserve">Za porušení povinnosti uvedené v odst. 1 tohoto článku, je nájemce povinen zaplatit smluvní pokutu ve výši </w:t>
      </w:r>
      <w:r w:rsidRPr="00362223">
        <w:rPr>
          <w:rFonts w:ascii="Calibri" w:eastAsia="Calibri" w:hAnsi="Calibri" w:cs="Calibri"/>
          <w:b/>
          <w:color w:val="000000"/>
          <w:sz w:val="22"/>
          <w:szCs w:val="22"/>
        </w:rPr>
        <w:t>10 000 Kč</w:t>
      </w:r>
      <w:r w:rsidRPr="00362223">
        <w:rPr>
          <w:rFonts w:ascii="Calibri" w:eastAsia="Calibri" w:hAnsi="Calibri" w:cs="Calibri"/>
          <w:color w:val="000000"/>
          <w:sz w:val="22"/>
          <w:szCs w:val="22"/>
        </w:rPr>
        <w:t xml:space="preserve"> za každý takovýto případ.</w:t>
      </w:r>
    </w:p>
    <w:p w14:paraId="1369F9CD"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362223"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362223">
        <w:rPr>
          <w:rFonts w:ascii="Calibri" w:eastAsia="Calibri" w:hAnsi="Calibri" w:cs="Calibri"/>
          <w:color w:val="000000"/>
          <w:sz w:val="22"/>
          <w:szCs w:val="22"/>
        </w:rPr>
        <w:t>Nájemce prohlašuje, že je oprávněn provozovat podnikatelskou činnost dle tohoto článku.</w:t>
      </w: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77F2E7FB" w14:textId="292C8A1A" w:rsidR="00362223" w:rsidRPr="006D3814" w:rsidRDefault="00362223" w:rsidP="00346F95">
      <w:pPr>
        <w:pStyle w:val="odstavce"/>
        <w:ind w:left="993" w:firstLine="0"/>
      </w:pPr>
      <w:r w:rsidRPr="0067288E">
        <w:t>Nájemné za jeden kalendářní měsíc nájmu</w:t>
      </w:r>
      <w:r w:rsidRPr="006059ED">
        <w:rPr>
          <w:lang w:val="cs-CZ"/>
        </w:rPr>
        <w:t xml:space="preserve"> v období </w:t>
      </w:r>
      <w:r>
        <w:rPr>
          <w:lang w:val="cs-CZ"/>
        </w:rPr>
        <w:t>leden</w:t>
      </w:r>
      <w:r w:rsidRPr="006059ED">
        <w:rPr>
          <w:lang w:val="cs-CZ"/>
        </w:rPr>
        <w:t xml:space="preserve"> 202</w:t>
      </w:r>
      <w:r w:rsidR="009517A8">
        <w:rPr>
          <w:lang w:val="cs-CZ"/>
        </w:rPr>
        <w:t>5</w:t>
      </w:r>
      <w:r w:rsidRPr="006059ED">
        <w:rPr>
          <w:lang w:val="cs-CZ"/>
        </w:rPr>
        <w:t xml:space="preserve"> – prosinec 202</w:t>
      </w:r>
      <w:r w:rsidR="009517A8">
        <w:rPr>
          <w:lang w:val="cs-CZ"/>
        </w:rPr>
        <w:t>5</w:t>
      </w:r>
      <w:r w:rsidRPr="006059ED">
        <w:rPr>
          <w:lang w:val="cs-CZ"/>
        </w:rPr>
        <w:t xml:space="preserve"> </w:t>
      </w:r>
      <w:r w:rsidRPr="0067288E">
        <w:t>činí</w:t>
      </w:r>
      <w:r w:rsidRPr="006059ED">
        <w:rPr>
          <w:lang w:val="cs-CZ"/>
        </w:rPr>
        <w:t>:</w:t>
      </w:r>
    </w:p>
    <w:tbl>
      <w:tblPr>
        <w:tblW w:w="6980" w:type="dxa"/>
        <w:tblInd w:w="1321" w:type="dxa"/>
        <w:tblCellMar>
          <w:left w:w="70" w:type="dxa"/>
          <w:right w:w="70" w:type="dxa"/>
        </w:tblCellMar>
        <w:tblLook w:val="04A0" w:firstRow="1" w:lastRow="0" w:firstColumn="1" w:lastColumn="0" w:noHBand="0" w:noVBand="1"/>
      </w:tblPr>
      <w:tblGrid>
        <w:gridCol w:w="1380"/>
        <w:gridCol w:w="1380"/>
        <w:gridCol w:w="1380"/>
        <w:gridCol w:w="1380"/>
        <w:gridCol w:w="1460"/>
      </w:tblGrid>
      <w:tr w:rsidR="00BF5F68" w:rsidRPr="009B109A" w14:paraId="76413AE3" w14:textId="77777777" w:rsidTr="00BF5F68">
        <w:trPr>
          <w:trHeight w:val="6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59218F" w14:textId="77777777" w:rsidR="00BF5F68" w:rsidRPr="009B109A" w:rsidRDefault="00BF5F68" w:rsidP="009B570D">
            <w:pPr>
              <w:jc w:val="center"/>
              <w:rPr>
                <w:rFonts w:cs="Calibri"/>
                <w:b/>
                <w:bCs/>
                <w:color w:val="000000"/>
                <w:szCs w:val="22"/>
              </w:rPr>
            </w:pPr>
            <w:r w:rsidRPr="009B109A">
              <w:rPr>
                <w:rFonts w:cs="Calibri"/>
                <w:b/>
                <w:bCs/>
                <w:color w:val="000000"/>
                <w:szCs w:val="22"/>
              </w:rPr>
              <w:t>Měsíc</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61695CEA" w14:textId="77777777" w:rsidR="00BF5F68" w:rsidRPr="009B109A" w:rsidRDefault="00BF5F68" w:rsidP="009B570D">
            <w:pPr>
              <w:jc w:val="center"/>
              <w:rPr>
                <w:rFonts w:cs="Calibri"/>
                <w:b/>
                <w:bCs/>
                <w:color w:val="000000"/>
                <w:szCs w:val="22"/>
              </w:rPr>
            </w:pPr>
            <w:r w:rsidRPr="009B109A">
              <w:rPr>
                <w:rFonts w:cs="Calibri"/>
                <w:b/>
                <w:bCs/>
                <w:color w:val="000000"/>
                <w:szCs w:val="22"/>
              </w:rPr>
              <w:t>Nájemné</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221E616A" w14:textId="77777777" w:rsidR="00BF5F68" w:rsidRPr="009B109A" w:rsidRDefault="00BF5F68" w:rsidP="009B570D">
            <w:pPr>
              <w:jc w:val="center"/>
              <w:rPr>
                <w:rFonts w:cs="Calibri"/>
                <w:b/>
                <w:bCs/>
                <w:color w:val="000000"/>
                <w:szCs w:val="22"/>
              </w:rPr>
            </w:pPr>
            <w:r w:rsidRPr="009B109A">
              <w:rPr>
                <w:rFonts w:cs="Calibri"/>
                <w:b/>
                <w:bCs/>
                <w:color w:val="000000"/>
                <w:szCs w:val="22"/>
              </w:rPr>
              <w:t>El. Energie</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4B7444D6" w14:textId="77777777" w:rsidR="00BF5F68" w:rsidRPr="009B109A" w:rsidRDefault="00BF5F68" w:rsidP="009B570D">
            <w:pPr>
              <w:jc w:val="center"/>
              <w:rPr>
                <w:rFonts w:cs="Calibri"/>
                <w:b/>
                <w:bCs/>
                <w:color w:val="000000"/>
                <w:szCs w:val="22"/>
              </w:rPr>
            </w:pPr>
            <w:r w:rsidRPr="009B109A">
              <w:rPr>
                <w:rFonts w:cs="Calibri"/>
                <w:b/>
                <w:bCs/>
                <w:color w:val="000000"/>
                <w:szCs w:val="22"/>
              </w:rPr>
              <w:t>Internet</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4681A26E" w14:textId="77777777" w:rsidR="00BF5F68" w:rsidRPr="009B109A" w:rsidRDefault="00BF5F68" w:rsidP="009B570D">
            <w:pPr>
              <w:jc w:val="center"/>
              <w:rPr>
                <w:rFonts w:cs="Calibri"/>
                <w:b/>
                <w:bCs/>
                <w:color w:val="000000"/>
                <w:szCs w:val="22"/>
              </w:rPr>
            </w:pPr>
            <w:r w:rsidRPr="009B109A">
              <w:rPr>
                <w:rFonts w:cs="Calibri"/>
                <w:b/>
                <w:bCs/>
                <w:color w:val="000000"/>
                <w:szCs w:val="22"/>
              </w:rPr>
              <w:t>Platba za měsíc celkem</w:t>
            </w:r>
          </w:p>
        </w:tc>
      </w:tr>
      <w:tr w:rsidR="00BF5F68" w:rsidRPr="009B109A" w14:paraId="4AAC448B"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F7D0A01" w14:textId="77777777" w:rsidR="00BF5F68" w:rsidRPr="009B109A" w:rsidRDefault="00BF5F68" w:rsidP="009B570D">
            <w:pPr>
              <w:rPr>
                <w:rFonts w:cs="Calibri"/>
                <w:color w:val="000000"/>
                <w:szCs w:val="22"/>
              </w:rPr>
            </w:pPr>
            <w:proofErr w:type="gramStart"/>
            <w:r w:rsidRPr="009B109A">
              <w:rPr>
                <w:rFonts w:cs="Calibri"/>
                <w:color w:val="000000"/>
                <w:szCs w:val="22"/>
              </w:rPr>
              <w:t>Leden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3AF5A5CD" w14:textId="34DB8C04" w:rsidR="00BF5F68" w:rsidRPr="009B109A" w:rsidRDefault="00BF5F68" w:rsidP="009B570D">
            <w:pPr>
              <w:jc w:val="right"/>
              <w:rPr>
                <w:rFonts w:cs="Calibri"/>
                <w:color w:val="000000"/>
                <w:szCs w:val="22"/>
              </w:rPr>
            </w:pPr>
            <w:r>
              <w:rPr>
                <w:rFonts w:cs="Calibri"/>
                <w:color w:val="000000"/>
                <w:szCs w:val="22"/>
              </w:rPr>
              <w:t>2 500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7CE6705A" w14:textId="2920A376" w:rsidR="00BF5F68" w:rsidRPr="009B109A" w:rsidRDefault="00BF5F68" w:rsidP="009B570D">
            <w:pPr>
              <w:jc w:val="right"/>
              <w:rPr>
                <w:rFonts w:cs="Calibri"/>
                <w:color w:val="000000"/>
                <w:szCs w:val="22"/>
              </w:rPr>
            </w:pPr>
            <w:r>
              <w:rPr>
                <w:rFonts w:cs="Calibri"/>
                <w:color w:val="000000"/>
                <w:szCs w:val="22"/>
              </w:rPr>
              <w:t>1 050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22DD106D"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15CBE8BC" w14:textId="7CB6B0CD" w:rsidR="00BF5F68" w:rsidRPr="009B109A" w:rsidRDefault="00BF5F68" w:rsidP="009B570D">
            <w:pPr>
              <w:jc w:val="right"/>
              <w:rPr>
                <w:rFonts w:cs="Calibri"/>
                <w:b/>
                <w:bCs/>
                <w:color w:val="000000"/>
                <w:szCs w:val="22"/>
              </w:rPr>
            </w:pPr>
            <w:r>
              <w:rPr>
                <w:rFonts w:cs="Calibri"/>
                <w:b/>
                <w:bCs/>
                <w:color w:val="000000"/>
                <w:szCs w:val="22"/>
              </w:rPr>
              <w:t xml:space="preserve">3 650 </w:t>
            </w:r>
            <w:r w:rsidRPr="009B109A">
              <w:rPr>
                <w:rFonts w:cs="Calibri"/>
                <w:b/>
                <w:bCs/>
                <w:color w:val="000000"/>
                <w:szCs w:val="22"/>
              </w:rPr>
              <w:t>Kč</w:t>
            </w:r>
          </w:p>
        </w:tc>
      </w:tr>
      <w:tr w:rsidR="00BF5F68" w:rsidRPr="009B109A" w14:paraId="4AD8ED1F"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4DCE76F1" w14:textId="77777777" w:rsidR="00BF5F68" w:rsidRPr="009B109A" w:rsidRDefault="00BF5F68" w:rsidP="009B570D">
            <w:pPr>
              <w:rPr>
                <w:rFonts w:cs="Calibri"/>
                <w:color w:val="000000"/>
                <w:szCs w:val="22"/>
              </w:rPr>
            </w:pPr>
            <w:r w:rsidRPr="009B109A">
              <w:rPr>
                <w:rFonts w:cs="Calibri"/>
                <w:color w:val="000000"/>
                <w:szCs w:val="22"/>
              </w:rPr>
              <w:t>Únor</w:t>
            </w:r>
          </w:p>
        </w:tc>
        <w:tc>
          <w:tcPr>
            <w:tcW w:w="1380" w:type="dxa"/>
            <w:tcBorders>
              <w:top w:val="nil"/>
              <w:left w:val="nil"/>
              <w:bottom w:val="single" w:sz="4" w:space="0" w:color="auto"/>
              <w:right w:val="single" w:sz="4" w:space="0" w:color="auto"/>
            </w:tcBorders>
            <w:shd w:val="clear" w:color="auto" w:fill="auto"/>
            <w:noWrap/>
            <w:vAlign w:val="bottom"/>
            <w:hideMark/>
          </w:tcPr>
          <w:p w14:paraId="04B5CB5A" w14:textId="441DFD15" w:rsidR="00BF5F68" w:rsidRPr="009B109A" w:rsidRDefault="00BF5F68" w:rsidP="009B570D">
            <w:pPr>
              <w:jc w:val="right"/>
              <w:rPr>
                <w:rFonts w:cs="Calibri"/>
                <w:color w:val="000000"/>
                <w:szCs w:val="22"/>
              </w:rPr>
            </w:pPr>
            <w:r>
              <w:rPr>
                <w:rFonts w:cs="Calibri"/>
                <w:color w:val="000000"/>
                <w:szCs w:val="22"/>
              </w:rPr>
              <w:t>2 5</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vAlign w:val="bottom"/>
            <w:hideMark/>
          </w:tcPr>
          <w:p w14:paraId="4D470054" w14:textId="032E637F" w:rsidR="00BF5F68" w:rsidRPr="009B109A" w:rsidRDefault="00BF5F68" w:rsidP="009B570D">
            <w:pPr>
              <w:jc w:val="right"/>
              <w:rPr>
                <w:rFonts w:cs="Calibri"/>
                <w:color w:val="000000"/>
                <w:szCs w:val="22"/>
              </w:rPr>
            </w:pPr>
            <w:r>
              <w:rPr>
                <w:rFonts w:cs="Calibri"/>
                <w:color w:val="000000"/>
                <w:szCs w:val="22"/>
              </w:rPr>
              <w:t>1 050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53EA8B62"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67F205E4" w14:textId="39DBE9FC" w:rsidR="00BF5F68" w:rsidRPr="009B109A" w:rsidRDefault="00BF5F68" w:rsidP="009B570D">
            <w:pPr>
              <w:jc w:val="right"/>
              <w:rPr>
                <w:rFonts w:cs="Calibri"/>
                <w:b/>
                <w:bCs/>
                <w:color w:val="000000"/>
                <w:szCs w:val="22"/>
              </w:rPr>
            </w:pPr>
            <w:r>
              <w:rPr>
                <w:rFonts w:cs="Calibri"/>
                <w:b/>
                <w:bCs/>
                <w:color w:val="000000"/>
                <w:szCs w:val="22"/>
              </w:rPr>
              <w:t>3 650</w:t>
            </w:r>
            <w:r w:rsidRPr="009B109A">
              <w:rPr>
                <w:rFonts w:cs="Calibri"/>
                <w:b/>
                <w:bCs/>
                <w:color w:val="000000"/>
                <w:szCs w:val="22"/>
              </w:rPr>
              <w:t xml:space="preserve"> Kč</w:t>
            </w:r>
          </w:p>
        </w:tc>
      </w:tr>
      <w:tr w:rsidR="00BF5F68" w:rsidRPr="009B109A" w14:paraId="7395951A"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F0D8A4F" w14:textId="77777777" w:rsidR="00BF5F68" w:rsidRPr="009B109A" w:rsidRDefault="00BF5F68" w:rsidP="009B570D">
            <w:pPr>
              <w:rPr>
                <w:rFonts w:cs="Calibri"/>
                <w:color w:val="000000"/>
                <w:szCs w:val="22"/>
              </w:rPr>
            </w:pPr>
            <w:r w:rsidRPr="009B109A">
              <w:rPr>
                <w:rFonts w:cs="Calibri"/>
                <w:color w:val="000000"/>
                <w:szCs w:val="22"/>
              </w:rPr>
              <w:t>Březen</w:t>
            </w:r>
          </w:p>
        </w:tc>
        <w:tc>
          <w:tcPr>
            <w:tcW w:w="1380" w:type="dxa"/>
            <w:tcBorders>
              <w:top w:val="nil"/>
              <w:left w:val="nil"/>
              <w:bottom w:val="single" w:sz="4" w:space="0" w:color="auto"/>
              <w:right w:val="single" w:sz="4" w:space="0" w:color="auto"/>
            </w:tcBorders>
            <w:shd w:val="clear" w:color="auto" w:fill="auto"/>
            <w:noWrap/>
            <w:vAlign w:val="bottom"/>
            <w:hideMark/>
          </w:tcPr>
          <w:p w14:paraId="458006EA" w14:textId="4BF6303B" w:rsidR="00BF5F68" w:rsidRPr="009B109A" w:rsidRDefault="00BF5F68" w:rsidP="009B570D">
            <w:pPr>
              <w:jc w:val="right"/>
              <w:rPr>
                <w:rFonts w:cs="Calibri"/>
                <w:color w:val="000000"/>
                <w:szCs w:val="22"/>
              </w:rPr>
            </w:pPr>
            <w:r>
              <w:rPr>
                <w:rFonts w:cs="Calibri"/>
                <w:color w:val="000000"/>
                <w:szCs w:val="22"/>
              </w:rPr>
              <w:t>4</w:t>
            </w:r>
            <w:r w:rsidRPr="009B109A">
              <w:rPr>
                <w:rFonts w:cs="Calibri"/>
                <w:color w:val="000000"/>
                <w:szCs w:val="22"/>
              </w:rPr>
              <w:t xml:space="preserve"> </w:t>
            </w:r>
            <w:r>
              <w:rPr>
                <w:rFonts w:cs="Calibri"/>
                <w:color w:val="000000"/>
                <w:szCs w:val="22"/>
              </w:rPr>
              <w:t>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vAlign w:val="bottom"/>
            <w:hideMark/>
          </w:tcPr>
          <w:p w14:paraId="5B960F8E" w14:textId="6B64814C" w:rsidR="00BF5F68" w:rsidRPr="009B109A" w:rsidRDefault="00BF5F68" w:rsidP="009B570D">
            <w:pPr>
              <w:jc w:val="right"/>
              <w:rPr>
                <w:rFonts w:cs="Calibri"/>
                <w:color w:val="000000"/>
                <w:szCs w:val="22"/>
              </w:rPr>
            </w:pPr>
            <w:r>
              <w:rPr>
                <w:rFonts w:cs="Calibri"/>
                <w:color w:val="000000"/>
                <w:szCs w:val="22"/>
              </w:rPr>
              <w:t>1 200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6BD1F9CF"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716966B1" w14:textId="54CAAEA0" w:rsidR="00BF5F68" w:rsidRPr="009B109A" w:rsidRDefault="00BF5F68" w:rsidP="009B570D">
            <w:pPr>
              <w:jc w:val="right"/>
              <w:rPr>
                <w:rFonts w:cs="Calibri"/>
                <w:b/>
                <w:bCs/>
                <w:color w:val="000000"/>
                <w:szCs w:val="22"/>
              </w:rPr>
            </w:pPr>
            <w:r>
              <w:rPr>
                <w:rFonts w:cs="Calibri"/>
                <w:b/>
                <w:bCs/>
                <w:color w:val="000000"/>
                <w:szCs w:val="22"/>
              </w:rPr>
              <w:t>5 3</w:t>
            </w:r>
            <w:r w:rsidRPr="009B109A">
              <w:rPr>
                <w:rFonts w:cs="Calibri"/>
                <w:b/>
                <w:bCs/>
                <w:color w:val="000000"/>
                <w:szCs w:val="22"/>
              </w:rPr>
              <w:t>00 Kč</w:t>
            </w:r>
          </w:p>
        </w:tc>
      </w:tr>
      <w:tr w:rsidR="00BF5F68" w:rsidRPr="009B109A" w14:paraId="71C7FF52"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4C85E993" w14:textId="77777777" w:rsidR="00BF5F68" w:rsidRPr="009B109A" w:rsidRDefault="00BF5F68" w:rsidP="009B570D">
            <w:pPr>
              <w:rPr>
                <w:rFonts w:cs="Calibri"/>
                <w:color w:val="000000"/>
                <w:szCs w:val="22"/>
              </w:rPr>
            </w:pPr>
            <w:proofErr w:type="gramStart"/>
            <w:r w:rsidRPr="009B109A">
              <w:rPr>
                <w:rFonts w:cs="Calibri"/>
                <w:color w:val="000000"/>
                <w:szCs w:val="22"/>
              </w:rPr>
              <w:t>Duben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485E923B" w14:textId="73A3BCE5" w:rsidR="00BF5F68" w:rsidRPr="009B109A" w:rsidRDefault="00BF5F68" w:rsidP="009B570D">
            <w:pPr>
              <w:jc w:val="right"/>
              <w:rPr>
                <w:rFonts w:cs="Calibri"/>
                <w:color w:val="000000"/>
                <w:szCs w:val="22"/>
              </w:rPr>
            </w:pPr>
            <w:r>
              <w:rPr>
                <w:rFonts w:cs="Calibri"/>
                <w:color w:val="000000"/>
                <w:szCs w:val="22"/>
              </w:rPr>
              <w:t>7 500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6F1CB580" w14:textId="72CF1C64" w:rsidR="00BF5F68" w:rsidRPr="009B109A" w:rsidRDefault="00BF5F68" w:rsidP="009B570D">
            <w:pPr>
              <w:jc w:val="right"/>
              <w:rPr>
                <w:rFonts w:cs="Calibri"/>
                <w:color w:val="000000"/>
                <w:szCs w:val="22"/>
              </w:rPr>
            </w:pPr>
            <w:r>
              <w:rPr>
                <w:rFonts w:cs="Calibri"/>
                <w:color w:val="000000"/>
                <w:szCs w:val="22"/>
              </w:rPr>
              <w:t>1 200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35B26B54"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18CC543A" w14:textId="792C1B7E" w:rsidR="00BF5F68" w:rsidRPr="009B109A" w:rsidRDefault="00BF5F68" w:rsidP="009B570D">
            <w:pPr>
              <w:jc w:val="right"/>
              <w:rPr>
                <w:rFonts w:cs="Calibri"/>
                <w:b/>
                <w:bCs/>
                <w:color w:val="000000"/>
                <w:szCs w:val="22"/>
              </w:rPr>
            </w:pPr>
            <w:r>
              <w:rPr>
                <w:rFonts w:cs="Calibri"/>
                <w:b/>
                <w:bCs/>
                <w:color w:val="000000"/>
                <w:szCs w:val="22"/>
              </w:rPr>
              <w:t>8 80</w:t>
            </w:r>
            <w:r w:rsidRPr="009B109A">
              <w:rPr>
                <w:rFonts w:cs="Calibri"/>
                <w:b/>
                <w:bCs/>
                <w:color w:val="000000"/>
                <w:szCs w:val="22"/>
              </w:rPr>
              <w:t>0 Kč</w:t>
            </w:r>
          </w:p>
        </w:tc>
      </w:tr>
      <w:tr w:rsidR="00BF5F68" w:rsidRPr="009B109A" w14:paraId="4C1BF3BB"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209AED38" w14:textId="77777777" w:rsidR="00BF5F68" w:rsidRPr="009B109A" w:rsidRDefault="00BF5F68" w:rsidP="009B570D">
            <w:pPr>
              <w:rPr>
                <w:rFonts w:cs="Calibri"/>
                <w:color w:val="000000"/>
                <w:szCs w:val="22"/>
              </w:rPr>
            </w:pPr>
            <w:proofErr w:type="gramStart"/>
            <w:r w:rsidRPr="009B109A">
              <w:rPr>
                <w:rFonts w:cs="Calibri"/>
                <w:color w:val="000000"/>
                <w:szCs w:val="22"/>
              </w:rPr>
              <w:t>Květen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728B3DB4" w14:textId="1F0B2765" w:rsidR="00BF5F68" w:rsidRPr="009B109A" w:rsidRDefault="00BF5F68" w:rsidP="009B570D">
            <w:pPr>
              <w:jc w:val="right"/>
              <w:rPr>
                <w:rFonts w:cs="Calibri"/>
                <w:color w:val="000000"/>
                <w:szCs w:val="22"/>
              </w:rPr>
            </w:pPr>
            <w:r>
              <w:rPr>
                <w:rFonts w:cs="Calibri"/>
                <w:color w:val="000000"/>
                <w:szCs w:val="22"/>
              </w:rPr>
              <w:t>8 0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62CB23B7" w14:textId="7A5DCE68" w:rsidR="00BF5F68" w:rsidRDefault="00BF5F68" w:rsidP="009B570D">
            <w:pPr>
              <w:jc w:val="right"/>
            </w:pPr>
            <w:r>
              <w:rPr>
                <w:rFonts w:cs="Calibri"/>
                <w:color w:val="000000"/>
                <w:szCs w:val="22"/>
              </w:rPr>
              <w:t>1 250</w:t>
            </w:r>
            <w:r w:rsidRPr="00D74508">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vAlign w:val="bottom"/>
            <w:hideMark/>
          </w:tcPr>
          <w:p w14:paraId="1D6AE252"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28792F65" w14:textId="7D7A6E1B" w:rsidR="00BF5F68" w:rsidRPr="009B109A" w:rsidRDefault="00BF5F68" w:rsidP="009B570D">
            <w:pPr>
              <w:jc w:val="right"/>
              <w:rPr>
                <w:rFonts w:cs="Calibri"/>
                <w:b/>
                <w:bCs/>
                <w:color w:val="000000"/>
                <w:szCs w:val="22"/>
              </w:rPr>
            </w:pPr>
            <w:r>
              <w:rPr>
                <w:rFonts w:cs="Calibri"/>
                <w:b/>
                <w:bCs/>
                <w:color w:val="000000"/>
                <w:szCs w:val="22"/>
              </w:rPr>
              <w:t>9</w:t>
            </w:r>
            <w:r w:rsidRPr="009B109A">
              <w:rPr>
                <w:rFonts w:cs="Calibri"/>
                <w:b/>
                <w:bCs/>
                <w:color w:val="000000"/>
                <w:szCs w:val="22"/>
              </w:rPr>
              <w:t xml:space="preserve"> </w:t>
            </w:r>
            <w:r>
              <w:rPr>
                <w:rFonts w:cs="Calibri"/>
                <w:b/>
                <w:bCs/>
                <w:color w:val="000000"/>
                <w:szCs w:val="22"/>
              </w:rPr>
              <w:t>35</w:t>
            </w:r>
            <w:r w:rsidRPr="009B109A">
              <w:rPr>
                <w:rFonts w:cs="Calibri"/>
                <w:b/>
                <w:bCs/>
                <w:color w:val="000000"/>
                <w:szCs w:val="22"/>
              </w:rPr>
              <w:t>0 Kč</w:t>
            </w:r>
          </w:p>
        </w:tc>
      </w:tr>
      <w:tr w:rsidR="00BF5F68" w:rsidRPr="009B109A" w14:paraId="0550D118"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6762360E" w14:textId="77777777" w:rsidR="00BF5F68" w:rsidRPr="009B109A" w:rsidRDefault="00BF5F68" w:rsidP="009B570D">
            <w:pPr>
              <w:rPr>
                <w:rFonts w:cs="Calibri"/>
                <w:color w:val="000000"/>
                <w:szCs w:val="22"/>
              </w:rPr>
            </w:pPr>
            <w:proofErr w:type="gramStart"/>
            <w:r w:rsidRPr="009B109A">
              <w:rPr>
                <w:rFonts w:cs="Calibri"/>
                <w:color w:val="000000"/>
                <w:szCs w:val="22"/>
              </w:rPr>
              <w:t>Červen</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3DC0B138" w14:textId="44283FFB" w:rsidR="00BF5F68" w:rsidRPr="009B109A" w:rsidRDefault="00BF5F68" w:rsidP="009B570D">
            <w:pPr>
              <w:jc w:val="right"/>
              <w:rPr>
                <w:rFonts w:cs="Calibri"/>
                <w:color w:val="000000"/>
                <w:szCs w:val="22"/>
              </w:rPr>
            </w:pPr>
            <w:r>
              <w:rPr>
                <w:rFonts w:cs="Calibri"/>
                <w:color w:val="000000"/>
                <w:szCs w:val="22"/>
              </w:rPr>
              <w:t>8 5</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245B8E08" w14:textId="0144CEA4" w:rsidR="00BF5F68" w:rsidRDefault="00BF5F68" w:rsidP="009B570D">
            <w:pPr>
              <w:jc w:val="right"/>
            </w:pPr>
            <w:r>
              <w:rPr>
                <w:rFonts w:cs="Calibri"/>
                <w:color w:val="000000"/>
                <w:szCs w:val="22"/>
              </w:rPr>
              <w:t>6</w:t>
            </w:r>
            <w:r w:rsidRPr="00D74508">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vAlign w:val="bottom"/>
            <w:hideMark/>
          </w:tcPr>
          <w:p w14:paraId="18FB3FA0"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79C49338" w14:textId="0B0DDF5B" w:rsidR="00BF5F68" w:rsidRPr="009B109A" w:rsidRDefault="00BF5F68" w:rsidP="009B570D">
            <w:pPr>
              <w:jc w:val="right"/>
              <w:rPr>
                <w:rFonts w:cs="Calibri"/>
                <w:b/>
                <w:bCs/>
                <w:color w:val="000000"/>
                <w:szCs w:val="22"/>
              </w:rPr>
            </w:pPr>
            <w:r>
              <w:rPr>
                <w:rFonts w:cs="Calibri"/>
                <w:b/>
                <w:bCs/>
                <w:color w:val="000000"/>
                <w:szCs w:val="22"/>
              </w:rPr>
              <w:t>9 20</w:t>
            </w:r>
            <w:r w:rsidRPr="009B109A">
              <w:rPr>
                <w:rFonts w:cs="Calibri"/>
                <w:b/>
                <w:bCs/>
                <w:color w:val="000000"/>
                <w:szCs w:val="22"/>
              </w:rPr>
              <w:t>0 Kč</w:t>
            </w:r>
          </w:p>
        </w:tc>
      </w:tr>
      <w:tr w:rsidR="00BF5F68" w:rsidRPr="009B109A" w14:paraId="17FDD05B"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0872420A" w14:textId="77777777" w:rsidR="00BF5F68" w:rsidRPr="009B109A" w:rsidRDefault="00BF5F68" w:rsidP="009B570D">
            <w:pPr>
              <w:rPr>
                <w:rFonts w:cs="Calibri"/>
                <w:color w:val="000000"/>
                <w:szCs w:val="22"/>
              </w:rPr>
            </w:pPr>
            <w:proofErr w:type="gramStart"/>
            <w:r w:rsidRPr="009B109A">
              <w:rPr>
                <w:rFonts w:cs="Calibri"/>
                <w:color w:val="000000"/>
                <w:szCs w:val="22"/>
              </w:rPr>
              <w:t>Červenec</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225C3594" w14:textId="7858D8AE" w:rsidR="00BF5F68" w:rsidRPr="009B109A" w:rsidRDefault="00BF5F68" w:rsidP="009B570D">
            <w:pPr>
              <w:jc w:val="right"/>
              <w:rPr>
                <w:rFonts w:cs="Calibri"/>
                <w:color w:val="000000"/>
                <w:szCs w:val="22"/>
              </w:rPr>
            </w:pPr>
            <w:r>
              <w:rPr>
                <w:rFonts w:cs="Calibri"/>
                <w:color w:val="000000"/>
                <w:szCs w:val="22"/>
              </w:rPr>
              <w:t>10 0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46802E3B" w14:textId="7D45337F" w:rsidR="00BF5F68" w:rsidRDefault="00BF5F68" w:rsidP="009B570D">
            <w:pPr>
              <w:jc w:val="right"/>
            </w:pPr>
            <w:r>
              <w:rPr>
                <w:rFonts w:cs="Calibri"/>
                <w:color w:val="000000"/>
                <w:szCs w:val="22"/>
              </w:rPr>
              <w:t>6</w:t>
            </w:r>
            <w:r w:rsidRPr="00D74508">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vAlign w:val="bottom"/>
            <w:hideMark/>
          </w:tcPr>
          <w:p w14:paraId="77FB640E"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023A7742" w14:textId="316FCBD7" w:rsidR="00BF5F68" w:rsidRPr="009B109A" w:rsidRDefault="00BF5F68" w:rsidP="009B570D">
            <w:pPr>
              <w:jc w:val="right"/>
              <w:rPr>
                <w:rFonts w:cs="Calibri"/>
                <w:b/>
                <w:bCs/>
                <w:color w:val="000000"/>
                <w:szCs w:val="22"/>
              </w:rPr>
            </w:pPr>
            <w:r>
              <w:rPr>
                <w:rFonts w:cs="Calibri"/>
                <w:b/>
                <w:bCs/>
                <w:color w:val="000000"/>
                <w:szCs w:val="22"/>
              </w:rPr>
              <w:t>10 70</w:t>
            </w:r>
            <w:r w:rsidRPr="009B109A">
              <w:rPr>
                <w:rFonts w:cs="Calibri"/>
                <w:b/>
                <w:bCs/>
                <w:color w:val="000000"/>
                <w:szCs w:val="22"/>
              </w:rPr>
              <w:t>0 Kč</w:t>
            </w:r>
          </w:p>
        </w:tc>
      </w:tr>
      <w:tr w:rsidR="00BF5F68" w:rsidRPr="009B109A" w14:paraId="109F8F5C"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7F2F016F" w14:textId="77777777" w:rsidR="00BF5F68" w:rsidRPr="009B109A" w:rsidRDefault="00BF5F68" w:rsidP="009B570D">
            <w:pPr>
              <w:rPr>
                <w:rFonts w:cs="Calibri"/>
                <w:color w:val="000000"/>
                <w:szCs w:val="22"/>
              </w:rPr>
            </w:pPr>
            <w:r w:rsidRPr="009B109A">
              <w:rPr>
                <w:rFonts w:cs="Calibri"/>
                <w:color w:val="000000"/>
                <w:szCs w:val="22"/>
              </w:rPr>
              <w:t>Srpen</w:t>
            </w:r>
          </w:p>
        </w:tc>
        <w:tc>
          <w:tcPr>
            <w:tcW w:w="1380" w:type="dxa"/>
            <w:tcBorders>
              <w:top w:val="nil"/>
              <w:left w:val="nil"/>
              <w:bottom w:val="single" w:sz="4" w:space="0" w:color="auto"/>
              <w:right w:val="single" w:sz="4" w:space="0" w:color="auto"/>
            </w:tcBorders>
            <w:shd w:val="clear" w:color="auto" w:fill="auto"/>
            <w:noWrap/>
            <w:vAlign w:val="bottom"/>
            <w:hideMark/>
          </w:tcPr>
          <w:p w14:paraId="4956F004" w14:textId="48BA349C" w:rsidR="00BF5F68" w:rsidRPr="009B109A" w:rsidRDefault="00BF5F68" w:rsidP="009B570D">
            <w:pPr>
              <w:jc w:val="right"/>
              <w:rPr>
                <w:rFonts w:cs="Calibri"/>
                <w:color w:val="000000"/>
                <w:szCs w:val="22"/>
              </w:rPr>
            </w:pPr>
            <w:r>
              <w:rPr>
                <w:rFonts w:cs="Calibri"/>
                <w:color w:val="000000"/>
                <w:szCs w:val="22"/>
              </w:rPr>
              <w:t>10 0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2742AA7D" w14:textId="3653297E" w:rsidR="00BF5F68" w:rsidRDefault="00BF5F68" w:rsidP="009B570D">
            <w:pPr>
              <w:jc w:val="right"/>
            </w:pPr>
            <w:r>
              <w:rPr>
                <w:rFonts w:cs="Calibri"/>
                <w:color w:val="000000"/>
                <w:szCs w:val="22"/>
              </w:rPr>
              <w:t>6</w:t>
            </w:r>
            <w:r w:rsidRPr="00D74508">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vAlign w:val="bottom"/>
            <w:hideMark/>
          </w:tcPr>
          <w:p w14:paraId="0211D745"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017C1789" w14:textId="37B2E7E1" w:rsidR="00BF5F68" w:rsidRPr="009B109A" w:rsidRDefault="00BF5F68" w:rsidP="009B570D">
            <w:pPr>
              <w:jc w:val="right"/>
              <w:rPr>
                <w:rFonts w:cs="Calibri"/>
                <w:b/>
                <w:bCs/>
                <w:color w:val="000000"/>
                <w:szCs w:val="22"/>
              </w:rPr>
            </w:pPr>
            <w:r>
              <w:rPr>
                <w:rFonts w:cs="Calibri"/>
                <w:b/>
                <w:bCs/>
                <w:color w:val="000000"/>
                <w:szCs w:val="22"/>
              </w:rPr>
              <w:t>10 70</w:t>
            </w:r>
            <w:r w:rsidRPr="009B109A">
              <w:rPr>
                <w:rFonts w:cs="Calibri"/>
                <w:b/>
                <w:bCs/>
                <w:color w:val="000000"/>
                <w:szCs w:val="22"/>
              </w:rPr>
              <w:t>0 Kč</w:t>
            </w:r>
          </w:p>
        </w:tc>
      </w:tr>
      <w:tr w:rsidR="00BF5F68" w:rsidRPr="009B109A" w14:paraId="559DBC25"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544B6374" w14:textId="77777777" w:rsidR="00BF5F68" w:rsidRPr="009B109A" w:rsidRDefault="00BF5F68" w:rsidP="009B570D">
            <w:pPr>
              <w:rPr>
                <w:rFonts w:cs="Calibri"/>
                <w:color w:val="000000"/>
                <w:szCs w:val="22"/>
              </w:rPr>
            </w:pPr>
            <w:r w:rsidRPr="009B109A">
              <w:rPr>
                <w:rFonts w:cs="Calibri"/>
                <w:color w:val="000000"/>
                <w:szCs w:val="22"/>
              </w:rPr>
              <w:t>Září</w:t>
            </w:r>
          </w:p>
        </w:tc>
        <w:tc>
          <w:tcPr>
            <w:tcW w:w="1380" w:type="dxa"/>
            <w:tcBorders>
              <w:top w:val="nil"/>
              <w:left w:val="nil"/>
              <w:bottom w:val="single" w:sz="4" w:space="0" w:color="auto"/>
              <w:right w:val="single" w:sz="4" w:space="0" w:color="auto"/>
            </w:tcBorders>
            <w:shd w:val="clear" w:color="auto" w:fill="auto"/>
            <w:noWrap/>
            <w:vAlign w:val="bottom"/>
            <w:hideMark/>
          </w:tcPr>
          <w:p w14:paraId="6B333834" w14:textId="5FCFF144" w:rsidR="00BF5F68" w:rsidRPr="009B109A" w:rsidRDefault="00BF5F68" w:rsidP="009B570D">
            <w:pPr>
              <w:jc w:val="right"/>
              <w:rPr>
                <w:rFonts w:cs="Calibri"/>
                <w:color w:val="000000"/>
                <w:szCs w:val="22"/>
              </w:rPr>
            </w:pPr>
            <w:r>
              <w:rPr>
                <w:rFonts w:cs="Calibri"/>
                <w:color w:val="000000"/>
                <w:szCs w:val="22"/>
              </w:rPr>
              <w:t>8 0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270017DB" w14:textId="734C3F07" w:rsidR="00BF5F68" w:rsidRDefault="00BF5F68" w:rsidP="009B570D">
            <w:pPr>
              <w:jc w:val="right"/>
            </w:pPr>
            <w:r>
              <w:rPr>
                <w:rFonts w:cs="Calibri"/>
                <w:color w:val="000000"/>
                <w:szCs w:val="22"/>
              </w:rPr>
              <w:t>1 05</w:t>
            </w:r>
            <w:r w:rsidRPr="00D74508">
              <w:rPr>
                <w:rFonts w:cs="Calibri"/>
                <w:color w:val="000000"/>
                <w:szCs w:val="22"/>
              </w:rPr>
              <w:t>0 Kč</w:t>
            </w:r>
          </w:p>
        </w:tc>
        <w:tc>
          <w:tcPr>
            <w:tcW w:w="1380" w:type="dxa"/>
            <w:tcBorders>
              <w:top w:val="nil"/>
              <w:left w:val="nil"/>
              <w:bottom w:val="single" w:sz="4" w:space="0" w:color="auto"/>
              <w:right w:val="single" w:sz="4" w:space="0" w:color="auto"/>
            </w:tcBorders>
            <w:shd w:val="clear" w:color="auto" w:fill="auto"/>
            <w:noWrap/>
            <w:vAlign w:val="bottom"/>
            <w:hideMark/>
          </w:tcPr>
          <w:p w14:paraId="1881A6FE"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40F0168B" w14:textId="6F26D3EC" w:rsidR="00BF5F68" w:rsidRPr="009B109A" w:rsidRDefault="00BF5F68" w:rsidP="009B570D">
            <w:pPr>
              <w:jc w:val="right"/>
              <w:rPr>
                <w:rFonts w:cs="Calibri"/>
                <w:b/>
                <w:bCs/>
                <w:color w:val="000000"/>
                <w:szCs w:val="22"/>
              </w:rPr>
            </w:pPr>
            <w:r>
              <w:rPr>
                <w:rFonts w:cs="Calibri"/>
                <w:b/>
                <w:bCs/>
                <w:color w:val="000000"/>
                <w:szCs w:val="22"/>
              </w:rPr>
              <w:t>9 15</w:t>
            </w:r>
            <w:r w:rsidRPr="009B109A">
              <w:rPr>
                <w:rFonts w:cs="Calibri"/>
                <w:b/>
                <w:bCs/>
                <w:color w:val="000000"/>
                <w:szCs w:val="22"/>
              </w:rPr>
              <w:t>0 Kč</w:t>
            </w:r>
          </w:p>
        </w:tc>
      </w:tr>
      <w:tr w:rsidR="00BF5F68" w:rsidRPr="009B109A" w14:paraId="33863505"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1F47B5A1" w14:textId="77777777" w:rsidR="00BF5F68" w:rsidRPr="009B109A" w:rsidRDefault="00BF5F68" w:rsidP="009B570D">
            <w:pPr>
              <w:rPr>
                <w:rFonts w:cs="Calibri"/>
                <w:color w:val="000000"/>
                <w:szCs w:val="22"/>
              </w:rPr>
            </w:pPr>
            <w:r w:rsidRPr="009B109A">
              <w:rPr>
                <w:rFonts w:cs="Calibri"/>
                <w:color w:val="000000"/>
                <w:szCs w:val="22"/>
              </w:rPr>
              <w:t>Říjen</w:t>
            </w:r>
          </w:p>
        </w:tc>
        <w:tc>
          <w:tcPr>
            <w:tcW w:w="1380" w:type="dxa"/>
            <w:tcBorders>
              <w:top w:val="nil"/>
              <w:left w:val="nil"/>
              <w:bottom w:val="single" w:sz="4" w:space="0" w:color="auto"/>
              <w:right w:val="single" w:sz="4" w:space="0" w:color="auto"/>
            </w:tcBorders>
            <w:shd w:val="clear" w:color="auto" w:fill="auto"/>
            <w:noWrap/>
            <w:vAlign w:val="bottom"/>
            <w:hideMark/>
          </w:tcPr>
          <w:p w14:paraId="1D0FA154" w14:textId="47FA565F" w:rsidR="00BF5F68" w:rsidRPr="009B109A" w:rsidRDefault="00BF5F68" w:rsidP="009B570D">
            <w:pPr>
              <w:jc w:val="right"/>
              <w:rPr>
                <w:rFonts w:cs="Calibri"/>
                <w:color w:val="000000"/>
                <w:szCs w:val="22"/>
              </w:rPr>
            </w:pPr>
            <w:r>
              <w:rPr>
                <w:rFonts w:cs="Calibri"/>
                <w:color w:val="000000"/>
                <w:szCs w:val="22"/>
              </w:rPr>
              <w:t>8 0</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7BACE40F" w14:textId="0C7B9300" w:rsidR="00BF5F68" w:rsidRDefault="00BF5F68" w:rsidP="009B570D">
            <w:pPr>
              <w:jc w:val="right"/>
            </w:pPr>
            <w:r>
              <w:rPr>
                <w:rFonts w:cs="Calibri"/>
                <w:color w:val="000000"/>
                <w:szCs w:val="22"/>
              </w:rPr>
              <w:t>1 15</w:t>
            </w:r>
            <w:r w:rsidRPr="00D74508">
              <w:rPr>
                <w:rFonts w:cs="Calibri"/>
                <w:color w:val="000000"/>
                <w:szCs w:val="22"/>
              </w:rPr>
              <w:t>0 Kč</w:t>
            </w:r>
          </w:p>
        </w:tc>
        <w:tc>
          <w:tcPr>
            <w:tcW w:w="1380" w:type="dxa"/>
            <w:tcBorders>
              <w:top w:val="nil"/>
              <w:left w:val="nil"/>
              <w:bottom w:val="single" w:sz="4" w:space="0" w:color="auto"/>
              <w:right w:val="single" w:sz="4" w:space="0" w:color="auto"/>
            </w:tcBorders>
            <w:shd w:val="clear" w:color="auto" w:fill="auto"/>
            <w:noWrap/>
            <w:vAlign w:val="bottom"/>
            <w:hideMark/>
          </w:tcPr>
          <w:p w14:paraId="0FA0CE09"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270CDCFA" w14:textId="719D5652" w:rsidR="00BF5F68" w:rsidRPr="009B109A" w:rsidRDefault="00BF5F68" w:rsidP="009B570D">
            <w:pPr>
              <w:jc w:val="right"/>
              <w:rPr>
                <w:rFonts w:cs="Calibri"/>
                <w:b/>
                <w:bCs/>
                <w:color w:val="000000"/>
                <w:szCs w:val="22"/>
              </w:rPr>
            </w:pPr>
            <w:r>
              <w:rPr>
                <w:rFonts w:cs="Calibri"/>
                <w:b/>
                <w:bCs/>
                <w:color w:val="000000"/>
                <w:szCs w:val="22"/>
              </w:rPr>
              <w:t>9 25</w:t>
            </w:r>
            <w:r w:rsidRPr="009B109A">
              <w:rPr>
                <w:rFonts w:cs="Calibri"/>
                <w:b/>
                <w:bCs/>
                <w:color w:val="000000"/>
                <w:szCs w:val="22"/>
              </w:rPr>
              <w:t>0 Kč</w:t>
            </w:r>
          </w:p>
        </w:tc>
      </w:tr>
      <w:tr w:rsidR="00BF5F68" w:rsidRPr="009B109A" w14:paraId="7DEC682F" w14:textId="77777777" w:rsidTr="00BF5F68">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14:paraId="3EACBE42" w14:textId="77777777" w:rsidR="00BF5F68" w:rsidRPr="009B109A" w:rsidRDefault="00BF5F68" w:rsidP="009B570D">
            <w:pPr>
              <w:rPr>
                <w:rFonts w:cs="Calibri"/>
                <w:color w:val="000000"/>
                <w:szCs w:val="22"/>
              </w:rPr>
            </w:pPr>
            <w:proofErr w:type="gramStart"/>
            <w:r w:rsidRPr="009B109A">
              <w:rPr>
                <w:rFonts w:cs="Calibri"/>
                <w:color w:val="000000"/>
                <w:szCs w:val="22"/>
              </w:rPr>
              <w:t>Listopad</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14:paraId="040BC1B9" w14:textId="33EBE072" w:rsidR="00BF5F68" w:rsidRPr="009B109A" w:rsidRDefault="00BF5F68" w:rsidP="009B570D">
            <w:pPr>
              <w:jc w:val="right"/>
              <w:rPr>
                <w:rFonts w:cs="Calibri"/>
                <w:color w:val="000000"/>
                <w:szCs w:val="22"/>
              </w:rPr>
            </w:pPr>
            <w:r>
              <w:rPr>
                <w:rFonts w:cs="Calibri"/>
                <w:color w:val="000000"/>
                <w:szCs w:val="22"/>
              </w:rPr>
              <w:t>2 500</w:t>
            </w:r>
            <w:r w:rsidRPr="009B109A">
              <w:rPr>
                <w:rFonts w:cs="Calibri"/>
                <w:color w:val="000000"/>
                <w:szCs w:val="22"/>
              </w:rPr>
              <w:t xml:space="preserve"> Kč</w:t>
            </w:r>
          </w:p>
        </w:tc>
        <w:tc>
          <w:tcPr>
            <w:tcW w:w="1380" w:type="dxa"/>
            <w:tcBorders>
              <w:top w:val="nil"/>
              <w:left w:val="nil"/>
              <w:bottom w:val="single" w:sz="4" w:space="0" w:color="auto"/>
              <w:right w:val="single" w:sz="4" w:space="0" w:color="auto"/>
            </w:tcBorders>
            <w:shd w:val="clear" w:color="auto" w:fill="auto"/>
            <w:noWrap/>
            <w:hideMark/>
          </w:tcPr>
          <w:p w14:paraId="52137E38" w14:textId="683AF470" w:rsidR="00BF5F68" w:rsidRDefault="00BF5F68" w:rsidP="009B570D">
            <w:pPr>
              <w:jc w:val="right"/>
            </w:pPr>
            <w:r>
              <w:rPr>
                <w:rFonts w:cs="Calibri"/>
                <w:color w:val="000000"/>
                <w:szCs w:val="22"/>
              </w:rPr>
              <w:t>1 15</w:t>
            </w:r>
            <w:r w:rsidRPr="00D74508">
              <w:rPr>
                <w:rFonts w:cs="Calibri"/>
                <w:color w:val="000000"/>
                <w:szCs w:val="22"/>
              </w:rPr>
              <w:t>0 Kč</w:t>
            </w:r>
          </w:p>
        </w:tc>
        <w:tc>
          <w:tcPr>
            <w:tcW w:w="1380" w:type="dxa"/>
            <w:tcBorders>
              <w:top w:val="nil"/>
              <w:left w:val="nil"/>
              <w:bottom w:val="single" w:sz="4" w:space="0" w:color="auto"/>
              <w:right w:val="single" w:sz="4" w:space="0" w:color="auto"/>
            </w:tcBorders>
            <w:shd w:val="clear" w:color="auto" w:fill="auto"/>
            <w:noWrap/>
            <w:vAlign w:val="bottom"/>
            <w:hideMark/>
          </w:tcPr>
          <w:p w14:paraId="704D9101"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single" w:sz="4" w:space="0" w:color="auto"/>
              <w:right w:val="single" w:sz="8" w:space="0" w:color="auto"/>
            </w:tcBorders>
            <w:shd w:val="clear" w:color="auto" w:fill="auto"/>
            <w:noWrap/>
            <w:vAlign w:val="bottom"/>
            <w:hideMark/>
          </w:tcPr>
          <w:p w14:paraId="6AC0B4FE" w14:textId="449534F0" w:rsidR="00BF5F68" w:rsidRPr="009B109A" w:rsidRDefault="00BF5F68" w:rsidP="009B570D">
            <w:pPr>
              <w:jc w:val="right"/>
              <w:rPr>
                <w:rFonts w:cs="Calibri"/>
                <w:b/>
                <w:bCs/>
                <w:color w:val="000000"/>
                <w:szCs w:val="22"/>
              </w:rPr>
            </w:pPr>
            <w:r>
              <w:rPr>
                <w:rFonts w:cs="Calibri"/>
                <w:b/>
                <w:bCs/>
                <w:color w:val="000000"/>
                <w:szCs w:val="22"/>
              </w:rPr>
              <w:t>3 75</w:t>
            </w:r>
            <w:r w:rsidRPr="009B109A">
              <w:rPr>
                <w:rFonts w:cs="Calibri"/>
                <w:b/>
                <w:bCs/>
                <w:color w:val="000000"/>
                <w:szCs w:val="22"/>
              </w:rPr>
              <w:t>0 Kč</w:t>
            </w:r>
          </w:p>
        </w:tc>
      </w:tr>
      <w:tr w:rsidR="00BF5F68" w:rsidRPr="009B109A" w14:paraId="6EACD713" w14:textId="77777777" w:rsidTr="00BF5F68">
        <w:trPr>
          <w:trHeight w:val="315"/>
        </w:trPr>
        <w:tc>
          <w:tcPr>
            <w:tcW w:w="1380" w:type="dxa"/>
            <w:tcBorders>
              <w:top w:val="nil"/>
              <w:left w:val="single" w:sz="8" w:space="0" w:color="auto"/>
              <w:bottom w:val="nil"/>
              <w:right w:val="single" w:sz="4" w:space="0" w:color="auto"/>
            </w:tcBorders>
            <w:shd w:val="clear" w:color="auto" w:fill="auto"/>
            <w:noWrap/>
            <w:vAlign w:val="bottom"/>
            <w:hideMark/>
          </w:tcPr>
          <w:p w14:paraId="7165D333" w14:textId="77777777" w:rsidR="00BF5F68" w:rsidRPr="009B109A" w:rsidRDefault="00BF5F68" w:rsidP="009B570D">
            <w:pPr>
              <w:rPr>
                <w:rFonts w:cs="Calibri"/>
                <w:color w:val="000000"/>
                <w:szCs w:val="22"/>
              </w:rPr>
            </w:pPr>
            <w:r w:rsidRPr="009B109A">
              <w:rPr>
                <w:rFonts w:cs="Calibri"/>
                <w:color w:val="000000"/>
                <w:szCs w:val="22"/>
              </w:rPr>
              <w:t>Prosinec</w:t>
            </w:r>
          </w:p>
        </w:tc>
        <w:tc>
          <w:tcPr>
            <w:tcW w:w="1380" w:type="dxa"/>
            <w:tcBorders>
              <w:top w:val="nil"/>
              <w:left w:val="nil"/>
              <w:bottom w:val="single" w:sz="4" w:space="0" w:color="auto"/>
              <w:right w:val="single" w:sz="4" w:space="0" w:color="auto"/>
            </w:tcBorders>
            <w:shd w:val="clear" w:color="auto" w:fill="auto"/>
            <w:noWrap/>
            <w:vAlign w:val="bottom"/>
            <w:hideMark/>
          </w:tcPr>
          <w:p w14:paraId="6A643CBE" w14:textId="6D3FF696" w:rsidR="00BF5F68" w:rsidRPr="009B109A" w:rsidRDefault="00BF5F68" w:rsidP="009B570D">
            <w:pPr>
              <w:jc w:val="right"/>
              <w:rPr>
                <w:rFonts w:cs="Calibri"/>
                <w:color w:val="000000"/>
                <w:szCs w:val="22"/>
              </w:rPr>
            </w:pPr>
            <w:r>
              <w:rPr>
                <w:rFonts w:cs="Calibri"/>
                <w:color w:val="000000"/>
                <w:szCs w:val="22"/>
              </w:rPr>
              <w:t>3</w:t>
            </w:r>
            <w:r w:rsidRPr="009B109A">
              <w:rPr>
                <w:rFonts w:cs="Calibri"/>
                <w:color w:val="000000"/>
                <w:szCs w:val="22"/>
              </w:rPr>
              <w:t xml:space="preserve"> </w:t>
            </w:r>
            <w:r>
              <w:rPr>
                <w:rFonts w:cs="Calibri"/>
                <w:color w:val="000000"/>
                <w:szCs w:val="22"/>
              </w:rPr>
              <w:t>5</w:t>
            </w:r>
            <w:r w:rsidRPr="009B109A">
              <w:rPr>
                <w:rFonts w:cs="Calibri"/>
                <w:color w:val="000000"/>
                <w:szCs w:val="22"/>
              </w:rPr>
              <w:t>00 Kč</w:t>
            </w:r>
          </w:p>
        </w:tc>
        <w:tc>
          <w:tcPr>
            <w:tcW w:w="1380" w:type="dxa"/>
            <w:tcBorders>
              <w:top w:val="nil"/>
              <w:left w:val="nil"/>
              <w:bottom w:val="single" w:sz="4" w:space="0" w:color="auto"/>
              <w:right w:val="single" w:sz="4" w:space="0" w:color="auto"/>
            </w:tcBorders>
            <w:shd w:val="clear" w:color="auto" w:fill="auto"/>
            <w:noWrap/>
            <w:hideMark/>
          </w:tcPr>
          <w:p w14:paraId="227B308C" w14:textId="59C657BC" w:rsidR="00BF5F68" w:rsidRDefault="00BF5F68" w:rsidP="009B570D">
            <w:pPr>
              <w:jc w:val="right"/>
            </w:pPr>
            <w:r>
              <w:rPr>
                <w:rFonts w:cs="Calibri"/>
                <w:color w:val="000000"/>
                <w:szCs w:val="22"/>
              </w:rPr>
              <w:t>1 20</w:t>
            </w:r>
            <w:r w:rsidRPr="00D74508">
              <w:rPr>
                <w:rFonts w:cs="Calibri"/>
                <w:color w:val="000000"/>
                <w:szCs w:val="22"/>
              </w:rPr>
              <w:t>0 Kč</w:t>
            </w:r>
          </w:p>
        </w:tc>
        <w:tc>
          <w:tcPr>
            <w:tcW w:w="1380" w:type="dxa"/>
            <w:tcBorders>
              <w:top w:val="nil"/>
              <w:left w:val="nil"/>
              <w:bottom w:val="single" w:sz="4" w:space="0" w:color="auto"/>
              <w:right w:val="single" w:sz="4" w:space="0" w:color="auto"/>
            </w:tcBorders>
            <w:shd w:val="clear" w:color="auto" w:fill="auto"/>
            <w:noWrap/>
            <w:vAlign w:val="bottom"/>
            <w:hideMark/>
          </w:tcPr>
          <w:p w14:paraId="4F158F97" w14:textId="77777777" w:rsidR="00BF5F68" w:rsidRPr="009B109A" w:rsidRDefault="00BF5F68" w:rsidP="009B570D">
            <w:pPr>
              <w:jc w:val="right"/>
              <w:rPr>
                <w:rFonts w:cs="Calibri"/>
                <w:color w:val="000000"/>
                <w:szCs w:val="22"/>
              </w:rPr>
            </w:pPr>
            <w:r w:rsidRPr="009B109A">
              <w:rPr>
                <w:rFonts w:cs="Calibri"/>
                <w:color w:val="000000"/>
                <w:szCs w:val="22"/>
              </w:rPr>
              <w:t>100 Kč</w:t>
            </w:r>
          </w:p>
        </w:tc>
        <w:tc>
          <w:tcPr>
            <w:tcW w:w="1460" w:type="dxa"/>
            <w:tcBorders>
              <w:top w:val="nil"/>
              <w:left w:val="nil"/>
              <w:bottom w:val="nil"/>
              <w:right w:val="single" w:sz="8" w:space="0" w:color="auto"/>
            </w:tcBorders>
            <w:shd w:val="clear" w:color="auto" w:fill="auto"/>
            <w:noWrap/>
            <w:vAlign w:val="bottom"/>
            <w:hideMark/>
          </w:tcPr>
          <w:p w14:paraId="09326DD9" w14:textId="5157C789" w:rsidR="00BF5F68" w:rsidRPr="009B109A" w:rsidRDefault="00BF5F68" w:rsidP="009B570D">
            <w:pPr>
              <w:jc w:val="right"/>
              <w:rPr>
                <w:rFonts w:cs="Calibri"/>
                <w:b/>
                <w:bCs/>
                <w:color w:val="000000"/>
                <w:szCs w:val="22"/>
              </w:rPr>
            </w:pPr>
            <w:r>
              <w:rPr>
                <w:rFonts w:cs="Calibri"/>
                <w:b/>
                <w:bCs/>
                <w:color w:val="000000"/>
                <w:szCs w:val="22"/>
              </w:rPr>
              <w:t>4 80</w:t>
            </w:r>
            <w:r w:rsidRPr="009B109A">
              <w:rPr>
                <w:rFonts w:cs="Calibri"/>
                <w:b/>
                <w:bCs/>
                <w:color w:val="000000"/>
                <w:szCs w:val="22"/>
              </w:rPr>
              <w:t>0 Kč</w:t>
            </w:r>
          </w:p>
        </w:tc>
      </w:tr>
      <w:tr w:rsidR="00BF5F68" w:rsidRPr="009B109A" w14:paraId="73F2D73D" w14:textId="77777777" w:rsidTr="00BF5F68">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7C3EB69" w14:textId="77777777" w:rsidR="00BF5F68" w:rsidRPr="009B109A" w:rsidRDefault="00BF5F68" w:rsidP="009B570D">
            <w:pPr>
              <w:rPr>
                <w:rFonts w:cs="Calibri"/>
                <w:b/>
                <w:bCs/>
                <w:color w:val="000000"/>
                <w:szCs w:val="22"/>
              </w:rPr>
            </w:pPr>
            <w:r w:rsidRPr="009B109A">
              <w:rPr>
                <w:rFonts w:cs="Calibri"/>
                <w:b/>
                <w:bCs/>
                <w:color w:val="000000"/>
                <w:szCs w:val="22"/>
              </w:rPr>
              <w:t>Celkem</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322B108F" w14:textId="35D8C1F7" w:rsidR="00BF5F68" w:rsidRPr="009B109A" w:rsidRDefault="00BF5F68" w:rsidP="009B570D">
            <w:pPr>
              <w:jc w:val="right"/>
              <w:rPr>
                <w:rFonts w:cs="Calibri"/>
                <w:b/>
                <w:bCs/>
                <w:color w:val="000000"/>
                <w:szCs w:val="22"/>
              </w:rPr>
            </w:pPr>
            <w:r>
              <w:rPr>
                <w:rFonts w:cs="Calibri"/>
                <w:b/>
                <w:bCs/>
                <w:color w:val="000000"/>
                <w:szCs w:val="22"/>
              </w:rPr>
              <w:t>75 000</w:t>
            </w:r>
            <w:r w:rsidRPr="009B109A">
              <w:rPr>
                <w:rFonts w:cs="Calibri"/>
                <w:b/>
                <w:bCs/>
                <w:color w:val="000000"/>
                <w:szCs w:val="22"/>
              </w:rPr>
              <w:t xml:space="preserve"> Kč</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392709B4" w14:textId="568BBB8B" w:rsidR="00BF5F68" w:rsidRPr="009B109A" w:rsidRDefault="00BF5F68" w:rsidP="009B570D">
            <w:pPr>
              <w:jc w:val="right"/>
              <w:rPr>
                <w:rFonts w:cs="Calibri"/>
                <w:b/>
                <w:bCs/>
                <w:color w:val="000000"/>
                <w:szCs w:val="22"/>
              </w:rPr>
            </w:pPr>
            <w:r>
              <w:rPr>
                <w:rFonts w:cs="Calibri"/>
                <w:b/>
                <w:bCs/>
                <w:color w:val="000000"/>
                <w:szCs w:val="22"/>
              </w:rPr>
              <w:t>12 100</w:t>
            </w:r>
            <w:r w:rsidRPr="009B109A">
              <w:rPr>
                <w:rFonts w:cs="Calibri"/>
                <w:b/>
                <w:bCs/>
                <w:color w:val="000000"/>
                <w:szCs w:val="22"/>
              </w:rPr>
              <w:t xml:space="preserve"> Kč</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48169908" w14:textId="77777777" w:rsidR="00BF5F68" w:rsidRPr="009B109A" w:rsidRDefault="00BF5F68" w:rsidP="009B570D">
            <w:pPr>
              <w:jc w:val="right"/>
              <w:rPr>
                <w:rFonts w:cs="Calibri"/>
                <w:b/>
                <w:bCs/>
                <w:color w:val="000000"/>
                <w:szCs w:val="22"/>
              </w:rPr>
            </w:pPr>
            <w:r w:rsidRPr="009B109A">
              <w:rPr>
                <w:rFonts w:cs="Calibri"/>
                <w:b/>
                <w:bCs/>
                <w:color w:val="000000"/>
                <w:szCs w:val="22"/>
              </w:rPr>
              <w:t>1 200 Kč</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14:paraId="25F99C6D" w14:textId="107B02D3" w:rsidR="00BF5F68" w:rsidRPr="009B109A" w:rsidRDefault="00BF5F68" w:rsidP="009B570D">
            <w:pPr>
              <w:jc w:val="right"/>
              <w:rPr>
                <w:rFonts w:cs="Calibri"/>
                <w:b/>
                <w:bCs/>
                <w:color w:val="000000"/>
                <w:szCs w:val="22"/>
              </w:rPr>
            </w:pPr>
            <w:r>
              <w:rPr>
                <w:rFonts w:cs="Calibri"/>
                <w:b/>
                <w:bCs/>
                <w:color w:val="000000"/>
                <w:szCs w:val="22"/>
              </w:rPr>
              <w:t>88</w:t>
            </w:r>
            <w:r w:rsidRPr="009B109A">
              <w:rPr>
                <w:rFonts w:cs="Calibri"/>
                <w:b/>
                <w:bCs/>
                <w:color w:val="000000"/>
                <w:szCs w:val="22"/>
              </w:rPr>
              <w:t xml:space="preserve"> </w:t>
            </w:r>
            <w:r>
              <w:rPr>
                <w:rFonts w:cs="Calibri"/>
                <w:b/>
                <w:bCs/>
                <w:color w:val="000000"/>
                <w:szCs w:val="22"/>
              </w:rPr>
              <w:t>3</w:t>
            </w:r>
            <w:r w:rsidRPr="009B109A">
              <w:rPr>
                <w:rFonts w:cs="Calibri"/>
                <w:b/>
                <w:bCs/>
                <w:color w:val="000000"/>
                <w:szCs w:val="22"/>
              </w:rPr>
              <w:t>00 Kč</w:t>
            </w:r>
          </w:p>
        </w:tc>
      </w:tr>
    </w:tbl>
    <w:p w14:paraId="3F2E1E9C" w14:textId="77777777" w:rsidR="006D3814" w:rsidRPr="00B915D3" w:rsidRDefault="006D3814" w:rsidP="00346F95">
      <w:pPr>
        <w:pStyle w:val="odstavce"/>
        <w:ind w:left="993" w:firstLine="0"/>
      </w:pPr>
    </w:p>
    <w:p w14:paraId="34BED76F" w14:textId="14C0DACC" w:rsidR="00B1452C" w:rsidRPr="00265625"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 xml:space="preserve">Nájemné je splatné na základě daňového dokladu-faktury vystavené pronajímatelem vždy k prvnímu dni příslušného měsíce se splatností 21 dnů ode dne vystavení. Faktura může být vyhotovena v elektronické podobě a zaslána elektronicky.  </w:t>
      </w:r>
    </w:p>
    <w:p w14:paraId="79D4B15D" w14:textId="77777777" w:rsidR="009517A8" w:rsidRPr="009517A8" w:rsidRDefault="009517A8" w:rsidP="009517A8">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9517A8">
        <w:rPr>
          <w:rFonts w:ascii="Calibri" w:eastAsia="Calibri" w:hAnsi="Calibri" w:cs="Calibri"/>
          <w:color w:val="000000"/>
          <w:sz w:val="22"/>
          <w:szCs w:val="22"/>
        </w:rPr>
        <w:t xml:space="preserve">Pronajímatel je dle svého uvážení a aktuální situace na trhu oprávněn nájemné a paušální částky za el. energii a internet počínaje rokem 2026 valorizovat vždy k 1. 1. každého roku Harmonizovaným indexem spotřebitelských cen (HICP) vyhlášeným Českým statistickým úřadem (či obdobným úřadem oprávněným k vyhlašování zmíněného indexu) za uplynulý kalendářní rok. Toto zvýšení nájemného a paušální částky za el. energii a internet je pronajímatel povinen nájemci písemně oznámit do 31. března </w:t>
      </w:r>
      <w:r w:rsidRPr="009517A8">
        <w:rPr>
          <w:rFonts w:ascii="Calibri" w:eastAsia="Calibri" w:hAnsi="Calibri" w:cs="Calibri"/>
          <w:color w:val="000000"/>
          <w:sz w:val="22"/>
          <w:szCs w:val="22"/>
        </w:rPr>
        <w:lastRenderedPageBreak/>
        <w:t>příslušného roku. Nepřesáhne-li na základě této inflační doložky roční zvýšení nájemného a paušální částky za el. energii a internet částku 200,- Kč, zvýšení nájemného a paušální částky za el. energii a internet se neuplatní. Nezaplacené nájemné a paušální částky za el. energii a internet z důvodu zvýšení za příslušné měsíce je splatné spolu s nejbližším nájemným následujícím po doručení písemného oznámení pronajímatele v každém takovém roce. V případě záporné inflace se výše nájemného a paušální částky za el. energii a internet pro daný rok neupravuje. Výsledná výše nájemného a paušální částky za el. energii a internet se vždy zaokrouhlí na desetikoruny směrem nahoru</w:t>
      </w:r>
      <w:r w:rsidRPr="009517A8">
        <w:rPr>
          <w:rFonts w:ascii="Calibri" w:eastAsia="Calibri" w:hAnsi="Calibri" w:cs="Calibri"/>
          <w:i/>
          <w:color w:val="000000"/>
          <w:sz w:val="22"/>
          <w:szCs w:val="22"/>
        </w:rPr>
        <w:t>.</w:t>
      </w:r>
      <w:r w:rsidRPr="009517A8">
        <w:rPr>
          <w:rFonts w:ascii="Calibri" w:eastAsia="Calibri" w:hAnsi="Calibri" w:cs="Calibri"/>
          <w:color w:val="000000"/>
          <w:sz w:val="22"/>
          <w:szCs w:val="22"/>
        </w:rPr>
        <w:t xml:space="preserve"> Zvýšení nájemného a paušální částky za el. energii a internet pronajímatel nájemci oznámí bez nutnosti uzavírat dodatek k této smlouvě, strany spolu mohou uzavřít dodatek s deklaratorními účinky.</w:t>
      </w:r>
    </w:p>
    <w:p w14:paraId="0B6FC732" w14:textId="18880C30" w:rsidR="00B1452C" w:rsidRPr="00265625"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 xml:space="preserve">Nájemné se považuje za uhrazené dnem připsání částky nájemného na účet pronajímatele. V případě prodlení s platbami nájemného či služeb je nájemce povinen uhradit smluvní pokutu ve výši </w:t>
      </w:r>
      <w:r w:rsidR="004150FE" w:rsidRPr="00265625">
        <w:rPr>
          <w:rFonts w:ascii="Calibri" w:eastAsia="Calibri" w:hAnsi="Calibri" w:cs="Calibri"/>
          <w:color w:val="000000"/>
          <w:sz w:val="22"/>
          <w:szCs w:val="22"/>
        </w:rPr>
        <w:t>0,25</w:t>
      </w:r>
      <w:r w:rsidRPr="00265625">
        <w:rPr>
          <w:rFonts w:ascii="Calibri" w:eastAsia="Calibri" w:hAnsi="Calibri" w:cs="Calibri"/>
          <w:color w:val="000000"/>
          <w:sz w:val="22"/>
          <w:szCs w:val="22"/>
        </w:rPr>
        <w:t xml:space="preserve"> % z dlužné částky včetně DPH za každý započatý den prodlení. </w:t>
      </w:r>
    </w:p>
    <w:p w14:paraId="5A396FC0"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39095872" w14:textId="77777777" w:rsidR="00B1452C" w:rsidRPr="00265625" w:rsidRDefault="0082023E">
      <w:pPr>
        <w:keepNext/>
        <w:keepLines/>
        <w:widowControl w:val="0"/>
        <w:numPr>
          <w:ilvl w:val="0"/>
          <w:numId w:val="12"/>
        </w:numPr>
        <w:pBdr>
          <w:top w:val="nil"/>
          <w:left w:val="nil"/>
          <w:bottom w:val="nil"/>
          <w:right w:val="nil"/>
          <w:between w:val="nil"/>
        </w:pBdr>
        <w:ind w:left="652"/>
        <w:jc w:val="center"/>
        <w:rPr>
          <w:rFonts w:asciiTheme="majorHAnsi" w:eastAsia="Calibri" w:hAnsiTheme="majorHAnsi" w:cstheme="majorHAnsi"/>
          <w:b/>
          <w:color w:val="000000"/>
          <w:sz w:val="22"/>
          <w:szCs w:val="22"/>
        </w:rPr>
      </w:pPr>
      <w:r>
        <w:rPr>
          <w:rFonts w:ascii="Calibri" w:eastAsia="Calibri" w:hAnsi="Calibri" w:cs="Calibri"/>
          <w:b/>
          <w:color w:val="000000"/>
          <w:sz w:val="22"/>
          <w:szCs w:val="22"/>
        </w:rPr>
        <w:br/>
      </w:r>
      <w:r w:rsidRPr="00265625">
        <w:rPr>
          <w:rFonts w:asciiTheme="majorHAnsi" w:eastAsia="Calibri" w:hAnsiTheme="majorHAnsi" w:cstheme="majorHAnsi"/>
          <w:b/>
          <w:color w:val="000000"/>
          <w:sz w:val="22"/>
          <w:szCs w:val="22"/>
        </w:rPr>
        <w:t xml:space="preserve">Služby související s nájemním vztahem, jejich cena a splatnost </w:t>
      </w:r>
    </w:p>
    <w:p w14:paraId="3692E7EE" w14:textId="77777777" w:rsidR="00B1452C" w:rsidRPr="00265625" w:rsidRDefault="0082023E">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r w:rsidRPr="00265625">
        <w:rPr>
          <w:rFonts w:asciiTheme="majorHAnsi" w:eastAsia="Calibri" w:hAnsiTheme="majorHAnsi" w:cstheme="majorHAnsi"/>
          <w:color w:val="000000"/>
          <w:sz w:val="22"/>
          <w:szCs w:val="22"/>
        </w:rPr>
        <w:t>V souvislosti s nájmem poskytuje pronajímatel nájemci tyto služby:</w:t>
      </w:r>
    </w:p>
    <w:p w14:paraId="5D063F7E" w14:textId="77777777" w:rsidR="00A74EE3" w:rsidRDefault="0082023E" w:rsidP="00A74EE3">
      <w:pPr>
        <w:pStyle w:val="Odstavecseseznamem"/>
        <w:numPr>
          <w:ilvl w:val="0"/>
          <w:numId w:val="19"/>
        </w:numPr>
        <w:pBdr>
          <w:top w:val="nil"/>
          <w:left w:val="nil"/>
          <w:bottom w:val="nil"/>
          <w:right w:val="nil"/>
          <w:between w:val="nil"/>
        </w:pBdr>
        <w:rPr>
          <w:rFonts w:asciiTheme="majorHAnsi" w:eastAsia="Calibri" w:hAnsiTheme="majorHAnsi" w:cstheme="majorHAnsi"/>
          <w:color w:val="000000"/>
          <w:sz w:val="22"/>
          <w:szCs w:val="22"/>
        </w:rPr>
      </w:pPr>
      <w:r w:rsidRPr="00A74EE3">
        <w:rPr>
          <w:rFonts w:asciiTheme="majorHAnsi" w:eastAsia="Calibri" w:hAnsiTheme="majorHAnsi" w:cstheme="majorHAnsi"/>
          <w:color w:val="000000"/>
          <w:sz w:val="22"/>
          <w:szCs w:val="22"/>
        </w:rPr>
        <w:t>el. energie,</w:t>
      </w:r>
    </w:p>
    <w:p w14:paraId="72C4ED46" w14:textId="035856A9" w:rsidR="00A74EE3" w:rsidRDefault="00A74EE3" w:rsidP="00A74EE3">
      <w:pPr>
        <w:pStyle w:val="Odstavecseseznamem"/>
        <w:numPr>
          <w:ilvl w:val="0"/>
          <w:numId w:val="19"/>
        </w:numPr>
        <w:pBdr>
          <w:top w:val="nil"/>
          <w:left w:val="nil"/>
          <w:bottom w:val="nil"/>
          <w:right w:val="nil"/>
          <w:between w:val="nil"/>
        </w:pBdr>
        <w:rPr>
          <w:rFonts w:asciiTheme="majorHAnsi" w:eastAsia="Calibri" w:hAnsiTheme="majorHAnsi" w:cstheme="majorHAnsi"/>
          <w:color w:val="000000"/>
          <w:sz w:val="22"/>
          <w:szCs w:val="22"/>
        </w:rPr>
      </w:pPr>
      <w:r w:rsidRPr="00A74EE3">
        <w:rPr>
          <w:rFonts w:asciiTheme="majorHAnsi" w:eastAsia="Calibri" w:hAnsiTheme="majorHAnsi" w:cstheme="majorHAnsi"/>
          <w:color w:val="000000"/>
          <w:sz w:val="22"/>
          <w:szCs w:val="22"/>
        </w:rPr>
        <w:t>internet</w:t>
      </w:r>
    </w:p>
    <w:p w14:paraId="6F01356F" w14:textId="77777777" w:rsidR="00A74EE3" w:rsidRPr="00A74EE3" w:rsidRDefault="00A74EE3" w:rsidP="00A74EE3">
      <w:pPr>
        <w:pStyle w:val="Odstavecseseznamem"/>
        <w:pBdr>
          <w:top w:val="nil"/>
          <w:left w:val="nil"/>
          <w:bottom w:val="nil"/>
          <w:right w:val="nil"/>
          <w:between w:val="nil"/>
        </w:pBdr>
        <w:ind w:left="1428"/>
        <w:rPr>
          <w:rFonts w:asciiTheme="majorHAnsi" w:eastAsia="Calibri" w:hAnsiTheme="majorHAnsi" w:cstheme="majorHAnsi"/>
          <w:color w:val="000000"/>
          <w:sz w:val="22"/>
          <w:szCs w:val="22"/>
        </w:rPr>
      </w:pPr>
    </w:p>
    <w:p w14:paraId="2595D416" w14:textId="77777777" w:rsidR="00B1452C" w:rsidRPr="00265625" w:rsidRDefault="0082023E">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bookmarkStart w:id="2" w:name="3znysh7" w:colFirst="0" w:colLast="0"/>
      <w:bookmarkEnd w:id="2"/>
      <w:r w:rsidRPr="00265625">
        <w:rPr>
          <w:rFonts w:asciiTheme="majorHAnsi" w:eastAsia="Calibri" w:hAnsiTheme="majorHAnsi" w:cstheme="majorHAnsi"/>
          <w:color w:val="000000"/>
          <w:sz w:val="22"/>
          <w:szCs w:val="22"/>
        </w:rPr>
        <w:t>Způsob vyúčtování těchto služeb:</w:t>
      </w:r>
    </w:p>
    <w:p w14:paraId="7FF62256" w14:textId="3D316B3E" w:rsidR="00B1452C" w:rsidRPr="00A74EE3" w:rsidRDefault="0082023E" w:rsidP="00A74EE3">
      <w:pPr>
        <w:pStyle w:val="Odstavecseseznamem"/>
        <w:numPr>
          <w:ilvl w:val="0"/>
          <w:numId w:val="18"/>
        </w:numPr>
        <w:pBdr>
          <w:top w:val="nil"/>
          <w:left w:val="nil"/>
          <w:bottom w:val="nil"/>
          <w:right w:val="nil"/>
          <w:between w:val="nil"/>
        </w:pBdr>
        <w:rPr>
          <w:rFonts w:asciiTheme="majorHAnsi" w:eastAsia="Calibri" w:hAnsiTheme="majorHAnsi" w:cstheme="majorHAnsi"/>
          <w:color w:val="000000"/>
          <w:sz w:val="22"/>
          <w:szCs w:val="22"/>
        </w:rPr>
      </w:pPr>
      <w:r w:rsidRPr="00A74EE3">
        <w:rPr>
          <w:rFonts w:asciiTheme="majorHAnsi" w:eastAsia="Calibri" w:hAnsiTheme="majorHAnsi" w:cstheme="majorHAnsi"/>
          <w:color w:val="000000"/>
          <w:sz w:val="22"/>
          <w:szCs w:val="22"/>
        </w:rPr>
        <w:t xml:space="preserve">el. energie </w:t>
      </w:r>
      <w:r w:rsidR="00265625" w:rsidRPr="00A74EE3">
        <w:rPr>
          <w:rFonts w:asciiTheme="majorHAnsi" w:eastAsia="Calibri" w:hAnsiTheme="majorHAnsi" w:cstheme="majorHAnsi"/>
          <w:color w:val="000000"/>
          <w:sz w:val="22"/>
          <w:szCs w:val="22"/>
        </w:rPr>
        <w:t>–</w:t>
      </w:r>
      <w:r w:rsidRPr="00A74EE3">
        <w:rPr>
          <w:rFonts w:asciiTheme="majorHAnsi" w:eastAsia="Calibri" w:hAnsiTheme="majorHAnsi" w:cstheme="majorHAnsi"/>
          <w:color w:val="000000"/>
          <w:sz w:val="22"/>
          <w:szCs w:val="22"/>
        </w:rPr>
        <w:t xml:space="preserve"> paušál</w:t>
      </w:r>
      <w:r w:rsidR="00265625" w:rsidRPr="00A74EE3">
        <w:rPr>
          <w:rFonts w:asciiTheme="majorHAnsi" w:eastAsia="Calibri" w:hAnsiTheme="majorHAnsi" w:cstheme="majorHAnsi"/>
          <w:color w:val="000000"/>
          <w:sz w:val="22"/>
          <w:szCs w:val="22"/>
        </w:rPr>
        <w:t>ní platba</w:t>
      </w:r>
    </w:p>
    <w:p w14:paraId="09C2E098" w14:textId="5C258D45" w:rsidR="00A74EE3" w:rsidRPr="00A74EE3" w:rsidRDefault="00A74EE3" w:rsidP="00A74EE3">
      <w:pPr>
        <w:pStyle w:val="Odstavecseseznamem"/>
        <w:numPr>
          <w:ilvl w:val="0"/>
          <w:numId w:val="18"/>
        </w:numPr>
        <w:pBdr>
          <w:top w:val="nil"/>
          <w:left w:val="nil"/>
          <w:bottom w:val="nil"/>
          <w:right w:val="nil"/>
          <w:between w:val="nil"/>
        </w:pBdr>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Internet – paušální platba</w:t>
      </w:r>
    </w:p>
    <w:p w14:paraId="548A43F0" w14:textId="63FBBA01" w:rsidR="00265625" w:rsidRPr="00A74EE3" w:rsidRDefault="0082023E" w:rsidP="00A74EE3">
      <w:pPr>
        <w:numPr>
          <w:ilvl w:val="1"/>
          <w:numId w:val="12"/>
        </w:numPr>
        <w:pBdr>
          <w:top w:val="nil"/>
          <w:left w:val="nil"/>
          <w:bottom w:val="nil"/>
          <w:right w:val="nil"/>
          <w:between w:val="nil"/>
        </w:pBdr>
        <w:spacing w:after="60"/>
        <w:jc w:val="both"/>
        <w:rPr>
          <w:rFonts w:asciiTheme="majorHAnsi" w:eastAsia="Calibri" w:hAnsiTheme="majorHAnsi" w:cstheme="majorHAnsi"/>
          <w:color w:val="000000"/>
          <w:sz w:val="22"/>
          <w:szCs w:val="22"/>
        </w:rPr>
      </w:pPr>
      <w:bookmarkStart w:id="3" w:name="2et92p0" w:colFirst="0" w:colLast="0"/>
      <w:bookmarkEnd w:id="3"/>
      <w:r w:rsidRPr="00265625">
        <w:rPr>
          <w:rFonts w:asciiTheme="majorHAnsi" w:eastAsia="Calibri" w:hAnsiTheme="majorHAnsi" w:cstheme="majorHAnsi"/>
          <w:color w:val="000000"/>
          <w:sz w:val="22"/>
          <w:szCs w:val="22"/>
        </w:rPr>
        <w:t>Cena služeb</w:t>
      </w:r>
      <w:r w:rsidR="00A74EE3">
        <w:rPr>
          <w:rFonts w:asciiTheme="majorHAnsi" w:eastAsia="Calibri" w:hAnsiTheme="majorHAnsi" w:cstheme="majorHAnsi"/>
          <w:color w:val="000000"/>
          <w:sz w:val="22"/>
          <w:szCs w:val="22"/>
        </w:rPr>
        <w:t xml:space="preserve"> je </w:t>
      </w:r>
      <w:r w:rsidR="00265625" w:rsidRPr="00A74EE3">
        <w:rPr>
          <w:rFonts w:asciiTheme="majorHAnsi" w:hAnsiTheme="majorHAnsi" w:cstheme="majorHAnsi"/>
          <w:sz w:val="22"/>
          <w:szCs w:val="22"/>
        </w:rPr>
        <w:t xml:space="preserve">uvedena ve článku IV. bod 2 této smlouvy. </w:t>
      </w:r>
    </w:p>
    <w:p w14:paraId="7C72A92E" w14:textId="77777777" w:rsidR="00B1452C" w:rsidRPr="00265625"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Úhrada za služby (případně záloha na tyto služby) je splatná ve stejném termínu jako v případě plateb nájemného, a to na stejný účet.</w:t>
      </w:r>
    </w:p>
    <w:p w14:paraId="1E19A867" w14:textId="64784CF5"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762D4BA3" w14:textId="77777777" w:rsidR="00346F95" w:rsidRDefault="00346F9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5AF0E8D" w14:textId="4779DF06" w:rsidR="00B1452C" w:rsidRDefault="0082023E" w:rsidP="00691AF2">
      <w:pPr>
        <w:keepNext/>
        <w:keepLines/>
        <w:widowControl w:val="0"/>
        <w:numPr>
          <w:ilvl w:val="0"/>
          <w:numId w:val="12"/>
        </w:numPr>
        <w:pBdr>
          <w:top w:val="nil"/>
          <w:left w:val="nil"/>
          <w:bottom w:val="nil"/>
          <w:right w:val="nil"/>
          <w:between w:val="nil"/>
        </w:pBdr>
        <w:ind w:left="284" w:firstLine="566"/>
        <w:jc w:val="center"/>
        <w:rPr>
          <w:rFonts w:ascii="Calibri" w:eastAsia="Calibri" w:hAnsi="Calibri" w:cs="Calibri"/>
          <w:b/>
          <w:color w:val="000000"/>
          <w:sz w:val="22"/>
          <w:szCs w:val="22"/>
        </w:rPr>
      </w:pP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Pr="00265625"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sidRPr="00265625">
        <w:rPr>
          <w:rFonts w:ascii="Calibri" w:eastAsia="Calibri" w:hAnsi="Calibri" w:cs="Calibri"/>
          <w:color w:val="000000"/>
          <w:sz w:val="22"/>
          <w:szCs w:val="22"/>
        </w:rPr>
        <w:t xml:space="preserve">Za porušení povinnosti uvedené v odst. 1 tohoto článku, je nájemce povinen zaplatit smluvní pokutu ve výši </w:t>
      </w:r>
      <w:r w:rsidRPr="00265625">
        <w:rPr>
          <w:rFonts w:ascii="Calibri" w:eastAsia="Calibri" w:hAnsi="Calibri" w:cs="Calibri"/>
          <w:b/>
          <w:color w:val="000000"/>
          <w:sz w:val="22"/>
          <w:szCs w:val="22"/>
        </w:rPr>
        <w:t>50 000 Kč</w:t>
      </w:r>
      <w:r w:rsidRPr="00265625">
        <w:rPr>
          <w:rFonts w:ascii="Calibri" w:eastAsia="Calibri" w:hAnsi="Calibri" w:cs="Calibri"/>
          <w:color w:val="000000"/>
          <w:sz w:val="22"/>
          <w:szCs w:val="22"/>
        </w:rPr>
        <w:t xml:space="preserve"> za každý takovýto případ. </w:t>
      </w:r>
    </w:p>
    <w:p w14:paraId="27F64347" w14:textId="42BB96FD" w:rsidR="00A74EE3" w:rsidRDefault="00A74EE3">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19C3B9B" w14:textId="77777777" w:rsidR="00346F95" w:rsidRDefault="00346F9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rsidP="00691AF2">
      <w:pPr>
        <w:keepNext/>
        <w:keepLines/>
        <w:widowControl w:val="0"/>
        <w:numPr>
          <w:ilvl w:val="0"/>
          <w:numId w:val="12"/>
        </w:numPr>
        <w:pBdr>
          <w:top w:val="nil"/>
          <w:left w:val="nil"/>
          <w:bottom w:val="nil"/>
          <w:right w:val="nil"/>
          <w:between w:val="nil"/>
        </w:pBdr>
        <w:ind w:left="0" w:firstLine="709"/>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Předchozí písemný souhlas pronajímatele je zapotřebí pro umístění jakékoliv reklamy či informačního zařízení (informačního štítu tabulky a podobně) na nemovitou věc, kde se nachází předmět nájmu. </w:t>
      </w:r>
      <w:r>
        <w:rPr>
          <w:rFonts w:ascii="Calibri" w:eastAsia="Calibri" w:hAnsi="Calibri" w:cs="Calibri"/>
          <w:color w:val="000000"/>
          <w:sz w:val="22"/>
          <w:szCs w:val="22"/>
        </w:rPr>
        <w:lastRenderedPageBreak/>
        <w:t>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5B48B611" w14:textId="08ED54F2"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13E077B9" w14:textId="196E0F61" w:rsidR="00340050" w:rsidRPr="00340050"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má právo provádět kontrolu zabezpečování bezpečnosti práce a protipožární ochrany. Nájemce je povinen být při kontrolách součinný.</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5545112B"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67CBB046" w14:textId="1466CB3C" w:rsidR="000813E4" w:rsidRDefault="000813E4" w:rsidP="000813E4">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Podmínky dle předchozích dvou odstavců musí být písemně stanoveny v příloze této smlouvy. Takto stanovené podmínky mohou být v případě potřeby pronajímatelem písmeně změněny. </w:t>
      </w:r>
    </w:p>
    <w:p w14:paraId="468F7B10" w14:textId="5948F287" w:rsidR="000813E4" w:rsidRDefault="000813E4" w:rsidP="000813E4">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v případě porušení podmínek stanovených pronajímatelem, dle předchozích tří odstavců uhradit smluvní pokutu ve výši 500 Kč za každý takový případ. </w:t>
      </w:r>
    </w:p>
    <w:p w14:paraId="6542B16E"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4A9DC198"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2118CEFE" w14:textId="77777777" w:rsidR="00340050" w:rsidRPr="0042465B" w:rsidRDefault="00340050" w:rsidP="00340050">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Pronajímatel neodpovídá za škody způsobené nájemci v důsledku živelné události.</w:t>
      </w: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Práva a povinnosti nájemce</w:t>
      </w:r>
    </w:p>
    <w:p w14:paraId="06432D38" w14:textId="493EC57D" w:rsidR="000813E4" w:rsidRDefault="0082023E" w:rsidP="000813E4">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umožnit pronajímateli výkon jeho práv vyplývajících z této nájemní smlouvy a obecně závazných předpisů.</w:t>
      </w:r>
    </w:p>
    <w:p w14:paraId="2D8C90D7" w14:textId="77777777" w:rsidR="009517A8" w:rsidRPr="009517A8" w:rsidRDefault="009517A8" w:rsidP="009517A8">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9517A8">
        <w:rPr>
          <w:rFonts w:ascii="Calibri" w:eastAsia="Calibri" w:hAnsi="Calibri" w:cs="Calibri"/>
          <w:color w:val="000000"/>
          <w:sz w:val="22"/>
          <w:szCs w:val="22"/>
        </w:rPr>
        <w:t>Nájemce je povinen provozovat předmět nájmu pravidelně a to každý den dle otevírací doby hradu, která se mění dle ročního období a která je uvedena v příloze č. 1 smlouvy. Otevírací doba hradu se může v průběhu platnosti této smlouvy měnit. Nezasáhne-li vyšší moc, provádí se případné korekce otevírací doby hradu vždy od 1.2. následujícího roku. Nájemce bere na vědomí a souhlasí s tím, že provoz hradu může být výjimečně dočasně omezen z technických důvodů a nájemci v tomto případě nepřísluší žádná finanční kompenzace.</w:t>
      </w:r>
    </w:p>
    <w:p w14:paraId="34570207" w14:textId="63E93FD8" w:rsidR="00B1452C" w:rsidRPr="000813E4" w:rsidRDefault="0082023E" w:rsidP="000813E4">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0813E4">
        <w:rPr>
          <w:rFonts w:ascii="Calibri" w:eastAsia="Calibri" w:hAnsi="Calibri" w:cs="Calibri"/>
          <w:color w:val="000000"/>
          <w:sz w:val="22"/>
          <w:szCs w:val="22"/>
        </w:rPr>
        <w:t>Nájemce je povinen na svůj náklad provádět běžnou údržbu předmětu nájmu</w:t>
      </w:r>
      <w:r w:rsidR="000813E4" w:rsidRPr="000813E4">
        <w:rPr>
          <w:rFonts w:ascii="Calibri" w:eastAsia="Calibri" w:hAnsi="Calibri" w:cs="Calibri"/>
          <w:color w:val="000000"/>
          <w:sz w:val="22"/>
          <w:szCs w:val="22"/>
        </w:rPr>
        <w:t xml:space="preserve">, spočívající především v pravidelném běžném úklidu. </w:t>
      </w:r>
    </w:p>
    <w:p w14:paraId="08F59A77" w14:textId="3DA62D9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62ED9B73" w14:textId="30C6F7CB"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bere na vědomí souhlasí s tím, že předmět nájmu je mimo otevírací dobu zajištěn zabezpečovacím systém a pokud vyžaduje vstup mimo otevírací dobu hradu, je nezbytné nahlásit se u pověřených pracovníků pronajímatele a to před vstupem do předmětu nájmu. V případě opomenutí této povinnosti budou vzniklé náklady předepsány nájemci k</w:t>
      </w:r>
      <w:r>
        <w:rPr>
          <w:rFonts w:ascii="Calibri" w:eastAsia="Calibri" w:hAnsi="Calibri" w:cs="Calibri"/>
          <w:color w:val="000000"/>
          <w:sz w:val="22"/>
          <w:szCs w:val="22"/>
        </w:rPr>
        <w:t> </w:t>
      </w:r>
      <w:r w:rsidRPr="0042465B">
        <w:rPr>
          <w:rFonts w:ascii="Calibri" w:eastAsia="Calibri" w:hAnsi="Calibri" w:cs="Calibri"/>
          <w:color w:val="000000"/>
          <w:sz w:val="22"/>
          <w:szCs w:val="22"/>
        </w:rPr>
        <w:t>úhradě</w:t>
      </w:r>
      <w:r>
        <w:rPr>
          <w:rFonts w:ascii="Calibri" w:eastAsia="Calibri" w:hAnsi="Calibri" w:cs="Calibri"/>
          <w:color w:val="000000"/>
          <w:sz w:val="22"/>
          <w:szCs w:val="22"/>
        </w:rPr>
        <w:t>.</w:t>
      </w:r>
    </w:p>
    <w:p w14:paraId="2B2FC6E2" w14:textId="404B193F" w:rsidR="00340050" w:rsidRPr="00340050" w:rsidRDefault="00340050" w:rsidP="00340050">
      <w:pPr>
        <w:pStyle w:val="odstavce"/>
        <w:numPr>
          <w:ilvl w:val="1"/>
          <w:numId w:val="9"/>
        </w:numPr>
      </w:pPr>
      <w:r w:rsidRPr="0042465B">
        <w:t>Nájemce bere na vědomí, že v areálu objektu je instalován kamerový systém a dochází tak ke zpracování osobních údajů osob, kte</w:t>
      </w:r>
      <w:r w:rsidRPr="0042465B">
        <w:rPr>
          <w:lang w:val="cs-CZ"/>
        </w:rPr>
        <w:t>ré</w:t>
      </w:r>
      <w:r w:rsidRPr="0042465B">
        <w:t xml:space="preserve"> vstupují do monitorovaného prostoru. Pronajímatel při jejich zpracování postupuje dle platných právních předpisů. </w:t>
      </w:r>
    </w:p>
    <w:p w14:paraId="51338B7D"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Default="0082023E">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5597C982"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bere na vědomí, že k předmětu nájmu není poskytován žádný další skladovací prostor a zásobování je možné provádět pouze v čase od 7:00 do 9:00 a následně po skončení provozní doby hradu. Konkrétní hodiny je možné domluvit se správou hradu. </w:t>
      </w:r>
    </w:p>
    <w:p w14:paraId="2CBFE8C8"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5952165D"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3D30D6F3" w14:textId="6CE7838A"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odpovídá za všechny osoby, kterým umožní přístup do předmětu nájmu. Nájemce odpovídá za škodu, které tyto osoby způsobí. </w:t>
      </w:r>
    </w:p>
    <w:p w14:paraId="15B2EC51" w14:textId="3E9545A1"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Nájemce se zavazuje dodržovat a zajistit, že v předmětu nájmu nebude používán otevřený oheň</w:t>
      </w:r>
      <w:r w:rsidR="00A74EE3">
        <w:rPr>
          <w:rFonts w:ascii="Calibri" w:eastAsia="Calibri" w:hAnsi="Calibri" w:cs="Calibri"/>
          <w:color w:val="000000"/>
          <w:sz w:val="22"/>
          <w:szCs w:val="22"/>
        </w:rPr>
        <w:t xml:space="preserve">, včetně svíček </w:t>
      </w:r>
      <w:r w:rsidRPr="0042465B">
        <w:rPr>
          <w:rFonts w:ascii="Calibri" w:eastAsia="Calibri" w:hAnsi="Calibri" w:cs="Calibri"/>
          <w:color w:val="000000"/>
          <w:sz w:val="22"/>
          <w:szCs w:val="22"/>
        </w:rPr>
        <w:t>a nebude se kouřit (s výjimkou k tomu vyhrazených míst, které určí pronajímatel).</w:t>
      </w:r>
    </w:p>
    <w:p w14:paraId="0C209035"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2BC8E502"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Nájemce bere na vědomí, že v areálu objektu je instalován kamerový systém a dochází tak ke zpracování osobních údajů osob, které vstupují do monitorovaného prostoru. Pronajímatel při jejich zpracování postupuje dle platných právních předpisů. </w:t>
      </w:r>
    </w:p>
    <w:p w14:paraId="5506473B" w14:textId="77777777" w:rsidR="00340050" w:rsidRPr="0042465B" w:rsidRDefault="00340050" w:rsidP="00340050">
      <w:pPr>
        <w:numPr>
          <w:ilvl w:val="1"/>
          <w:numId w:val="9"/>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lastRenderedPageBreak/>
        <w:t xml:space="preserve">Nájemce je povinen předmět nájmu pojistit proti riziku škody způsobené třetím osobám činností vykonávanou v předmětu nájmu, škody způsobené na předmětu nájmu nájemcem a proti živelným pohromám a haváriím (únik vody apod.), a to </w:t>
      </w:r>
      <w:r w:rsidRPr="0042465B">
        <w:rPr>
          <w:rFonts w:ascii="Calibri" w:eastAsia="Calibri" w:hAnsi="Calibri" w:cs="Calibri"/>
          <w:sz w:val="22"/>
          <w:szCs w:val="22"/>
        </w:rPr>
        <w:t xml:space="preserve">výše 1 000 000 Kč. Pojistnou </w:t>
      </w:r>
      <w:r w:rsidRPr="0042465B">
        <w:rPr>
          <w:rFonts w:ascii="Calibri" w:eastAsia="Calibri" w:hAnsi="Calibri" w:cs="Calibri"/>
          <w:color w:val="000000"/>
          <w:sz w:val="22"/>
          <w:szCs w:val="22"/>
        </w:rPr>
        <w:t>smlouvu prokazující splnění této povinnosti předloží nájemce pronajímateli nejpozději do 10 dnů ode dne podpisu této smlouvy poslední ze smluvních stran.</w:t>
      </w:r>
    </w:p>
    <w:p w14:paraId="6B1BEB95" w14:textId="0466D3BA"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77D54030" w14:textId="77777777" w:rsidR="00346F95" w:rsidRDefault="00346F95">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2500C1A0" w14:textId="0EF42847" w:rsidR="00A74EE3" w:rsidRPr="003733B1" w:rsidRDefault="00A74EE3" w:rsidP="00A74EE3">
      <w:pPr>
        <w:pStyle w:val="odstavce"/>
        <w:numPr>
          <w:ilvl w:val="1"/>
          <w:numId w:val="12"/>
        </w:numPr>
      </w:pPr>
      <w:bookmarkStart w:id="4" w:name="1t3h5sf" w:colFirst="0" w:colLast="0"/>
      <w:bookmarkEnd w:id="4"/>
      <w:r w:rsidRPr="003733B1">
        <w:t xml:space="preserve">Tato smlouva se uzavírá na dobu určitou, a to od </w:t>
      </w:r>
      <w:r>
        <w:rPr>
          <w:lang w:val="cs-CZ"/>
        </w:rPr>
        <w:t>1. 1. 202</w:t>
      </w:r>
      <w:r w:rsidR="009517A8">
        <w:rPr>
          <w:lang w:val="cs-CZ"/>
        </w:rPr>
        <w:t>5</w:t>
      </w:r>
      <w:r w:rsidRPr="003733B1">
        <w:t xml:space="preserve"> do </w:t>
      </w:r>
      <w:r>
        <w:rPr>
          <w:lang w:val="cs-CZ"/>
        </w:rPr>
        <w:t>31. 12. 202</w:t>
      </w:r>
      <w:r w:rsidR="009517A8">
        <w:rPr>
          <w:lang w:val="cs-CZ"/>
        </w:rPr>
        <w:t>9</w:t>
      </w:r>
      <w:r w:rsidRPr="003733B1">
        <w:t>.</w:t>
      </w:r>
    </w:p>
    <w:p w14:paraId="3B626FE2" w14:textId="7F52C29B" w:rsidR="00340050" w:rsidRPr="0042465B" w:rsidRDefault="00340050" w:rsidP="00340050">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Smluvní strany mohou smlouvu vypovědět v souladu s § 2308 a § 2309 zákona č. 89/2012 Sb., občanský zákoník, ve znění pozdějších předpisů, s výpovědní lhůtou 2 měsíců. Výpověď musí být písemná a musí být uveden její důvod, jinak je neplatná. Výpovědní doba běží od prvního dne kalendářního měsíce následujícího poté, co výpověď došla druhé straně.</w:t>
      </w:r>
    </w:p>
    <w:p w14:paraId="4D7C9B04" w14:textId="2D0F349F" w:rsidR="00B1452C" w:rsidRDefault="0082023E" w:rsidP="00340050">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31D9FF25" w14:textId="77777777" w:rsidR="00340050" w:rsidRPr="0042465B"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jestliže nájemce užívá předmět nájmu jiným způsobem nebo k jinému než sjednanému účelu, nebo nedodržuje závazné podmínky stanovené pro užívání předmětu nájmu (např. nebude mít platnou pojistnou smlouvu nebo bude provádět neoprávněné stavební zásahy do zdí a konstrukcí…)</w:t>
      </w:r>
    </w:p>
    <w:p w14:paraId="131DFBFF" w14:textId="77777777" w:rsidR="00340050"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42465B">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0059190B" w14:textId="7968A91A" w:rsidR="00340050" w:rsidRPr="00D01A78" w:rsidRDefault="00340050" w:rsidP="00340050">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D01A78">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w:t>
      </w:r>
      <w:r w:rsidRPr="00340050">
        <w:rPr>
          <w:rFonts w:ascii="Calibri" w:eastAsia="Calibri" w:hAnsi="Calibri" w:cs="Calibri"/>
          <w:color w:val="000000"/>
          <w:sz w:val="22"/>
          <w:szCs w:val="22"/>
        </w:rPr>
        <w:t>smluvní pokutu 3.000,- Kč za každý</w:t>
      </w:r>
      <w:r>
        <w:rPr>
          <w:rFonts w:ascii="Calibri" w:eastAsia="Calibri" w:hAnsi="Calibri" w:cs="Calibri"/>
          <w:color w:val="000000"/>
          <w:sz w:val="22"/>
          <w:szCs w:val="22"/>
        </w:rPr>
        <w:t xml:space="preserve">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3E44E779" w14:textId="4B0C656D" w:rsidR="00691AF2" w:rsidRDefault="00691AF2">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59BE755" w14:textId="77777777" w:rsidR="00346F95" w:rsidRDefault="00346F95">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401E30A2" w14:textId="77777777" w:rsidR="00340050" w:rsidRPr="0042465B" w:rsidRDefault="00340050" w:rsidP="00340050">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42465B">
        <w:rPr>
          <w:rFonts w:ascii="Calibri" w:eastAsia="Calibri" w:hAnsi="Calibri" w:cs="Calibri"/>
          <w:color w:val="000000"/>
          <w:sz w:val="22"/>
          <w:szCs w:val="22"/>
        </w:rPr>
        <w:t xml:space="preserve">Tato smlouva byla sepsána ve dvou vyhotoveních. Každá ze smluvních stran obdržela po jednom totožném vyhotovení. </w:t>
      </w:r>
    </w:p>
    <w:p w14:paraId="613C9602" w14:textId="77777777" w:rsidR="00340050" w:rsidRPr="0042465B" w:rsidRDefault="00340050" w:rsidP="00340050">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42465B">
        <w:rPr>
          <w:rFonts w:ascii="Calibri" w:eastAsia="Calibri" w:hAnsi="Calibri" w:cs="Calibri"/>
          <w:color w:val="000000"/>
          <w:sz w:val="22"/>
          <w:szCs w:val="22"/>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Pr="00691AF2"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Informace k ochraně osobních údajů jsou ze strany NPÚ uveřejněny na webových stránkách </w:t>
      </w:r>
      <w:hyperlink r:id="rId9">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w:t>
      </w:r>
      <w:r w:rsidRPr="00691AF2">
        <w:rPr>
          <w:rFonts w:ascii="Calibri" w:eastAsia="Calibri" w:hAnsi="Calibri" w:cs="Calibri"/>
          <w:color w:val="000000"/>
          <w:sz w:val="22"/>
          <w:szCs w:val="22"/>
        </w:rPr>
        <w:t>v sekci „Ochrana osobních údajů“.</w:t>
      </w:r>
    </w:p>
    <w:p w14:paraId="683F7A54" w14:textId="484046E8" w:rsidR="00B1452C" w:rsidRPr="00C3010D" w:rsidRDefault="00691AF2" w:rsidP="00C3010D">
      <w:pPr>
        <w:rPr>
          <w:rFonts w:ascii="Calibri" w:eastAsia="Calibri" w:hAnsi="Calibri" w:cs="Calibri"/>
          <w:color w:val="000000"/>
          <w:sz w:val="22"/>
          <w:szCs w:val="22"/>
        </w:rPr>
      </w:pPr>
      <w:r w:rsidRPr="00C3010D">
        <w:rPr>
          <w:rFonts w:ascii="Calibri" w:eastAsia="Calibri" w:hAnsi="Calibri" w:cs="Calibri"/>
          <w:color w:val="000000"/>
          <w:sz w:val="22"/>
          <w:szCs w:val="22"/>
        </w:rPr>
        <w:t xml:space="preserve"> </w:t>
      </w:r>
      <w:r w:rsidR="0082023E" w:rsidRPr="00C3010D">
        <w:rPr>
          <w:rFonts w:ascii="Calibri" w:eastAsia="Calibri" w:hAnsi="Calibri" w:cs="Calibri"/>
          <w:color w:val="000000"/>
          <w:sz w:val="22"/>
          <w:szCs w:val="22"/>
        </w:rPr>
        <w:t>(Příloha</w:t>
      </w:r>
      <w:r w:rsidRPr="00C3010D">
        <w:rPr>
          <w:rFonts w:ascii="Calibri" w:eastAsia="Calibri" w:hAnsi="Calibri" w:cs="Calibri"/>
          <w:color w:val="000000"/>
          <w:sz w:val="22"/>
          <w:szCs w:val="22"/>
        </w:rPr>
        <w:t xml:space="preserve"> č. 1</w:t>
      </w:r>
      <w:r w:rsidR="0082023E" w:rsidRPr="00C3010D">
        <w:rPr>
          <w:rFonts w:ascii="Calibri" w:eastAsia="Calibri" w:hAnsi="Calibri" w:cs="Calibri"/>
          <w:color w:val="000000"/>
          <w:sz w:val="22"/>
          <w:szCs w:val="22"/>
        </w:rPr>
        <w:t xml:space="preserve">: </w:t>
      </w:r>
      <w:r w:rsidR="00C3010D" w:rsidRPr="00C3010D">
        <w:rPr>
          <w:rFonts w:ascii="Calibri" w:hAnsi="Calibri" w:cs="Calibri"/>
          <w:color w:val="000000"/>
          <w:sz w:val="22"/>
          <w:szCs w:val="22"/>
        </w:rPr>
        <w:t>Otevírací doba hradu a provozní podmínky</w:t>
      </w:r>
      <w:r w:rsidR="0082023E" w:rsidRPr="00C3010D">
        <w:rPr>
          <w:rFonts w:ascii="Calibri" w:eastAsia="Calibri" w:hAnsi="Calibri" w:cs="Calibri"/>
          <w:color w:val="000000"/>
          <w:sz w:val="22"/>
          <w:szCs w:val="22"/>
        </w:rPr>
        <w:t>)</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39B8FA17" w14:textId="06B2FE30" w:rsidR="00B1452C" w:rsidRDefault="009517A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PhDr. Petr Hrubý, ředitel</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10"/>
      <w:footerReference w:type="default" r:id="rId11"/>
      <w:headerReference w:type="first" r:id="rId12"/>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EEA44" w14:textId="77777777" w:rsidR="009558F5" w:rsidRDefault="009558F5">
      <w:r>
        <w:separator/>
      </w:r>
    </w:p>
  </w:endnote>
  <w:endnote w:type="continuationSeparator" w:id="0">
    <w:p w14:paraId="6286C0EE" w14:textId="77777777" w:rsidR="009558F5" w:rsidRDefault="009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AE90A" w14:textId="0E69F433"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A2F9" w14:textId="77777777" w:rsidR="009558F5" w:rsidRDefault="009558F5">
      <w:r>
        <w:separator/>
      </w:r>
    </w:p>
  </w:footnote>
  <w:footnote w:type="continuationSeparator" w:id="0">
    <w:p w14:paraId="423DFE8D" w14:textId="77777777" w:rsidR="009558F5" w:rsidRDefault="0095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C8F3" w14:textId="46C8EA90" w:rsidR="00DC0F5A" w:rsidRDefault="00D13B94" w:rsidP="00DC0F5A">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r>
      <w:rPr>
        <w:rFonts w:ascii="Calibri" w:eastAsia="Calibri" w:hAnsi="Calibri" w:cs="Calibri"/>
        <w:noProof/>
        <w:color w:val="000000"/>
      </w:rPr>
      <w:drawing>
        <wp:anchor distT="0" distB="0" distL="114300" distR="114300" simplePos="0" relativeHeight="251658240" behindDoc="1" locked="0" layoutInCell="1" allowOverlap="1" wp14:anchorId="753512A7" wp14:editId="2716A308">
          <wp:simplePos x="0" y="0"/>
          <wp:positionH relativeFrom="column">
            <wp:posOffset>3810</wp:posOffset>
          </wp:positionH>
          <wp:positionV relativeFrom="paragraph">
            <wp:posOffset>-2540</wp:posOffset>
          </wp:positionV>
          <wp:extent cx="1743075" cy="466725"/>
          <wp:effectExtent l="0" t="0" r="9525" b="9525"/>
          <wp:wrapTight wrapText="bothSides">
            <wp:wrapPolygon edited="0">
              <wp:start x="0" y="0"/>
              <wp:lineTo x="0" y="21159"/>
              <wp:lineTo x="21482" y="21159"/>
              <wp:lineTo x="214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000000"/>
      </w:rPr>
      <w:tab/>
    </w:r>
    <w:r w:rsidR="00622FA7">
      <w:rPr>
        <w:rFonts w:ascii="Calibri" w:eastAsia="Calibri" w:hAnsi="Calibri" w:cs="Calibri"/>
        <w:color w:val="000000"/>
      </w:rPr>
      <w:tab/>
    </w:r>
  </w:p>
  <w:p w14:paraId="0F9EA1C7" w14:textId="6585956C" w:rsidR="00B1452C" w:rsidRDefault="00B1452C" w:rsidP="00622FA7">
    <w:pPr>
      <w:pBdr>
        <w:top w:val="nil"/>
        <w:left w:val="nil"/>
        <w:bottom w:val="nil"/>
        <w:right w:val="nil"/>
        <w:between w:val="nil"/>
      </w:pBdr>
      <w:tabs>
        <w:tab w:val="center" w:pos="4536"/>
        <w:tab w:val="right" w:pos="9072"/>
      </w:tabs>
      <w:jc w:val="righ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D9C"/>
    <w:multiLevelType w:val="hybridMultilevel"/>
    <w:tmpl w:val="FAE857A0"/>
    <w:lvl w:ilvl="0" w:tplc="48F8A8D2">
      <w:start w:val="1"/>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2A27AF9"/>
    <w:multiLevelType w:val="multilevel"/>
    <w:tmpl w:val="4E4E5668"/>
    <w:lvl w:ilvl="0">
      <w:start w:val="1"/>
      <w:numFmt w:val="upperRoman"/>
      <w:suff w:val="nothing"/>
      <w:lvlText w:val="Článek %1."/>
      <w:lvlJc w:val="center"/>
      <w:pPr>
        <w:ind w:left="653"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B70830"/>
    <w:multiLevelType w:val="hybridMultilevel"/>
    <w:tmpl w:val="B7F832F2"/>
    <w:lvl w:ilvl="0" w:tplc="48F8A8D2">
      <w:start w:val="1"/>
      <w:numFmt w:val="bullet"/>
      <w:lvlText w:val="-"/>
      <w:lvlJc w:val="left"/>
      <w:pPr>
        <w:ind w:left="1428" w:hanging="360"/>
      </w:pPr>
      <w:rPr>
        <w:rFonts w:ascii="Calibri" w:eastAsia="Calibr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1"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2"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3"/>
  </w:num>
  <w:num w:numId="3">
    <w:abstractNumId w:val="14"/>
  </w:num>
  <w:num w:numId="4">
    <w:abstractNumId w:val="4"/>
  </w:num>
  <w:num w:numId="5">
    <w:abstractNumId w:val="15"/>
  </w:num>
  <w:num w:numId="6">
    <w:abstractNumId w:val="12"/>
  </w:num>
  <w:num w:numId="7">
    <w:abstractNumId w:val="1"/>
  </w:num>
  <w:num w:numId="8">
    <w:abstractNumId w:val="6"/>
  </w:num>
  <w:num w:numId="9">
    <w:abstractNumId w:val="9"/>
  </w:num>
  <w:num w:numId="10">
    <w:abstractNumId w:val="7"/>
  </w:num>
  <w:num w:numId="11">
    <w:abstractNumId w:val="13"/>
  </w:num>
  <w:num w:numId="12">
    <w:abstractNumId w:val="11"/>
  </w:num>
  <w:num w:numId="13">
    <w:abstractNumId w:val="8"/>
  </w:num>
  <w:num w:numId="14">
    <w:abstractNumId w:val="18"/>
  </w:num>
  <w:num w:numId="15">
    <w:abstractNumId w:val="16"/>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76E70"/>
    <w:rsid w:val="000813E4"/>
    <w:rsid w:val="00265625"/>
    <w:rsid w:val="00340050"/>
    <w:rsid w:val="00346F95"/>
    <w:rsid w:val="00362223"/>
    <w:rsid w:val="0040698C"/>
    <w:rsid w:val="004150FE"/>
    <w:rsid w:val="004874D6"/>
    <w:rsid w:val="004A2F8F"/>
    <w:rsid w:val="005155D1"/>
    <w:rsid w:val="006047E1"/>
    <w:rsid w:val="00622FA7"/>
    <w:rsid w:val="00691AF2"/>
    <w:rsid w:val="006D3814"/>
    <w:rsid w:val="006F11EA"/>
    <w:rsid w:val="00791318"/>
    <w:rsid w:val="0082023E"/>
    <w:rsid w:val="00825F7D"/>
    <w:rsid w:val="008B0B01"/>
    <w:rsid w:val="008C0D9B"/>
    <w:rsid w:val="008C3590"/>
    <w:rsid w:val="008F6B2A"/>
    <w:rsid w:val="009517A8"/>
    <w:rsid w:val="009558F5"/>
    <w:rsid w:val="009C4FB3"/>
    <w:rsid w:val="009F5774"/>
    <w:rsid w:val="00A075A2"/>
    <w:rsid w:val="00A44CB6"/>
    <w:rsid w:val="00A74EE3"/>
    <w:rsid w:val="00AE3407"/>
    <w:rsid w:val="00B015CE"/>
    <w:rsid w:val="00B1452C"/>
    <w:rsid w:val="00B41581"/>
    <w:rsid w:val="00BF5F68"/>
    <w:rsid w:val="00C3010D"/>
    <w:rsid w:val="00C371AB"/>
    <w:rsid w:val="00CB178C"/>
    <w:rsid w:val="00CE799A"/>
    <w:rsid w:val="00D13B94"/>
    <w:rsid w:val="00DC0F5A"/>
    <w:rsid w:val="00E36F0D"/>
    <w:rsid w:val="00EF6DA5"/>
    <w:rsid w:val="00F33CBD"/>
    <w:rsid w:val="00F82A21"/>
    <w:rsid w:val="00FA0527"/>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styleId="Zhlav">
    <w:name w:val="header"/>
    <w:basedOn w:val="Normln"/>
    <w:link w:val="ZhlavChar"/>
    <w:uiPriority w:val="99"/>
    <w:unhideWhenUsed/>
    <w:rsid w:val="00622FA7"/>
    <w:pPr>
      <w:tabs>
        <w:tab w:val="center" w:pos="4536"/>
        <w:tab w:val="right" w:pos="9072"/>
      </w:tabs>
    </w:pPr>
  </w:style>
  <w:style w:type="character" w:customStyle="1" w:styleId="ZhlavChar">
    <w:name w:val="Záhlaví Char"/>
    <w:basedOn w:val="Standardnpsmoodstavce"/>
    <w:link w:val="Zhlav"/>
    <w:uiPriority w:val="99"/>
    <w:rsid w:val="00622FA7"/>
  </w:style>
  <w:style w:type="paragraph" w:customStyle="1" w:styleId="odstavce">
    <w:name w:val="odstavce"/>
    <w:basedOn w:val="Normln"/>
    <w:link w:val="odstavceChar"/>
    <w:qFormat/>
    <w:rsid w:val="004A2F8F"/>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qFormat/>
    <w:rsid w:val="004A2F8F"/>
    <w:pPr>
      <w:ind w:left="2505" w:hanging="360"/>
    </w:pPr>
  </w:style>
  <w:style w:type="character" w:customStyle="1" w:styleId="odstavceChar">
    <w:name w:val="odstavce Char"/>
    <w:link w:val="odstavce"/>
    <w:rsid w:val="004A2F8F"/>
    <w:rPr>
      <w:rFonts w:ascii="Calibri" w:hAnsi="Calibri"/>
      <w:sz w:val="22"/>
      <w:szCs w:val="22"/>
      <w:lang w:val="x-none" w:eastAsia="x-none"/>
    </w:rPr>
  </w:style>
  <w:style w:type="character" w:customStyle="1" w:styleId="Drobnpsmo">
    <w:name w:val="Drobné písmo"/>
    <w:basedOn w:val="Standardnpsmoodstavce"/>
    <w:uiPriority w:val="99"/>
    <w:rsid w:val="00DC0F5A"/>
    <w:rPr>
      <w:rFonts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2934</Words>
  <Characters>17312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Kopačková Slávka</dc:creator>
  <cp:lastModifiedBy>Šulcková Andrea</cp:lastModifiedBy>
  <cp:revision>2</cp:revision>
  <dcterms:created xsi:type="dcterms:W3CDTF">2024-12-30T11:19:00Z</dcterms:created>
  <dcterms:modified xsi:type="dcterms:W3CDTF">2024-12-30T11:19:00Z</dcterms:modified>
</cp:coreProperties>
</file>