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bookmarkStart w:id="0" w:name="__DdeLink__229_1028295258"/>
      <w:bookmarkEnd w:id="0"/>
      <w:r>
        <w:rPr>
          <w:rFonts w:cs="Arial" w:ascii="Arial" w:hAnsi="Arial"/>
          <w:b/>
          <w:sz w:val="28"/>
        </w:rPr>
        <w:t>Smlouva o spolupráci a činnosti Institutu intermédií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rPr/>
      </w:pPr>
      <w:r>
        <w:rPr>
          <w:rFonts w:cs="Arial" w:ascii="Arial" w:hAnsi="Arial"/>
          <w:sz w:val="24"/>
        </w:rPr>
        <w:t>uzavřená mezi těmito subjekty:</w:t>
      </w:r>
    </w:p>
    <w:p>
      <w:pPr>
        <w:pStyle w:val="Normal"/>
        <w:ind w:right="283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right="283"/>
        <w:rPr/>
      </w:pPr>
      <w:r>
        <w:rPr>
          <w:rFonts w:cs="Arial" w:ascii="Arial" w:hAnsi="Arial"/>
          <w:b/>
          <w:sz w:val="24"/>
        </w:rPr>
        <w:t>České vysoké učení technické v Praze,</w:t>
      </w:r>
    </w:p>
    <w:p>
      <w:pPr>
        <w:pStyle w:val="Normal"/>
        <w:ind w:right="283"/>
        <w:rPr>
          <w:rFonts w:ascii="Arial" w:hAnsi="Arial" w:cs="Arial"/>
          <w:sz w:val="24"/>
        </w:rPr>
      </w:pPr>
      <w:r>
        <w:rPr>
          <w:rFonts w:cs="Arial" w:ascii="Arial" w:hAnsi="Arial"/>
          <w:b/>
          <w:bCs/>
          <w:sz w:val="24"/>
        </w:rPr>
        <w:t>Fakulta elektrotechnická</w:t>
        <w:br/>
      </w:r>
      <w:r>
        <w:rPr>
          <w:rFonts w:cs="Arial" w:ascii="Arial" w:hAnsi="Arial"/>
          <w:sz w:val="24"/>
        </w:rPr>
        <w:t>se sídlem: Technická 2, 16627 Praha 6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ind w:right="283"/>
        <w:rPr/>
      </w:pPr>
      <w:r>
        <w:rPr>
          <w:rFonts w:cs="Arial" w:ascii="Arial" w:hAnsi="Arial"/>
          <w:sz w:val="24"/>
        </w:rPr>
        <w:t xml:space="preserve">zastoupená děkanem FEL ČVUT prof. Mgr. Petrem Pátou, Ph.D. </w:t>
      </w:r>
    </w:p>
    <w:p>
      <w:pPr>
        <w:pStyle w:val="Normal"/>
        <w:ind w:right="283"/>
        <w:rPr/>
      </w:pPr>
      <w:r>
        <w:rPr>
          <w:rFonts w:cs="Arial" w:ascii="Arial" w:hAnsi="Arial"/>
          <w:sz w:val="24"/>
        </w:rPr>
        <w:t>IČ: 68407700</w:t>
      </w:r>
    </w:p>
    <w:p>
      <w:pPr>
        <w:pStyle w:val="Normal"/>
        <w:ind w:right="283"/>
        <w:rPr/>
      </w:pPr>
      <w:r>
        <w:rPr>
          <w:rFonts w:cs="Arial" w:ascii="Arial" w:hAnsi="Arial"/>
          <w:sz w:val="24"/>
        </w:rPr>
        <w:t>DIČ: CZ 68407700</w:t>
      </w:r>
    </w:p>
    <w:p>
      <w:pPr>
        <w:pStyle w:val="Normal"/>
        <w:ind w:right="283"/>
        <w:rPr/>
      </w:pPr>
      <w:r>
        <w:rPr>
          <w:rFonts w:cs="Arial" w:ascii="Arial" w:hAnsi="Arial"/>
          <w:sz w:val="24"/>
        </w:rPr>
        <w:t xml:space="preserve">bankovní spojení: </w:t>
      </w:r>
      <w:r>
        <w:rPr>
          <w:rFonts w:cs="Arial" w:ascii="Arial" w:hAnsi="Arial"/>
          <w:color w:val="000000"/>
          <w:sz w:val="24"/>
          <w:szCs w:val="24"/>
        </w:rPr>
        <w:t>19-5504540257/0100</w:t>
      </w:r>
    </w:p>
    <w:p>
      <w:pPr>
        <w:pStyle w:val="Normal"/>
        <w:ind w:right="283"/>
        <w:rPr/>
      </w:pPr>
      <w:r>
        <w:rPr>
          <w:rFonts w:cs="Arial" w:ascii="Arial" w:hAnsi="Arial"/>
          <w:sz w:val="24"/>
        </w:rPr>
        <w:t>(dále jen „ČVUT FEL")</w:t>
      </w:r>
    </w:p>
    <w:p>
      <w:pPr>
        <w:pStyle w:val="Normal"/>
        <w:ind w:right="283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right="283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</w:t>
      </w:r>
    </w:p>
    <w:p>
      <w:pPr>
        <w:pStyle w:val="Normal"/>
        <w:ind w:right="28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color w:val="auto"/>
          <w:highlight w:val="none"/>
          <w:shd w:fill="auto" w:val="clear"/>
        </w:rPr>
      </w:pPr>
      <w:bookmarkStart w:id="1" w:name="hs_cos_wrapper_module_15005865416531126"/>
      <w:bookmarkEnd w:id="1"/>
      <w:r>
        <w:rPr>
          <w:rFonts w:cs="Arial" w:ascii="Arial" w:hAnsi="Arial"/>
          <w:b/>
          <w:color w:val="000000"/>
          <w:sz w:val="24"/>
          <w:szCs w:val="24"/>
          <w:shd w:fill="auto" w:val="clear"/>
        </w:rPr>
        <w:t>Prague College s.r.o. (obchodní název Prague City University)</w:t>
      </w:r>
      <w:bookmarkStart w:id="2" w:name="hs_cos_wrapper_module_1510483467902497"/>
      <w:bookmarkEnd w:id="2"/>
      <w:r>
        <w:rPr>
          <w:rFonts w:cs="Arial" w:ascii="Arial" w:hAnsi="Arial"/>
          <w:b/>
          <w:color w:val="000000"/>
          <w:sz w:val="24"/>
          <w:szCs w:val="24"/>
          <w:shd w:fill="auto" w:val="clear"/>
        </w:rPr>
        <w:br/>
      </w:r>
      <w:r>
        <w:rPr>
          <w:rFonts w:cs="Arial" w:ascii="Arial" w:hAnsi="Arial"/>
          <w:color w:val="000000"/>
          <w:sz w:val="24"/>
          <w:szCs w:val="24"/>
          <w:shd w:fill="auto" w:val="clear"/>
        </w:rPr>
        <w:t xml:space="preserve">se sídlem: </w:t>
      </w:r>
      <w:bookmarkStart w:id="3" w:name="hs_cos_wrapper_module_141320955994513092"/>
      <w:bookmarkEnd w:id="3"/>
      <w:r>
        <w:rPr>
          <w:rFonts w:cs="Arial" w:ascii="Arial" w:hAnsi="Arial"/>
          <w:color w:val="000000"/>
          <w:sz w:val="24"/>
          <w:szCs w:val="24"/>
          <w:shd w:fill="auto" w:val="clear"/>
        </w:rPr>
        <w:t xml:space="preserve">Polská 10, 120 00 Praha 2 - Vinohrady </w:t>
        <w:br/>
        <w:t>zastoupená: Douglas F. Hajek, jednatel</w:t>
        <w:br/>
        <w:t xml:space="preserve">IČ: </w:t>
      </w:r>
      <w:r>
        <w:rPr>
          <w:rFonts w:cs="Arial" w:ascii="Arial" w:hAnsi="Arial"/>
          <w:bCs/>
          <w:color w:val="000000"/>
          <w:sz w:val="24"/>
          <w:szCs w:val="24"/>
          <w:shd w:fill="auto" w:val="clear"/>
        </w:rPr>
        <w:t>27164004</w:t>
      </w:r>
      <w:r>
        <w:rPr>
          <w:rFonts w:cs="Arial" w:ascii="Arial" w:hAnsi="Arial"/>
          <w:color w:val="000000"/>
          <w:sz w:val="24"/>
          <w:szCs w:val="24"/>
          <w:shd w:fill="auto" w:val="clear"/>
        </w:rPr>
        <w:t xml:space="preserve"> </w:t>
        <w:br/>
        <w:t>(dále jen „PCU")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jakožto účastníky Institutu intermédií (dále jen „partnerské školy“).</w:t>
      </w:r>
    </w:p>
    <w:p>
      <w:pPr>
        <w:pStyle w:val="Normal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</w:rPr>
        <w:t>Čl. 1</w:t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jc w:val="left"/>
        <w:rPr/>
      </w:pPr>
      <w:r>
        <w:rPr>
          <w:rFonts w:cs="Arial" w:ascii="Arial" w:hAnsi="Arial"/>
        </w:rPr>
        <w:t>Předmět smlouvy a účastníci Institutu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Smluvní strany se dohodly na využívání mezioborového pracoviště s názvem Institut intermédií (dále jen „Institut“ nebo „IIM“) založeného při Fakultě elektrotechnické Českého vysokého učení technického v Praze fakultami ČVUT a AMU v r. 2007.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color w:val="FF0000"/>
          <w:sz w:val="24"/>
        </w:rPr>
      </w:pPr>
      <w:r>
        <w:rPr>
          <w:rFonts w:cs="Arial" w:ascii="Arial" w:hAnsi="Arial"/>
          <w:sz w:val="24"/>
        </w:rPr>
        <w:t xml:space="preserve">Touto smlouvou se vymezují vztahy mezi partnerskými školami a upravuje se způsob využívání prostoru IIM a případná vlastnická práva k výstupům Institutu ze společných projektů a práva na jejich využití. Tato smlouva se uzavírá bilaterálně mezi ČVUT FEL (dále "hostitelská fakulta") a PCU </w:t>
      </w:r>
      <w:r>
        <w:rPr>
          <w:rFonts w:cs="Arial" w:ascii="Arial" w:hAnsi="Arial"/>
          <w:color w:val="auto"/>
          <w:sz w:val="24"/>
        </w:rPr>
        <w:t>pro studenty a pedagogy těchto studijních programů fakulty School of Art &amp; Design:</w:t>
      </w:r>
    </w:p>
    <w:p>
      <w:pPr>
        <w:pStyle w:val="Normal"/>
        <w:tabs>
          <w:tab w:val="clear" w:pos="708"/>
          <w:tab w:val="left" w:pos="390" w:leader="none"/>
        </w:tabs>
        <w:spacing w:before="113" w:after="0"/>
        <w:rPr>
          <w:color w:val="auto"/>
        </w:rPr>
      </w:pPr>
      <w:r>
        <w:rPr>
          <w:rFonts w:cs="Arial" w:ascii="Arial" w:hAnsi="Arial"/>
          <w:color w:val="auto"/>
          <w:sz w:val="24"/>
        </w:rPr>
        <w:tab/>
        <w:tab/>
        <w:tab/>
        <w:t>- bakalářský program BA (Hons) Fine Art Experimental Media</w:t>
      </w:r>
    </w:p>
    <w:p>
      <w:pPr>
        <w:pStyle w:val="Normal"/>
        <w:tabs>
          <w:tab w:val="clear" w:pos="708"/>
          <w:tab w:val="left" w:pos="390" w:leader="none"/>
        </w:tabs>
        <w:spacing w:before="113" w:after="0"/>
        <w:rPr>
          <w:color w:val="auto"/>
        </w:rPr>
      </w:pPr>
      <w:r>
        <w:rPr>
          <w:rFonts w:cs="Arial" w:ascii="Arial" w:hAnsi="Arial"/>
          <w:color w:val="auto"/>
          <w:sz w:val="24"/>
        </w:rPr>
        <w:tab/>
        <w:tab/>
        <w:tab/>
        <w:t>- bakalářský program BA (Hons) Graphic Design</w:t>
      </w:r>
    </w:p>
    <w:p>
      <w:pPr>
        <w:pStyle w:val="Normal"/>
        <w:tabs>
          <w:tab w:val="clear" w:pos="708"/>
          <w:tab w:val="left" w:pos="390" w:leader="none"/>
        </w:tabs>
        <w:spacing w:before="113" w:after="0"/>
        <w:rPr>
          <w:color w:val="auto"/>
        </w:rPr>
      </w:pPr>
      <w:r>
        <w:rPr>
          <w:rFonts w:cs="Arial" w:ascii="Arial" w:hAnsi="Arial"/>
          <w:color w:val="auto"/>
          <w:sz w:val="24"/>
        </w:rPr>
        <w:tab/>
        <w:tab/>
        <w:tab/>
        <w:t>- magisterský program MA Fine Art</w:t>
      </w:r>
    </w:p>
    <w:p>
      <w:pPr>
        <w:pStyle w:val="Normal"/>
        <w:tabs>
          <w:tab w:val="clear" w:pos="708"/>
          <w:tab w:val="left" w:pos="390" w:leader="none"/>
        </w:tabs>
        <w:spacing w:before="113" w:after="0"/>
        <w:rPr>
          <w:color w:val="auto"/>
        </w:rPr>
      </w:pPr>
      <w:r>
        <w:rPr>
          <w:rFonts w:cs="Arial" w:ascii="Arial" w:hAnsi="Arial"/>
          <w:color w:val="auto"/>
          <w:sz w:val="24"/>
        </w:rPr>
        <w:tab/>
        <w:t xml:space="preserve">PCU je zapsaná v Registru vysokých škol a uskutečňovaných studijních programů </w:t>
        <w:tab/>
        <w:t xml:space="preserve">vedeném Ministerstvem školství, mládeže a tělovýchovy jako pobočka zahraniční </w:t>
        <w:tab/>
        <w:t>mimoevropské vysoké školy.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Partnerské školy mohou využívat prostor a vybavení IIM v souladu s touto smlouvou a platným Statutem IIM. Podíly smluvních stran na společné finanční podpoře činnosti IIM se pak řídí podle článku 5 této smlouvy.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color w:themeColor="text1" w:val="000000"/>
        </w:rPr>
      </w:pPr>
      <w:r>
        <w:rPr>
          <w:rFonts w:cs="Arial" w:ascii="Arial" w:hAnsi="Arial"/>
          <w:sz w:val="24"/>
        </w:rPr>
        <w:t>Čl. 2</w:t>
      </w:r>
    </w:p>
    <w:p>
      <w:pPr>
        <w:pStyle w:val="Normal"/>
        <w:rPr>
          <w:rFonts w:ascii="Arial" w:hAnsi="Arial" w:cs="Arial"/>
          <w:b/>
          <w:color w:themeColor="text1" w:val="000000"/>
          <w:sz w:val="24"/>
        </w:rPr>
      </w:pPr>
      <w:r>
        <w:rPr>
          <w:rFonts w:cs="Arial" w:ascii="Arial" w:hAnsi="Arial"/>
          <w:b/>
          <w:color w:themeColor="text1" w:val="000000"/>
          <w:sz w:val="24"/>
        </w:rPr>
        <w:t>Účel zřízení a předmět činnosti Institutu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Poslání, účel zřízení a předmět činnosti IIM je definován v platném Statutu IIM (dále jen „Statut“).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Institut je společné pracoviště smluvních stran, které má zajistit a propojit výuku předmětů svým zaměřením pokrývajících hraniční oblasti mezi vybranými technickými a uměleckými obory vyučovanými na půdě smluvních stran a dále zajistit podmínky pro společný výzkum na mezioborové úrovni tam, kde účastníci Institutu tyto činnosti nemohou samostatně zajišťovat.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Pedagogické aktivity Institutu budou, tam kde to má smysl, spočívat v podpoře předmětů v rámci stávajících studijních programů akreditovaných na partnerských školách, v organizování specializovaných přednášek a kurzů z relevantních oborů a zajišťování prostoru pro spolupráci v rámci studentských projektů realizovaných studenty bakalářských, magisterských a doktorských studijních programů smluvních stran.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Výzkumné aktivity Institutu budou spočívat ve vytváření prostředí pro praktickou realizaci nebo experimentální činnost v oblasti multimediálních technologií, multimediální tvorby, architektury, scénické tvorby a v dalších příbuzných oblastech a dále vytvářet podmínky pro spolupráci s průmyslem a dalšími externími partnery. Výstupem těchto aktivit bude publikování společných výsledků vědecké a umělecké činnosti pod hlavičkou jednotlivých smluvních stran. </w:t>
      </w:r>
    </w:p>
    <w:p>
      <w:pPr>
        <w:pStyle w:val="Normal"/>
        <w:suppressAutoHyphens w:val="false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uppressAutoHyphens w:val="false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Čl. 3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Právní statut Institutu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Institut je zřízen jako organizační součást Fakulty elektrotechnické, ČVUT v Praze.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Vnitřní vztahy mezi účastníky Institutu při zajišťování činnosti Institutu se řídí platným Statutem Institutu intermédií (dále jen „Statut“) a platnými předpisy ČR, pokud v této smlouvě není stanoveno jinak.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Sídlem Institutu je Fakulta elektrotechnická, ČVUT v Praze, Technická 2, 16627 Praha 6.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Hostitelská fakulta poskytne pro činnost Institutu prostor halové laboratoře H1-24c a přilehlé místnosti H1-24a a H1-25 vybavené dle charakteru jeho aktivit nebo jiný odpovídající prostor.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</w:rPr>
        <w:t>Čl. 4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Vlastnická práva k výsledkům činnosti Institutu a práva na jejich využití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Smluvní strany se dohodly na tom, že duševní vlastnictví vzniklé při plnění úkolů v rámci projektů realizovaných na půdě IIM nebo v rámci činnosti IIM je majetkem té smluvní strany, jejíž pracovníci duševní vlastnictví vytvořili. Smluvní strany si navzájem oznámí vytvoření duševního vlastnictví a smluvní strana, která je majitelem takového duševního vlastnictví, nese náklady spojené s podáním přihlášek a vedením příslušných řízení.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Vznikne-li duševní vlastnictví při plnění úkolů v rámci projektu prokazatelně spoluprací pracovníků obou smluvních stran, je toto duševní vlastnictví společným majetkem obou smluvních stran, a to v tom poměru majetkových podílů, v jakém se na vytvoření duševního vlastnictví podíleli pracovníci každé ze smluvních stran.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Určení podílu spoluautorství na dosaženém výsledku musí být vždy předem dohodnuto zpravidla písemnou formou.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Obě smluvní strany jsou oprávněny užívat výsledky výuky, výzkumu a tvorby dosažené v rámci činnosti Institutu pro potřeby další výuky, výzkumu a tvorby realizované v rámci jejich činnosti v IIM. Publikovat výsledky výzkumu dosažené společně s jiným účastníkem Institutu lze pouze se souhlasem všech na výsledku se podílejících účastníků. Účastník, který takové výsledky zveřejňuje, je povinen uvést logo a název Institutu intermédií v příslušném médiu, v němž je dílo zveřejňováno a v propagačních materiálech. O výnosy z publikace, aplikace či distribuce se účastníci Institutu dělí na základě předem sjednané písemné dohody, zejména v případě, kdy se takové výnosy předpokládají.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Podle článku 4 odstavce 4 se postupuje i při udělování souhlasu k jinému, zejména komerčnímu využití společných výsledků činnosti Institutu s tím, že tomuto využití musí předcházet písemná dohoda na výsledku se podílejících účastníků o rozdělení výnosu z tohoto komerčního využití. Rozhodování ve sporných případech přísluší Radě Institutu.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Za závazky plynoucí ze spolupráce smluvních stran k třetím osobám odpovídá ta smluvní strana, která takový závazek vůči třetí osobě přijala.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>
          <w:rFonts w:cs="Arial" w:ascii="Arial" w:hAnsi="Arial"/>
          <w:sz w:val="24"/>
        </w:rPr>
        <w:t>Čl. 5</w:t>
      </w:r>
    </w:p>
    <w:p>
      <w:pPr>
        <w:pStyle w:val="Heading4"/>
        <w:numPr>
          <w:ilvl w:val="3"/>
          <w:numId w:val="1"/>
        </w:numPr>
        <w:tabs>
          <w:tab w:val="clear" w:pos="708"/>
          <w:tab w:val="left" w:pos="0" w:leader="none"/>
        </w:tabs>
        <w:rPr/>
      </w:pPr>
      <w:r>
        <w:rPr>
          <w:rFonts w:cs="Arial" w:ascii="Arial" w:hAnsi="Arial"/>
        </w:rPr>
        <w:t>Financování činnosti Institutu</w:t>
      </w:r>
    </w:p>
    <w:p>
      <w:pPr>
        <w:pStyle w:val="Heading4"/>
        <w:numPr>
          <w:ilvl w:val="3"/>
          <w:numId w:val="1"/>
        </w:numPr>
        <w:tabs>
          <w:tab w:val="clear" w:pos="708"/>
          <w:tab w:val="left" w:pos="0" w:leader="none"/>
        </w:tabs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Pedagogický výkon Institutu bude zajišťován přímo smluvními stranami pokrytím pracovních úvazků jejich pedagogů.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Roční finanční náklady IIM zahrnují mzdové náklady personálu zajišťujícího zejména provoz Institutu, technickou pomoc studentům partnerských škol a péči o vybavení dislokované v Institutu (nákupy náhradních dílů a opravy) a udržování agendy výpůjček tohoto vybavení studentům. Další náklady IIM zahrnují náklady na provoz ploch, v rámci kterých IIM působí, hrazené hostitelskou fakultou (energie, vodné, stočné, úklid). Roční náklady na energie, vodné, stočné a úklid určuje hostitelská fakulta na základě výpočtu z předchozích let a budou aktualizovány ve výroční zprávě předkládané periodicky vedoucím IIM Řídící radě IIM.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Personálem Institutu se rozumí zaměstnanci ČVUT FEL s úplným nebo částečným úvazkem vyhrazeným pro práci v Institutu, případně pracovníci pracující v IIM na základě dohod (DPP, DPČ), kteří mají v důsledku pracovně právního vztahu přístup do budovy ČVUT FEL a prostor IIM.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Smluvní strany se dohodly, že na pokrytí finančních nákladů Institutu bude PCU přispívat dílem rovnajícím se tzv. paušální částce pokrývající úkony uvedené v odst. 6 tohoto článku smlouvy.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Evidence využití prostoru IIM bude dispozici všem účastníkům smlouvy v online režimu na adrese </w:t>
      </w:r>
      <w:hyperlink r:id="rId2">
        <w:r>
          <w:rPr>
            <w:rStyle w:val="Hyperlink"/>
            <w:rFonts w:cs="Arial" w:ascii="Arial" w:hAnsi="Arial"/>
            <w:sz w:val="24"/>
          </w:rPr>
          <w:t>https://iim.cz/sumcal/</w:t>
        </w:r>
      </w:hyperlink>
      <w:hyperlink r:id="rId3">
        <w:r>
          <w:rPr>
            <w:rStyle w:val="ListLabel407"/>
            <w:rFonts w:cs="Arial" w:ascii="Arial" w:hAnsi="Arial"/>
            <w:sz w:val="24"/>
          </w:rPr>
          <w:t xml:space="preserve"> </w:t>
        </w:r>
      </w:hyperlink>
      <w:r>
        <w:rPr>
          <w:rFonts w:cs="Arial" w:ascii="Arial" w:hAnsi="Arial"/>
          <w:sz w:val="24"/>
        </w:rPr>
        <w:t>prostřednictvím členů Řídící rady IIM.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Paušální částka činí </w:t>
      </w:r>
      <w:r>
        <w:rPr>
          <w:rFonts w:cs="Arial" w:ascii="Arial" w:hAnsi="Arial"/>
          <w:color w:val="auto"/>
          <w:sz w:val="24"/>
        </w:rPr>
        <w:t>90.000,- Kč</w:t>
      </w:r>
      <w:r>
        <w:rPr>
          <w:rFonts w:cs="Arial" w:ascii="Arial" w:hAnsi="Arial"/>
          <w:sz w:val="24"/>
        </w:rPr>
        <w:t xml:space="preserve"> (slovy devadesáttisíckorunčeských) ročně. Tato částka pokrývá využití prostoru v pracovních dnech v průměru na </w:t>
      </w:r>
      <w:r>
        <w:rPr>
          <w:rFonts w:cs="Arial" w:ascii="Arial" w:hAnsi="Arial"/>
          <w:sz w:val="24"/>
        </w:rPr>
        <w:t>7.5</w:t>
      </w:r>
      <w:r>
        <w:rPr>
          <w:rFonts w:cs="Arial" w:ascii="Arial" w:hAnsi="Arial"/>
          <w:sz w:val="24"/>
        </w:rPr>
        <w:t xml:space="preserve">h měsíčně (tj. </w:t>
      </w:r>
      <w:r>
        <w:rPr>
          <w:rFonts w:cs="Arial" w:ascii="Arial" w:hAnsi="Arial"/>
          <w:color w:val="auto"/>
          <w:sz w:val="24"/>
        </w:rPr>
        <w:t>90h</w:t>
      </w:r>
      <w:r>
        <w:rPr>
          <w:rFonts w:cs="Arial" w:ascii="Arial" w:hAnsi="Arial"/>
          <w:sz w:val="24"/>
        </w:rPr>
        <w:t xml:space="preserve"> ročně). Paušální částku je možné čerpat ve formě výpůjček vybavení a rezervací prostoru studenty a pedagogy PCU. To za stranu ČVUT FEL zahrnuje vyskladnění techniky, vysvětlení jejího použití, vyškolení BOZP nebo součinnost při závozu/odvozu vlastního vybavení, asistence při zapojování světel a jiného vybavení IIM, nebo konfigurace podlahy. Specifická konfigurace prostoru (aražování světel, kulis, nastavování vlastního dovezeného vybavení) paušální částkou pokryta není. Využití prostoru nad </w:t>
      </w:r>
      <w:r>
        <w:rPr>
          <w:rFonts w:cs="Arial" w:ascii="Arial" w:hAnsi="Arial"/>
          <w:color w:val="auto"/>
          <w:sz w:val="24"/>
        </w:rPr>
        <w:t>90h</w:t>
      </w:r>
      <w:r>
        <w:rPr>
          <w:rFonts w:cs="Arial" w:ascii="Arial" w:hAnsi="Arial"/>
          <w:sz w:val="24"/>
        </w:rPr>
        <w:t xml:space="preserve"> v aktuálním roce bude v okamžiku překročení tohoto limitu, na základě sledování evidenčního systému (viz. odst. 5 tohoto článku) neprodleně oznámeno zástupci PCU a bude dále započítáno jako aditivní část příspěvku ve výši 1000Kč/h. Celková finální výše aditivní části příspěvku pak bude stanovena k 10. prosinci aktuálního roku na základě tohoto odstavce a dle informací z evidenčního systému (odst. 5 tohoto článku) oznámena zástupci PCU.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ČVUT FEL zajistí pro účely kontroly čerpání Řídící radou IIM, ve svém účetnictví prokazatelně oddělené hospodaření Institutu. PCU složí na účet hostitelské fakulty číslo 19-5504540257/0100 paušální část příspěvku pro aktuální rok do 30. června roku a případnou aditivní část příspěvku do 20. prosince po stanovení výše této aditivní části (viz odst. 6).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Vedoucí IIM předkládá do 30.3. běžného roku Výroční zprávu s vyhodnocením předchozího roku a návrh rozpočtu IIM na daný kalendářní rok Řídící radě IIM. Tato výroční zpráva pak bude k dispozici pro PCU.</w:t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spacing w:before="113" w:after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spacing w:before="113" w:after="0"/>
        <w:rPr/>
      </w:pPr>
      <w:r>
        <w:rPr>
          <w:rFonts w:cs="Arial" w:ascii="Arial" w:hAnsi="Arial"/>
          <w:bCs/>
          <w:sz w:val="24"/>
        </w:rPr>
        <w:t>Čl. 6</w:t>
      </w:r>
    </w:p>
    <w:p>
      <w:pPr>
        <w:pStyle w:val="Normal"/>
        <w:tabs>
          <w:tab w:val="clear" w:pos="708"/>
          <w:tab w:val="left" w:pos="1428" w:leader="none"/>
        </w:tabs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Technické vybavení Institutu</w:t>
      </w:r>
    </w:p>
    <w:p>
      <w:pPr>
        <w:pStyle w:val="Normal"/>
        <w:tabs>
          <w:tab w:val="clear" w:pos="708"/>
          <w:tab w:val="left" w:pos="1428" w:leader="none"/>
        </w:tabs>
        <w:rPr/>
      </w:pPr>
      <w:r>
        <w:rPr/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Obě smluvní strany se mohou podílet na zajištění potřebného technického vybavení společného pracoviště Institutu. Toto zařízení v takovém případě bude bezplatně poskytnuto Institutu na základě zápůjčních smluv.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Majetek dislokovaný v Institutu zůstává ve vlastnictví té smluvní strany, která ho pořídila.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Vybavení Institutu bude vždy pořizováno tak, aby bylo zřejmé, který z účastníků za toto vybavení zodpovídá a vede ho ve svém účetnictví jako hmotný majetek.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Evidence hmotného a nehmotného majetku pořízeného jednotlivými smluvními stranami bude podléhat předpisům té smluvní strany, která majetek pořídila a vede ho ve svém účetnictví. Institut umožní přístup účastníků (zastoupených studenty, pedagogy a administrativními pracovníky) k takto sdílenému majetku za účelem jeho užívání, evidence a kontroly.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Vybavení pracoviště bude zajištěno zejména z těchto zdrojů: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390" w:leader="none"/>
        </w:tabs>
        <w:spacing w:before="113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 prostředků ze společně koncipovaných grantů, z dalších grantů, získaných jednotlivými účastníky, kteří takto získané vybavení poskytnou pro činnost Institutu,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390" w:leader="none"/>
        </w:tabs>
        <w:spacing w:before="113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 darů,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390" w:leader="none"/>
        </w:tabs>
        <w:spacing w:before="113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 projektů realizovaných na základě dohod o spolupráci s externími subjekty,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390" w:leader="none"/>
        </w:tabs>
        <w:spacing w:before="113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 dalších aktivit – workshopy, výstavy, prezentace, letní školy.</w:t>
      </w:r>
    </w:p>
    <w:p>
      <w:pPr>
        <w:pStyle w:val="Normal"/>
        <w:suppressAutoHyphens w:val="false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highlight w:val="yellow"/>
        </w:rPr>
      </w:pPr>
      <w:r>
        <w:rPr>
          <w:rFonts w:cs="Arial" w:ascii="Arial" w:hAnsi="Arial"/>
          <w:sz w:val="24"/>
        </w:rPr>
        <w:t>Čl. 7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Odstoupení od smlouvy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K ukončení činnosti v Institutu může dojít výhradně písemnou dohodou účastníků této smlouvy.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Každá smluvní strana má právo ukončit činnost v Institutu formou písemné výpovědi s výpovědní lhůtou 3 měsíců, kterou doručí druhé smluvní straně. Výpovědní lhůta začíná běžet prvním dnem měsíce následujícího po doručení písemné výpovědi.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Technické zařízení, které odstupující smluvní strana poskytla k dispozici Institutu a které bylo původně touto stranou pořízeno přímo za účelem činnosti Institutu, se zavazuje odstupující smluvní strana nabídnout k odkupu druhé smluvní straně za zůstatkovou hodnotu.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 případě, že odstupující stranou je hostitelská fakulta, provedou obě strany vzájemné navrácení poskytnutého vybavení, nedohodnou-li se obě smluvní strany jinak.</w:t>
        <w:br/>
      </w:r>
    </w:p>
    <w:p>
      <w:pPr>
        <w:pStyle w:val="Normal"/>
        <w:tabs>
          <w:tab w:val="clear" w:pos="708"/>
          <w:tab w:val="left" w:pos="720" w:leader="none"/>
        </w:tabs>
        <w:spacing w:before="113" w:after="0"/>
        <w:ind w:left="20"/>
        <w:rPr/>
      </w:pPr>
      <w:r>
        <w:rPr>
          <w:rFonts w:cs="Arial" w:ascii="Arial" w:hAnsi="Arial"/>
          <w:sz w:val="24"/>
        </w:rPr>
        <w:t>Čl. 8</w:t>
      </w:r>
    </w:p>
    <w:p>
      <w:pPr>
        <w:pStyle w:val="Normal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Přechodná a závěrečná ustanovení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Tato smlouva se uzavírá na dobu neurčitou.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Smlouvu lze vypovědět některým z účastníků smlouvy písemnou formou dle čl. 7, odst. 2.  Paušální částka se pak sníží v poměru k využité části roku. Případná aditivní část bude nadále odpovídat množství hodin nad limit daný paušální částkou.</w:t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Smlouva nabývá platnosti dnem podpisu oprávněných zástupců smluvních stran a účinnosti okamžikem zveřejnění v registru smluv dle zákona č. 340/2015 Sb.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Smluvní strany souhlasí s uveřejněním této smlouvy v registru smluv podle zákona č. 340/2015 Sb., o registru smluv, které zajistí ČVUT v Praze. Pro účely jejího uveřejnění nepovažují smluvní strany nic z obsahu této smlouvy ani z metadat k ní se vážících za vyloučené z uveřejnění.</w:t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Právní vztahy z této smlouvy vyplývající a touto smlouvou výslovně neupravené se řídí příslušnými ustanoveními nadřazených právních norem (vnitřní předpisy ČVUT FEL a ČVUT, občanský zákoník a další zákonné předpisy v platném znění).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Tato smlouva může být doplňována nebo měněna pouze písemnou formou číslovanými dodatky, které se po podepsání oběma smluvními stranami stávají nedílnou součástí této bilaterální smlouvy.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Smlouva je vyhotovena ve 2 stejnopisech, z nichž každá smluvní strana obdrží po jednom vyhotovení.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390" w:leader="none"/>
        </w:tabs>
        <w:spacing w:before="113" w:after="0"/>
        <w:ind w:hanging="397" w:left="39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Zástupci smluvních stran tímto prohlašují, že si smlouvu přečetli a v dobré vůli souhlasí s jejím obsahem, na důkaz čehož připojují své podpisy.</w:t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>
          <w:rFonts w:cs="Arial" w:ascii="Arial" w:hAnsi="Arial"/>
          <w:sz w:val="24"/>
        </w:rPr>
        <w:t>V Praze dne:</w:t>
        <w:tab/>
        <w:tab/>
        <w:tab/>
        <w:tab/>
        <w:tab/>
        <w:t>V Praze dne:</w:t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/>
      </w:pPr>
      <w:r>
        <w:rPr>
          <w:rFonts w:eastAsia="Arial" w:cs="Arial" w:ascii="Arial" w:hAnsi="Arial"/>
          <w:sz w:val="24"/>
        </w:rPr>
        <w:t>……………………………………</w:t>
      </w:r>
      <w:r>
        <w:rPr>
          <w:rFonts w:eastAsia="Arial" w:cs="Arial" w:ascii="Arial" w:hAnsi="Arial"/>
          <w:sz w:val="24"/>
        </w:rPr>
        <w:tab/>
        <w:tab/>
        <w:t xml:space="preserve">……………………………………                      </w:t>
      </w:r>
    </w:p>
    <w:p>
      <w:pPr>
        <w:pStyle w:val="Normal"/>
        <w:ind w:left="60"/>
        <w:rPr/>
      </w:pPr>
      <w:r>
        <w:rPr>
          <w:rFonts w:cs="Arial" w:ascii="Arial" w:hAnsi="Arial"/>
          <w:sz w:val="24"/>
        </w:rPr>
        <w:t>za ČVUT FEL</w:t>
        <w:tab/>
        <w:tab/>
        <w:tab/>
        <w:tab/>
        <w:t>za Prague College s.r.o.</w:t>
      </w:r>
    </w:p>
    <w:p>
      <w:pPr>
        <w:pStyle w:val="Normal"/>
        <w:ind w:left="60"/>
        <w:rPr/>
      </w:pPr>
      <w:r>
        <w:rPr>
          <w:rFonts w:cs="Arial" w:ascii="Arial" w:hAnsi="Arial"/>
          <w:sz w:val="24"/>
        </w:rPr>
        <w:t>prof. Mgr. Petr Páta, Ph.D.</w:t>
        <w:tab/>
        <w:tab/>
        <w:t>Douglas Hajek</w:t>
      </w:r>
    </w:p>
    <w:p>
      <w:pPr>
        <w:pStyle w:val="Normal"/>
        <w:ind w:left="60"/>
        <w:rPr/>
      </w:pPr>
      <w:r>
        <w:rPr>
          <w:rFonts w:cs="Arial" w:ascii="Arial" w:hAnsi="Arial"/>
          <w:sz w:val="24"/>
        </w:rPr>
        <w:t xml:space="preserve">děkan ČVUT FEL </w:t>
        <w:tab/>
        <w:tab/>
        <w:tab/>
        <w:tab/>
        <w:t>jednatel</w:t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bookmarkStart w:id="4" w:name="_GoBack11"/>
      <w:bookmarkStart w:id="5" w:name="_GoBack11"/>
      <w:bookmarkEnd w:id="5"/>
    </w:p>
    <w:p>
      <w:pPr>
        <w:pStyle w:val="Normal"/>
        <w:ind w:left="60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304" w:right="1304" w:gutter="0" w:header="1304" w:top="1962" w:footer="1304" w:bottom="1818"/>
      <w:pgNumType w:fmt="decimal"/>
      <w:formProt w:val="false"/>
      <w:textDirection w:val="lrTb"/>
      <w:docGrid w:type="default" w:linePitch="272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nev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Normal"/>
      <w:ind w:left="60"/>
      <w:rPr>
        <w:rFonts w:ascii="Arial" w:hAnsi="Arial" w:cs="Arial"/>
        <w:sz w:val="24"/>
      </w:rPr>
    </w:pPr>
    <w:r>
      <w:rPr>
        <w:rFonts w:cs="Arial" w:ascii="Arial" w:hAnsi="Arial"/>
        <w:sz w:val="24"/>
      </w:rPr>
    </w:r>
  </w:p>
  <w:p>
    <w:pPr>
      <w:pStyle w:val="Normal"/>
      <w:ind w:left="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Normal"/>
      <w:ind w:left="60"/>
      <w:rPr>
        <w:rFonts w:ascii="Arial" w:hAnsi="Arial" w:cs="Arial"/>
        <w:sz w:val="24"/>
      </w:rPr>
    </w:pPr>
    <w:r>
      <w:rPr>
        <w:rFonts w:cs="Arial" w:ascii="Arial" w:hAnsi="Arial"/>
        <w:sz w:val="24"/>
      </w:rPr>
    </w:r>
  </w:p>
  <w:p>
    <w:pPr>
      <w:pStyle w:val="Normal"/>
      <w:ind w:left="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i/>
        <w:i/>
        <w:iCs/>
      </w:rPr>
    </w:pPr>
    <w:r>
      <w:rPr>
        <w:rFonts w:cs="Arial" w:ascii="Arial" w:hAnsi="Arial"/>
        <w:i/>
        <w:i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Arial" w:hAnsi="Arial"/>
        <w:color w:themeColor="text1"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Arial" w:hAnsi="Arial"/>
        <w:color w:themeColor="text1"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Arial" w:hAnsi="Arial"/>
        <w:color w:themeColor="text1"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Arial" w:hAnsi="Arial"/>
        <w:color w:themeColor="text1"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</w:num>
  <w:num w:numId="37">
    <w:abstractNumId w:val="4"/>
  </w:num>
  <w:num w:numId="38">
    <w:abstractNumId w:val="4"/>
    <w:lvlOverride w:ilvl="0">
      <w:startOverride w:val="1"/>
    </w:lvlOverride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4b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zh-CN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rFonts w:ascii="Geneva" w:hAnsi="Geneva" w:cs="Geneva"/>
      <w:sz w:val="24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rFonts w:ascii="Geneva" w:hAnsi="Geneva" w:cs="Geneva"/>
      <w:b/>
      <w:sz w:val="24"/>
    </w:rPr>
  </w:style>
  <w:style w:type="paragraph" w:styleId="Heading3">
    <w:name w:val="Heading 3"/>
    <w:basedOn w:val="Normal"/>
    <w:qFormat/>
    <w:pPr>
      <w:keepNext w:val="true"/>
      <w:ind w:left="708" w:right="283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qFormat/>
    <w:pPr>
      <w:keepNext w:val="true"/>
      <w:outlineLvl w:val="3"/>
    </w:pPr>
    <w:rPr>
      <w:rFonts w:ascii="Geneva" w:hAnsi="Geneva" w:cs="Geneva"/>
      <w:b/>
      <w:bCs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DefaultParagraphFont1" w:customStyle="1">
    <w:name w:val="Default Paragraph Font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sz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sz w:val="24"/>
      <w:szCs w:val="20"/>
      <w:lang w:val="cs-CZ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Arial" w:hAnsi="Arial" w:cs="Arial"/>
      <w:sz w:val="24"/>
      <w:szCs w:val="20"/>
      <w:lang w:val="cs-CZ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  <w:color w:val="000000"/>
      <w:sz w:val="24"/>
      <w:szCs w:val="20"/>
      <w:lang w:val="cs-CZ"/>
    </w:rPr>
  </w:style>
  <w:style w:type="character" w:styleId="WW8Num7z0" w:customStyle="1">
    <w:name w:val="WW8Num7z0"/>
    <w:qFormat/>
    <w:rPr>
      <w:rFonts w:ascii="Arial" w:hAnsi="Arial" w:eastAsia="Arial" w:cs="Arial"/>
      <w:sz w:val="24"/>
      <w:szCs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cs="Arial"/>
      <w:sz w:val="24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Arial" w:hAnsi="Arial" w:cs="Arial"/>
      <w:b/>
      <w:sz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Aria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sz w:val="24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andardnpsmoodstavce7" w:customStyle="1">
    <w:name w:val="Standardní písmo odstavce7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rFonts w:cs="Arial"/>
      <w:b w:val="false"/>
      <w:bCs w:val="false"/>
      <w:sz w:val="24"/>
      <w:szCs w:val="24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cs="Arial"/>
      <w:b w:val="false"/>
      <w:bCs w:val="false"/>
      <w:sz w:val="24"/>
      <w:szCs w:val="24"/>
    </w:rPr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Standardnpsmoodstavce6" w:customStyle="1">
    <w:name w:val="Standardní písmo odstavce6"/>
    <w:qFormat/>
    <w:rPr/>
  </w:style>
  <w:style w:type="character" w:styleId="Absatz-Standardschriftart" w:customStyle="1">
    <w:name w:val="Absatz-Standardschriftart"/>
    <w:qFormat/>
    <w:rPr/>
  </w:style>
  <w:style w:type="character" w:styleId="Standardnpsmoodstavce5" w:customStyle="1">
    <w:name w:val="Standardní písmo odstavce5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2z0" w:customStyle="1">
    <w:name w:val="WW8Num32z0"/>
    <w:qFormat/>
    <w:rPr>
      <w:rFonts w:ascii="Symbol" w:hAnsi="Symbol" w:eastAsia="Times New Roman" w:cs="Aria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Symbol" w:hAnsi="Symbol" w:cs="Symbo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40z0" w:customStyle="1">
    <w:name w:val="WW8Num40z0"/>
    <w:qFormat/>
    <w:rPr>
      <w:rFonts w:ascii="Symbol" w:hAnsi="Symbol" w:cs="Symbo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Standardnpsmoodstavce4" w:customStyle="1">
    <w:name w:val="Standardní písmo odstavce4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Standardnpsmoodstavce3" w:customStyle="1">
    <w:name w:val="Standardní písmo odstavce3"/>
    <w:qFormat/>
    <w:rPr/>
  </w:style>
  <w:style w:type="character" w:styleId="WW-Standardnpsmoodstavce" w:customStyle="1">
    <w:name w:val="WW-Standardní písmo odstavce"/>
    <w:qFormat/>
    <w:rPr/>
  </w:style>
  <w:style w:type="character" w:styleId="Standardnpsmoodstavce2" w:customStyle="1">
    <w:name w:val="Standardní písmo odstavce2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Standardnpsmoodstavce1" w:customStyle="1">
    <w:name w:val="Standardní písmo odstavce1"/>
    <w:qFormat/>
    <w:rPr/>
  </w:style>
  <w:style w:type="character" w:styleId="NumberingSymbols" w:customStyle="1">
    <w:name w:val="Numbering Symbols"/>
    <w:qFormat/>
    <w:rPr>
      <w:sz w:val="24"/>
      <w:szCs w:val="24"/>
    </w:rPr>
  </w:style>
  <w:style w:type="character" w:styleId="Symbolyproslovn" w:customStyle="1">
    <w:name w:val="Symboly pro číslování"/>
    <w:qFormat/>
    <w:rPr/>
  </w:style>
  <w:style w:type="character" w:styleId="Odrky" w:customStyle="1">
    <w:name w:val="Odrážky"/>
    <w:qFormat/>
    <w:rPr>
      <w:rFonts w:ascii="StarSymbol" w:hAnsi="StarSymbol" w:eastAsia="StarSymbol" w:cs="StarSymbol"/>
      <w:sz w:val="18"/>
      <w:szCs w:val="18"/>
    </w:rPr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  <w:lang w:eastAsia="zh-CN"/>
    </w:rPr>
  </w:style>
  <w:style w:type="character" w:styleId="CommentReference1" w:customStyle="1">
    <w:name w:val="Comment Reference1"/>
    <w:qFormat/>
    <w:rPr>
      <w:sz w:val="16"/>
      <w:szCs w:val="16"/>
    </w:rPr>
  </w:style>
  <w:style w:type="character" w:styleId="CommentTextChar" w:customStyle="1">
    <w:name w:val="Comment Text Char"/>
    <w:qFormat/>
    <w:rPr>
      <w:lang w:eastAsia="zh-CN"/>
    </w:rPr>
  </w:style>
  <w:style w:type="character" w:styleId="CommentSubjectChar" w:customStyle="1">
    <w:name w:val="Comment Subject Char"/>
    <w:qFormat/>
    <w:rPr>
      <w:b/>
      <w:bCs/>
      <w:lang w:eastAsia="zh-CN"/>
    </w:rPr>
  </w:style>
  <w:style w:type="character" w:styleId="Odkaznakoment1" w:customStyle="1">
    <w:name w:val="Odkaz na komentář1"/>
    <w:qFormat/>
    <w:rPr>
      <w:sz w:val="16"/>
      <w:szCs w:val="16"/>
    </w:rPr>
  </w:style>
  <w:style w:type="character" w:styleId="TextkomenteChar" w:customStyle="1">
    <w:name w:val="Text komentáře Char"/>
    <w:qFormat/>
    <w:rPr>
      <w:lang w:eastAsia="zh-CN"/>
    </w:rPr>
  </w:style>
  <w:style w:type="character" w:styleId="PedmtkomenteChar" w:customStyle="1">
    <w:name w:val="Předmět komentáře Char"/>
    <w:qFormat/>
    <w:rPr>
      <w:b/>
      <w:bCs/>
      <w:lang w:eastAsia="zh-CN"/>
    </w:rPr>
  </w:style>
  <w:style w:type="character" w:styleId="TextbublinyChar" w:customStyle="1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BalloonTextChar1" w:customStyle="1">
    <w:name w:val="Balloon Text Char1"/>
    <w:link w:val="BalloonText"/>
    <w:uiPriority w:val="99"/>
    <w:semiHidden/>
    <w:qFormat/>
    <w:rsid w:val="00db235e"/>
    <w:rPr>
      <w:rFonts w:ascii="Segoe UI" w:hAnsi="Segoe UI" w:cs="Segoe UI"/>
      <w:color w:val="00000A"/>
      <w:sz w:val="18"/>
      <w:szCs w:val="18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Nimbus Sans L" w:hAnsi="Nimbus Sans L" w:eastAsia="Nimbus Sans L" w:cs="Lucidasans"/>
      <w:sz w:val="28"/>
      <w:szCs w:val="28"/>
    </w:rPr>
  </w:style>
  <w:style w:type="paragraph" w:styleId="BodyText">
    <w:name w:val="Body Text"/>
    <w:basedOn w:val="Normal"/>
    <w:pPr/>
    <w:rPr>
      <w:rFonts w:ascii="Geneva" w:hAnsi="Geneva" w:cs="Geneva"/>
      <w:sz w:val="24"/>
    </w:rPr>
  </w:style>
  <w:style w:type="paragraph" w:styleId="List">
    <w:name w:val="List"/>
    <w:basedOn w:val="BodyText"/>
    <w:pPr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sans"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styleId="Nadpis" w:customStyle="1">
    <w:name w:val="Nadpis"/>
    <w:basedOn w:val="Normal"/>
    <w:qFormat/>
    <w:pPr>
      <w:keepNext w:val="true"/>
      <w:spacing w:before="240" w:after="120"/>
    </w:pPr>
    <w:rPr>
      <w:rFonts w:ascii="Nimbus Sans L" w:hAnsi="Nimbus Sans L" w:eastAsia="Nimbus Sans L" w:cs="Nimbus Sans L"/>
      <w:sz w:val="28"/>
      <w:szCs w:val="28"/>
    </w:rPr>
  </w:style>
  <w:style w:type="paragraph" w:styleId="Popisek" w:customStyle="1">
    <w:name w:val="Popisek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BodyTextIndent">
    <w:name w:val="Body Text Indent"/>
    <w:basedOn w:val="Normal"/>
    <w:pPr>
      <w:widowControl w:val="false"/>
      <w:ind w:left="360"/>
      <w:jc w:val="both"/>
    </w:pPr>
    <w:rPr>
      <w:rFonts w:eastAsia="HG Mincho Light J"/>
      <w:color w:val="000000"/>
      <w:sz w:val="24"/>
    </w:rPr>
  </w:style>
  <w:style w:type="paragraph" w:styleId="Zkladntextodsazen21" w:customStyle="1">
    <w:name w:val="Základní text odsazený 21"/>
    <w:basedOn w:val="Normal"/>
    <w:qFormat/>
    <w:pPr>
      <w:spacing w:lineRule="auto" w:line="480" w:before="0" w:after="120"/>
      <w:ind w:left="283"/>
    </w:pPr>
    <w:rPr>
      <w:sz w:val="24"/>
      <w:szCs w:val="24"/>
      <w:lang w:val="de-DE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8"/>
        <w:tab w:val="center" w:pos="4649" w:leader="none"/>
        <w:tab w:val="right" w:pos="9298" w:leader="none"/>
      </w:tabs>
    </w:pPr>
    <w:rPr/>
  </w:style>
  <w:style w:type="paragraph" w:styleId="BlockQuotation" w:customStyle="1">
    <w:name w:val="Block Quotation"/>
    <w:basedOn w:val="Normal"/>
    <w:qFormat/>
    <w:pPr>
      <w:spacing w:before="0" w:after="283"/>
      <w:ind w:left="567" w:right="567"/>
    </w:pPr>
    <w:rPr/>
  </w:style>
  <w:style w:type="paragraph" w:styleId="Nzev1" w:customStyle="1">
    <w:name w:val="Název1"/>
    <w:basedOn w:val="Nadpis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qFormat/>
    <w:pPr>
      <w:spacing w:before="60" w:after="120"/>
      <w:jc w:val="center"/>
    </w:pPr>
    <w:rPr>
      <w:sz w:val="36"/>
      <w:szCs w:val="36"/>
    </w:rPr>
  </w:style>
  <w:style w:type="paragraph" w:styleId="Nzev2" w:customStyle="1">
    <w:name w:val="Název2"/>
    <w:basedOn w:val="Heading"/>
    <w:qFormat/>
    <w:pPr>
      <w:jc w:val="center"/>
    </w:pPr>
    <w:rPr>
      <w:b/>
      <w:bCs/>
      <w:sz w:val="56"/>
      <w:szCs w:val="56"/>
    </w:rPr>
  </w:style>
  <w:style w:type="paragraph" w:styleId="BalloonText1" w:customStyle="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CommentText1" w:customStyle="1">
    <w:name w:val="Comment Text1"/>
    <w:basedOn w:val="Normal"/>
    <w:qFormat/>
    <w:pPr/>
    <w:rPr/>
  </w:style>
  <w:style w:type="paragraph" w:styleId="CommentSubject1" w:customStyle="1">
    <w:name w:val="Comment Subject1"/>
    <w:basedOn w:val="CommentText1"/>
    <w:qFormat/>
    <w:pPr/>
    <w:rPr>
      <w:b/>
      <w:bCs/>
    </w:rPr>
  </w:style>
  <w:style w:type="paragraph" w:styleId="Header">
    <w:name w:val="Header"/>
    <w:basedOn w:val="Normal"/>
    <w:pPr>
      <w:suppressLineNumbers/>
      <w:tabs>
        <w:tab w:val="clear" w:pos="708"/>
        <w:tab w:val="center" w:pos="4649" w:leader="none"/>
        <w:tab w:val="right" w:pos="9298" w:leader="none"/>
      </w:tabs>
    </w:pPr>
    <w:rPr/>
  </w:style>
  <w:style w:type="paragraph" w:styleId="HorizontalLine" w:customStyle="1">
    <w:name w:val="Horizontal Line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Textkomente1" w:customStyle="1">
    <w:name w:val="Text komentáře1"/>
    <w:basedOn w:val="Normal"/>
    <w:qFormat/>
    <w:pPr/>
    <w:rPr/>
  </w:style>
  <w:style w:type="paragraph" w:styleId="annotationsubject">
    <w:name w:val="annotation subject"/>
    <w:basedOn w:val="Textkomente1"/>
    <w:qFormat/>
    <w:pPr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unhideWhenUsed/>
    <w:qFormat/>
    <w:rsid w:val="00db235e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35e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im.cz/sumcal/" TargetMode="External"/><Relationship Id="rId3" Type="http://schemas.openxmlformats.org/officeDocument/2006/relationships/hyperlink" Target="https://iim.cz/sumcal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LibreOffice/24.2.4.2$Linux_X86_64 LibreOffice_project/420$Build-2</Application>
  <AppVersion>15.0000</AppVersion>
  <Pages>6</Pages>
  <Words>1815</Words>
  <Characters>10822</Characters>
  <CharactersWithSpaces>12566</CharactersWithSpaces>
  <Paragraphs>86</Paragraphs>
  <Company>ČVUT v Praze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2024-10-02T08:31:00Z</dcterms:created>
  <dc:creator>Roman Berka</dc:creator>
  <dc:description/>
  <dc:language>cs-CZ</dc:language>
  <cp:lastModifiedBy/>
  <cp:lastPrinted>2016-05-10T06:51:00Z</cp:lastPrinted>
  <dcterms:modified xsi:type="dcterms:W3CDTF">2024-10-30T07:54:55Z</dcterms:modified>
  <cp:revision>4</cp:revision>
  <dc:subject/>
  <dc:title>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