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7221400093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město</w:t>
      </w:r>
      <w:r>
        <w:rPr>
          <w:spacing w:val="-9"/>
        </w:rPr>
        <w:t> </w:t>
      </w:r>
      <w:r>
        <w:rPr/>
        <w:t>Mariánské</w:t>
      </w:r>
      <w:r>
        <w:rPr>
          <w:spacing w:val="-9"/>
        </w:rPr>
        <w:t> </w:t>
      </w:r>
      <w:r>
        <w:rPr>
          <w:spacing w:val="-2"/>
        </w:rPr>
        <w:t>Lázně</w:t>
      </w:r>
    </w:p>
    <w:p>
      <w:pPr>
        <w:pStyle w:val="BodyText"/>
        <w:tabs>
          <w:tab w:pos="2982" w:val="left" w:leader="none"/>
        </w:tabs>
        <w:ind w:left="102" w:right="555"/>
      </w:pPr>
      <w:r>
        <w:rPr/>
        <w:t>kontaktní adresa:</w:t>
        <w:tab/>
        <w:t>Městský</w:t>
      </w:r>
      <w:r>
        <w:rPr>
          <w:spacing w:val="-6"/>
        </w:rPr>
        <w:t> </w:t>
      </w:r>
      <w:r>
        <w:rPr/>
        <w:t>úřad</w:t>
      </w:r>
      <w:r>
        <w:rPr>
          <w:spacing w:val="-5"/>
        </w:rPr>
        <w:t> </w:t>
      </w:r>
      <w:r>
        <w:rPr/>
        <w:t>Mariánské</w:t>
      </w:r>
      <w:r>
        <w:rPr>
          <w:spacing w:val="-6"/>
        </w:rPr>
        <w:t> </w:t>
      </w:r>
      <w:r>
        <w:rPr/>
        <w:t>Lázně,</w:t>
      </w:r>
      <w:r>
        <w:rPr>
          <w:spacing w:val="-6"/>
        </w:rPr>
        <w:t> </w:t>
      </w:r>
      <w:r>
        <w:rPr/>
        <w:t>Ruská</w:t>
      </w:r>
      <w:r>
        <w:rPr>
          <w:spacing w:val="-6"/>
        </w:rPr>
        <w:t> </w:t>
      </w:r>
      <w:r>
        <w:rPr/>
        <w:t>155/3,</w:t>
      </w:r>
      <w:r>
        <w:rPr>
          <w:spacing w:val="-6"/>
        </w:rPr>
        <w:t> </w:t>
      </w:r>
      <w:r>
        <w:rPr/>
        <w:t>353</w:t>
      </w:r>
      <w:r>
        <w:rPr>
          <w:spacing w:val="-1"/>
        </w:rPr>
        <w:t> </w:t>
      </w:r>
      <w:r>
        <w:rPr/>
        <w:t>01</w:t>
      </w:r>
      <w:r>
        <w:rPr>
          <w:spacing w:val="-4"/>
        </w:rPr>
        <w:t> </w:t>
      </w:r>
      <w:r>
        <w:rPr/>
        <w:t>Mariánské</w:t>
      </w:r>
      <w:r>
        <w:rPr>
          <w:spacing w:val="-4"/>
        </w:rPr>
        <w:t> </w:t>
      </w:r>
      <w:r>
        <w:rPr/>
        <w:t>Lázně </w:t>
      </w:r>
      <w:r>
        <w:rPr>
          <w:spacing w:val="-4"/>
        </w:rPr>
        <w:t>IČO:</w:t>
      </w:r>
      <w:r>
        <w:rPr/>
        <w:tab/>
      </w:r>
      <w:r>
        <w:rPr>
          <w:spacing w:val="-2"/>
        </w:rPr>
        <w:t>00254061</w:t>
      </w:r>
    </w:p>
    <w:p>
      <w:pPr>
        <w:pStyle w:val="BodyText"/>
        <w:tabs>
          <w:tab w:pos="2982" w:val="left" w:leader="none"/>
        </w:tabs>
        <w:spacing w:line="265" w:lineRule="exact"/>
        <w:ind w:left="102"/>
      </w:pPr>
      <w:r>
        <w:rPr>
          <w:spacing w:val="-2"/>
        </w:rPr>
        <w:t>zastoupené:</w:t>
      </w:r>
      <w:r>
        <w:rPr/>
        <w:tab/>
        <w:t>Martinem</w:t>
      </w:r>
      <w:r>
        <w:rPr>
          <w:spacing w:val="-4"/>
        </w:rPr>
        <w:t> </w:t>
      </w:r>
      <w:r>
        <w:rPr/>
        <w:t>H</w:t>
      </w:r>
      <w:r>
        <w:rPr>
          <w:spacing w:val="-3"/>
        </w:rPr>
        <w:t> </w:t>
      </w:r>
      <w:r>
        <w:rPr/>
        <w:t>u</w:t>
      </w:r>
      <w:r>
        <w:rPr>
          <w:spacing w:val="-2"/>
        </w:rPr>
        <w:t> </w:t>
      </w:r>
      <w:r>
        <w:rPr/>
        <w:t>r</w:t>
      </w:r>
      <w:r>
        <w:rPr>
          <w:spacing w:val="-2"/>
        </w:rPr>
        <w:t> </w:t>
      </w:r>
      <w:r>
        <w:rPr/>
        <w:t>a</w:t>
      </w:r>
      <w:r>
        <w:rPr>
          <w:spacing w:val="-3"/>
        </w:rPr>
        <w:t> </w:t>
      </w:r>
      <w:r>
        <w:rPr/>
        <w:t>j č</w:t>
      </w:r>
      <w:r>
        <w:rPr>
          <w:spacing w:val="-3"/>
        </w:rPr>
        <w:t> </w:t>
      </w:r>
      <w:r>
        <w:rPr/>
        <w:t>í</w:t>
      </w:r>
      <w:r>
        <w:rPr>
          <w:spacing w:val="-3"/>
        </w:rPr>
        <w:t> </w:t>
      </w:r>
      <w:r>
        <w:rPr/>
        <w:t>k e</w:t>
      </w:r>
      <w:r>
        <w:rPr>
          <w:spacing w:val="-1"/>
        </w:rPr>
        <w:t> </w:t>
      </w:r>
      <w:r>
        <w:rPr/>
        <w:t>m,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186"/>
      </w:pPr>
      <w:r>
        <w:rPr/>
        <w:t>číslo účtu:</w:t>
        <w:tab/>
      </w:r>
      <w:r>
        <w:rPr>
          <w:spacing w:val="-2"/>
        </w:rPr>
        <w:t>94-413331/0710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7221400093 o poskytnutí finančních prostředků ze Státního fondu životního prostředí ČR ze dne 13. 5. 2024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742"/>
        <w:jc w:val="both"/>
      </w:pPr>
      <w:r>
        <w:rPr/>
        <w:t>„Komunitní</w:t>
      </w:r>
      <w:r>
        <w:rPr>
          <w:spacing w:val="-7"/>
        </w:rPr>
        <w:t> </w:t>
      </w:r>
      <w:r>
        <w:rPr/>
        <w:t>energetika</w:t>
      </w:r>
      <w:r>
        <w:rPr>
          <w:spacing w:val="-6"/>
        </w:rPr>
        <w:t> </w:t>
      </w:r>
      <w:r>
        <w:rPr/>
        <w:t>Mariánské</w:t>
      </w:r>
      <w:r>
        <w:rPr>
          <w:spacing w:val="-7"/>
        </w:rPr>
        <w:t> </w:t>
      </w:r>
      <w:r>
        <w:rPr/>
        <w:t>Lázně</w:t>
      </w:r>
      <w:r>
        <w:rPr>
          <w:spacing w:val="-4"/>
        </w:rPr>
        <w:t> </w:t>
      </w:r>
      <w:r>
        <w:rPr/>
        <w:t>I.</w:t>
      </w:r>
      <w:r>
        <w:rPr>
          <w:spacing w:val="-8"/>
        </w:rPr>
        <w:t> </w:t>
      </w:r>
      <w:r>
        <w:rPr/>
        <w:t>etapa</w:t>
      </w:r>
      <w:r>
        <w:rPr>
          <w:spacing w:val="-5"/>
        </w:rPr>
        <w:t> </w:t>
      </w:r>
      <w:r>
        <w:rPr/>
        <w:t>–</w:t>
      </w:r>
      <w:r>
        <w:rPr>
          <w:spacing w:val="-5"/>
        </w:rPr>
        <w:t> </w:t>
      </w:r>
      <w:r>
        <w:rPr/>
        <w:t>FVE</w:t>
      </w:r>
      <w:r>
        <w:rPr>
          <w:spacing w:val="-5"/>
        </w:rPr>
        <w:t> </w:t>
      </w:r>
      <w:r>
        <w:rPr/>
        <w:t>MĚDDM</w:t>
      </w:r>
      <w:r>
        <w:rPr>
          <w:spacing w:val="-8"/>
        </w:rPr>
        <w:t> </w:t>
      </w:r>
      <w:r>
        <w:rPr/>
        <w:t>a</w:t>
      </w:r>
      <w:r>
        <w:rPr>
          <w:spacing w:val="-6"/>
        </w:rPr>
        <w:t> </w:t>
      </w:r>
      <w:r>
        <w:rPr/>
        <w:t>FVE</w:t>
      </w:r>
      <w:r>
        <w:rPr>
          <w:spacing w:val="-7"/>
        </w:rPr>
        <w:t> </w:t>
      </w:r>
      <w:r>
        <w:rPr/>
        <w:t>stadion</w:t>
      </w:r>
      <w:r>
        <w:rPr>
          <w:spacing w:val="-6"/>
        </w:rPr>
        <w:t> </w:t>
      </w:r>
      <w:r>
        <w:rPr>
          <w:spacing w:val="-2"/>
        </w:rPr>
        <w:t>Viktoria“</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462" w:val="left" w:leader="none"/>
        </w:tabs>
        <w:spacing w:line="240" w:lineRule="auto" w:before="99" w:after="0"/>
        <w:ind w:left="461" w:right="112" w:hanging="360"/>
        <w:jc w:val="both"/>
        <w:rPr>
          <w:sz w:val="20"/>
        </w:rPr>
      </w:pPr>
      <w:r>
        <w:rPr>
          <w:sz w:val="20"/>
        </w:rPr>
        <w:t>Podpora</w:t>
      </w:r>
      <w:r>
        <w:rPr>
          <w:spacing w:val="-6"/>
          <w:sz w:val="20"/>
        </w:rPr>
        <w:t> </w:t>
      </w:r>
      <w:r>
        <w:rPr>
          <w:sz w:val="20"/>
        </w:rPr>
        <w:t>je</w:t>
      </w:r>
      <w:r>
        <w:rPr>
          <w:spacing w:val="-7"/>
          <w:sz w:val="20"/>
        </w:rPr>
        <w:t> </w:t>
      </w:r>
      <w:r>
        <w:rPr>
          <w:sz w:val="20"/>
        </w:rPr>
        <w:t>poskytována</w:t>
      </w:r>
      <w:r>
        <w:rPr>
          <w:spacing w:val="-6"/>
          <w:sz w:val="20"/>
        </w:rPr>
        <w:t> </w:t>
      </w:r>
      <w:r>
        <w:rPr>
          <w:sz w:val="20"/>
        </w:rPr>
        <w:t>v</w:t>
      </w:r>
      <w:r>
        <w:rPr>
          <w:spacing w:val="-5"/>
          <w:sz w:val="20"/>
        </w:rPr>
        <w:t> </w:t>
      </w:r>
      <w:r>
        <w:rPr>
          <w:sz w:val="20"/>
        </w:rPr>
        <w:t>souladu</w:t>
      </w:r>
      <w:r>
        <w:rPr>
          <w:spacing w:val="-6"/>
          <w:sz w:val="20"/>
        </w:rPr>
        <w:t> </w:t>
      </w:r>
      <w:r>
        <w:rPr>
          <w:sz w:val="20"/>
        </w:rPr>
        <w:t>s</w:t>
      </w:r>
      <w:r>
        <w:rPr>
          <w:spacing w:val="-6"/>
          <w:sz w:val="20"/>
        </w:rPr>
        <w:t> </w:t>
      </w:r>
      <w:r>
        <w:rPr>
          <w:sz w:val="20"/>
        </w:rPr>
        <w:t>Nařízením</w:t>
      </w:r>
      <w:r>
        <w:rPr>
          <w:spacing w:val="-7"/>
          <w:sz w:val="20"/>
        </w:rPr>
        <w:t> </w:t>
      </w:r>
      <w:r>
        <w:rPr>
          <w:sz w:val="20"/>
        </w:rPr>
        <w:t>Komise</w:t>
      </w:r>
      <w:r>
        <w:rPr>
          <w:spacing w:val="-5"/>
          <w:sz w:val="20"/>
        </w:rPr>
        <w:t> </w:t>
      </w:r>
      <w:r>
        <w:rPr>
          <w:sz w:val="20"/>
        </w:rPr>
        <w:t>(EU)</w:t>
      </w:r>
      <w:r>
        <w:rPr>
          <w:spacing w:val="-6"/>
          <w:sz w:val="20"/>
        </w:rPr>
        <w:t> </w:t>
      </w:r>
      <w:r>
        <w:rPr>
          <w:sz w:val="20"/>
        </w:rPr>
        <w:t>č.</w:t>
      </w:r>
      <w:r>
        <w:rPr>
          <w:spacing w:val="-5"/>
          <w:sz w:val="20"/>
        </w:rPr>
        <w:t> </w:t>
      </w:r>
      <w:r>
        <w:rPr>
          <w:sz w:val="20"/>
        </w:rPr>
        <w:t>651/2014</w:t>
      </w:r>
      <w:r>
        <w:rPr>
          <w:spacing w:val="-5"/>
          <w:sz w:val="20"/>
        </w:rPr>
        <w:t> </w:t>
      </w:r>
      <w:r>
        <w:rPr>
          <w:sz w:val="20"/>
        </w:rPr>
        <w:t>ze</w:t>
      </w:r>
      <w:r>
        <w:rPr>
          <w:spacing w:val="-6"/>
          <w:sz w:val="20"/>
        </w:rPr>
        <w:t> </w:t>
      </w:r>
      <w:r>
        <w:rPr>
          <w:sz w:val="20"/>
        </w:rPr>
        <w:t>dne</w:t>
      </w:r>
      <w:r>
        <w:rPr>
          <w:spacing w:val="-6"/>
          <w:sz w:val="20"/>
        </w:rPr>
        <w:t> </w:t>
      </w:r>
      <w:r>
        <w:rPr>
          <w:sz w:val="20"/>
        </w:rPr>
        <w:t>17.</w:t>
      </w:r>
      <w:r>
        <w:rPr>
          <w:spacing w:val="-5"/>
          <w:sz w:val="20"/>
        </w:rPr>
        <w:t> </w:t>
      </w:r>
      <w:r>
        <w:rPr>
          <w:sz w:val="20"/>
        </w:rPr>
        <w:t>června</w:t>
      </w:r>
      <w:r>
        <w:rPr>
          <w:spacing w:val="-6"/>
          <w:sz w:val="20"/>
        </w:rPr>
        <w:t> </w:t>
      </w:r>
      <w:r>
        <w:rPr>
          <w:sz w:val="20"/>
        </w:rPr>
        <w:t>2014,</w:t>
      </w:r>
      <w:r>
        <w:rPr>
          <w:spacing w:val="-5"/>
          <w:sz w:val="20"/>
        </w:rPr>
        <w:t> </w:t>
      </w:r>
      <w:r>
        <w:rPr>
          <w:sz w:val="20"/>
        </w:rPr>
        <w:t>kterým se v souladu s články 107 a 108 Smlouvy prohlašují určité kategorie podpory za slučitelné s vnitřním trhem (obecné nařízení o blokových výjimkách), zveřejněném v Úředním věstníku EU dne 26. června 2014 a jejím oznámením SA.111735 (článek 41).</w:t>
      </w:r>
    </w:p>
    <w:p>
      <w:pPr>
        <w:pStyle w:val="BodyText"/>
        <w:rPr>
          <w:sz w:val="2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1 042</w:t>
      </w:r>
      <w:r>
        <w:rPr>
          <w:b/>
          <w:spacing w:val="-2"/>
          <w:sz w:val="20"/>
        </w:rPr>
        <w:t> </w:t>
      </w:r>
      <w:r>
        <w:rPr>
          <w:b/>
          <w:sz w:val="20"/>
        </w:rPr>
        <w:t>047,00 Kč </w:t>
      </w:r>
      <w:r>
        <w:rPr>
          <w:sz w:val="20"/>
        </w:rPr>
        <w:t>(slovy: jeden milion čtyřicet dva tisíc čtyřicet sedm korun </w:t>
      </w:r>
      <w:r>
        <w:rPr>
          <w:spacing w:val="-2"/>
          <w:sz w:val="20"/>
        </w:rPr>
        <w:t>českých).</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2 744 424,99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line="265" w:lineRule="exact"/>
      </w:pPr>
      <w:r>
        <w:rPr>
          <w:spacing w:val="-4"/>
        </w:rPr>
        <w:t>III.</w:t>
      </w:r>
    </w:p>
    <w:p>
      <w:pPr>
        <w:pStyle w:val="Heading2"/>
        <w:spacing w:line="265" w:lineRule="exact"/>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9"/>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5"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0" w:hanging="360"/>
        <w:jc w:val="both"/>
        <w:rPr>
          <w:sz w:val="20"/>
        </w:rPr>
      </w:pPr>
      <w:r>
        <w:rPr>
          <w:sz w:val="20"/>
        </w:rPr>
        <w:t>splní</w:t>
      </w:r>
      <w:r>
        <w:rPr>
          <w:spacing w:val="-13"/>
          <w:sz w:val="20"/>
        </w:rPr>
        <w:t> </w:t>
      </w:r>
      <w:r>
        <w:rPr>
          <w:sz w:val="20"/>
        </w:rPr>
        <w:t>účel</w:t>
      </w:r>
      <w:r>
        <w:rPr>
          <w:spacing w:val="-11"/>
          <w:sz w:val="20"/>
        </w:rPr>
        <w:t> </w:t>
      </w:r>
      <w:r>
        <w:rPr>
          <w:sz w:val="20"/>
        </w:rPr>
        <w:t>akce</w:t>
      </w:r>
      <w:r>
        <w:rPr>
          <w:spacing w:val="-11"/>
          <w:sz w:val="20"/>
        </w:rPr>
        <w:t> </w:t>
      </w:r>
      <w:r>
        <w:rPr>
          <w:sz w:val="20"/>
        </w:rPr>
        <w:t>„Komunitní</w:t>
      </w:r>
      <w:r>
        <w:rPr>
          <w:spacing w:val="-11"/>
          <w:sz w:val="20"/>
        </w:rPr>
        <w:t> </w:t>
      </w:r>
      <w:r>
        <w:rPr>
          <w:sz w:val="20"/>
        </w:rPr>
        <w:t>energetika</w:t>
      </w:r>
      <w:r>
        <w:rPr>
          <w:spacing w:val="-13"/>
          <w:sz w:val="20"/>
        </w:rPr>
        <w:t> </w:t>
      </w:r>
      <w:r>
        <w:rPr>
          <w:sz w:val="20"/>
        </w:rPr>
        <w:t>Mariánské</w:t>
      </w:r>
      <w:r>
        <w:rPr>
          <w:spacing w:val="-14"/>
          <w:sz w:val="20"/>
        </w:rPr>
        <w:t> </w:t>
      </w:r>
      <w:r>
        <w:rPr>
          <w:sz w:val="20"/>
        </w:rPr>
        <w:t>Lázně</w:t>
      </w:r>
      <w:r>
        <w:rPr>
          <w:spacing w:val="-11"/>
          <w:sz w:val="20"/>
        </w:rPr>
        <w:t> </w:t>
      </w:r>
      <w:r>
        <w:rPr>
          <w:sz w:val="20"/>
        </w:rPr>
        <w:t>I.</w:t>
      </w:r>
      <w:r>
        <w:rPr>
          <w:spacing w:val="-13"/>
          <w:sz w:val="20"/>
        </w:rPr>
        <w:t> </w:t>
      </w:r>
      <w:r>
        <w:rPr>
          <w:sz w:val="20"/>
        </w:rPr>
        <w:t>etapa</w:t>
      </w:r>
      <w:r>
        <w:rPr>
          <w:spacing w:val="-13"/>
          <w:sz w:val="20"/>
        </w:rPr>
        <w:t> </w:t>
      </w:r>
      <w:r>
        <w:rPr>
          <w:sz w:val="20"/>
        </w:rPr>
        <w:t>–</w:t>
      </w:r>
      <w:r>
        <w:rPr>
          <w:spacing w:val="-11"/>
          <w:sz w:val="20"/>
        </w:rPr>
        <w:t> </w:t>
      </w:r>
      <w:r>
        <w:rPr>
          <w:sz w:val="20"/>
        </w:rPr>
        <w:t>FVE</w:t>
      </w:r>
      <w:r>
        <w:rPr>
          <w:spacing w:val="-13"/>
          <w:sz w:val="20"/>
        </w:rPr>
        <w:t> </w:t>
      </w:r>
      <w:r>
        <w:rPr>
          <w:sz w:val="20"/>
        </w:rPr>
        <w:t>MĚDDM</w:t>
      </w:r>
      <w:r>
        <w:rPr>
          <w:spacing w:val="-12"/>
          <w:sz w:val="20"/>
        </w:rPr>
        <w:t> </w:t>
      </w:r>
      <w:r>
        <w:rPr>
          <w:sz w:val="20"/>
        </w:rPr>
        <w:t>a</w:t>
      </w:r>
      <w:r>
        <w:rPr>
          <w:spacing w:val="-13"/>
          <w:sz w:val="20"/>
        </w:rPr>
        <w:t> </w:t>
      </w:r>
      <w:r>
        <w:rPr>
          <w:sz w:val="20"/>
        </w:rPr>
        <w:t>FVE</w:t>
      </w:r>
      <w:r>
        <w:rPr>
          <w:spacing w:val="-10"/>
          <w:sz w:val="20"/>
        </w:rPr>
        <w:t> </w:t>
      </w:r>
      <w:r>
        <w:rPr>
          <w:sz w:val="20"/>
        </w:rPr>
        <w:t>stadion</w:t>
      </w:r>
      <w:r>
        <w:rPr>
          <w:spacing w:val="-12"/>
          <w:sz w:val="20"/>
        </w:rPr>
        <w:t> </w:t>
      </w:r>
      <w:r>
        <w:rPr>
          <w:sz w:val="20"/>
        </w:rPr>
        <w:t>Viktoria“ tím, že akce bude provedena v souladu s</w:t>
      </w:r>
      <w:r>
        <w:rPr>
          <w:spacing w:val="-2"/>
          <w:sz w:val="20"/>
        </w:rPr>
        <w:t> </w:t>
      </w:r>
      <w:r>
        <w:rPr>
          <w:sz w:val="20"/>
        </w:rPr>
        <w:t>Výzvou, žádostí o podporu a jejími přílohami a touto </w:t>
      </w:r>
      <w:r>
        <w:rPr>
          <w:spacing w:val="-2"/>
          <w:sz w:val="20"/>
        </w:rPr>
        <w:t>Smlouvou,</w:t>
      </w:r>
    </w:p>
    <w:p>
      <w:pPr>
        <w:pStyle w:val="ListParagraph"/>
        <w:numPr>
          <w:ilvl w:val="1"/>
          <w:numId w:val="4"/>
        </w:numPr>
        <w:tabs>
          <w:tab w:pos="746" w:val="left" w:leader="none"/>
        </w:tabs>
        <w:spacing w:line="240" w:lineRule="auto" w:before="1" w:after="0"/>
        <w:ind w:left="745" w:right="115" w:hanging="360"/>
        <w:jc w:val="both"/>
        <w:rPr>
          <w:sz w:val="20"/>
        </w:rPr>
      </w:pPr>
      <w:r>
        <w:rPr>
          <w:sz w:val="20"/>
        </w:rPr>
        <w:t>realizací projektu dojde k výstavbě nové fotovoltaické elektrárny se střešní instalací s předpokládaným výkonem 60,49 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ight="708"/>
              <w:rPr>
                <w:b/>
                <w:sz w:val="20"/>
              </w:rPr>
            </w:pPr>
            <w:r>
              <w:rPr>
                <w:b/>
                <w:spacing w:val="-2"/>
                <w:sz w:val="20"/>
              </w:rPr>
              <w:t>Výchozí hodnota</w:t>
            </w:r>
          </w:p>
        </w:tc>
        <w:tc>
          <w:tcPr>
            <w:tcW w:w="1608" w:type="dxa"/>
          </w:tcPr>
          <w:p>
            <w:pPr>
              <w:pStyle w:val="TableParagraph"/>
              <w:spacing w:before="120"/>
              <w:ind w:left="108" w:right="688"/>
              <w:rPr>
                <w:b/>
                <w:sz w:val="20"/>
              </w:rPr>
            </w:pPr>
            <w:r>
              <w:rPr>
                <w:b/>
                <w:spacing w:val="-2"/>
                <w:sz w:val="20"/>
              </w:rPr>
              <w:t>Cílová hodnota</w:t>
            </w:r>
          </w:p>
        </w:tc>
      </w:tr>
      <w:tr>
        <w:trPr>
          <w:trHeight w:val="505" w:hRule="atLeast"/>
        </w:trPr>
        <w:tc>
          <w:tcPr>
            <w:tcW w:w="395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60.49</w:t>
            </w:r>
          </w:p>
        </w:tc>
      </w:tr>
      <w:tr>
        <w:trPr>
          <w:trHeight w:val="505" w:hRule="atLeast"/>
        </w:trPr>
        <w:tc>
          <w:tcPr>
            <w:tcW w:w="395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spacing w:val="-2"/>
                <w:sz w:val="20"/>
              </w:rPr>
              <w:t>39.86</w:t>
            </w:r>
          </w:p>
        </w:tc>
        <w:tc>
          <w:tcPr>
            <w:tcW w:w="1608" w:type="dxa"/>
          </w:tcPr>
          <w:p>
            <w:pPr>
              <w:pStyle w:val="TableParagraph"/>
              <w:spacing w:before="120"/>
              <w:ind w:left="391"/>
              <w:rPr>
                <w:sz w:val="20"/>
              </w:rPr>
            </w:pPr>
            <w:r>
              <w:rPr>
                <w:spacing w:val="-2"/>
                <w:sz w:val="20"/>
              </w:rPr>
              <w:t>47.22</w:t>
            </w:r>
          </w:p>
        </w:tc>
      </w:tr>
      <w:tr>
        <w:trPr>
          <w:trHeight w:val="530" w:hRule="atLeast"/>
        </w:trPr>
        <w:tc>
          <w:tcPr>
            <w:tcW w:w="3951" w:type="dxa"/>
          </w:tcPr>
          <w:p>
            <w:pPr>
              <w:pStyle w:val="TableParagraph"/>
              <w:spacing w:line="264" w:lineRule="exact" w:before="0"/>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142.76</w:t>
            </w:r>
          </w:p>
        </w:tc>
      </w:tr>
      <w:tr>
        <w:trPr>
          <w:trHeight w:val="509" w:hRule="atLeast"/>
        </w:trPr>
        <w:tc>
          <w:tcPr>
            <w:tcW w:w="395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3"/>
              <w:ind w:left="0" w:right="398"/>
              <w:jc w:val="right"/>
              <w:rPr>
                <w:sz w:val="20"/>
              </w:rPr>
            </w:pPr>
            <w:r>
              <w:rPr>
                <w:spacing w:val="-2"/>
                <w:sz w:val="20"/>
              </w:rPr>
              <w:t>MWh/rok</w:t>
            </w:r>
          </w:p>
        </w:tc>
        <w:tc>
          <w:tcPr>
            <w:tcW w:w="1625" w:type="dxa"/>
          </w:tcPr>
          <w:p>
            <w:pPr>
              <w:pStyle w:val="TableParagraph"/>
              <w:spacing w:before="123"/>
              <w:ind w:left="388"/>
              <w:rPr>
                <w:sz w:val="20"/>
              </w:rPr>
            </w:pPr>
            <w:r>
              <w:rPr>
                <w:w w:val="99"/>
                <w:sz w:val="20"/>
              </w:rPr>
              <w:t>0</w:t>
            </w:r>
          </w:p>
        </w:tc>
        <w:tc>
          <w:tcPr>
            <w:tcW w:w="1608" w:type="dxa"/>
          </w:tcPr>
          <w:p>
            <w:pPr>
              <w:pStyle w:val="TableParagraph"/>
              <w:spacing w:before="123"/>
              <w:ind w:left="391"/>
              <w:rPr>
                <w:sz w:val="20"/>
              </w:rPr>
            </w:pPr>
            <w:r>
              <w:rPr>
                <w:spacing w:val="-2"/>
                <w:sz w:val="20"/>
              </w:rPr>
              <w:t>54.91</w:t>
            </w:r>
          </w:p>
        </w:tc>
      </w:tr>
    </w:tbl>
    <w:p>
      <w:pPr>
        <w:pStyle w:val="BodyText"/>
        <w:spacing w:before="11"/>
        <w:rPr>
          <w:sz w:val="37"/>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 (realizací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ind w:left="745" w:right="114"/>
        <w:jc w:val="both"/>
      </w:pPr>
      <w:r>
        <w:rPr/>
        <w:t>o</w:t>
      </w:r>
      <w:r>
        <w:rPr>
          <w:spacing w:val="-1"/>
        </w:rPr>
        <w:t> </w:t>
      </w:r>
      <w:r>
        <w:rPr/>
        <w:t>případném</w:t>
      </w:r>
      <w:r>
        <w:rPr>
          <w:spacing w:val="22"/>
        </w:rPr>
        <w:t> </w:t>
      </w:r>
      <w:r>
        <w:rPr/>
        <w:t>stavění</w:t>
      </w:r>
      <w:r>
        <w:rPr>
          <w:spacing w:val="23"/>
        </w:rPr>
        <w:t> </w:t>
      </w:r>
      <w:r>
        <w:rPr/>
        <w:t>uvedené</w:t>
      </w:r>
      <w:r>
        <w:rPr>
          <w:spacing w:val="22"/>
        </w:rPr>
        <w:t> </w:t>
      </w:r>
      <w:r>
        <w:rPr/>
        <w:t>lhůty.</w:t>
      </w:r>
      <w:r>
        <w:rPr>
          <w:spacing w:val="25"/>
        </w:rPr>
        <w:t> </w:t>
      </w:r>
      <w:r>
        <w:rPr/>
        <w:t>Příjemce</w:t>
      </w:r>
      <w:r>
        <w:rPr>
          <w:spacing w:val="22"/>
        </w:rPr>
        <w:t> </w:t>
      </w:r>
      <w:r>
        <w:rPr/>
        <w:t>podpory</w:t>
      </w:r>
      <w:r>
        <w:rPr>
          <w:spacing w:val="24"/>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8"/>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14"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2"/>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33"/>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9"/>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470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126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2024-12-17T13:50:46Z</dcterms:created>
  <dcterms:modified xsi:type="dcterms:W3CDTF">2024-12-17T13:50:46Z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2016</vt:lpwstr>
  </property>
  <property fmtid="{D5CDD505-2E9C-101B-9397-08002B2CF9AE}" pid="4" name="LastSaved">
    <vt:filetime>2024-12-17T00:00:00Z</vt:filetime>
  </property>
</Properties>
</file>