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E731" w14:textId="77777777" w:rsidR="006201B0" w:rsidRPr="00314E1C" w:rsidRDefault="006201B0" w:rsidP="00FF4721">
      <w:pPr>
        <w:keepNext/>
        <w:jc w:val="center"/>
        <w:rPr>
          <w:b/>
          <w:caps/>
          <w:sz w:val="28"/>
          <w:szCs w:val="28"/>
          <w:lang w:val="cs-CZ"/>
        </w:rPr>
      </w:pPr>
      <w:r w:rsidRPr="00314E1C">
        <w:rPr>
          <w:b/>
          <w:caps/>
          <w:sz w:val="28"/>
          <w:szCs w:val="28"/>
          <w:lang w:val="cs-CZ"/>
        </w:rPr>
        <w:t>rámcová SMLOUVA O SPOLUPRÁCI</w:t>
      </w:r>
    </w:p>
    <w:p w14:paraId="4ADDFCDF" w14:textId="77777777" w:rsidR="006201B0" w:rsidRPr="00314E1C" w:rsidRDefault="006201B0" w:rsidP="00FF4721">
      <w:pPr>
        <w:keepNext/>
        <w:rPr>
          <w:lang w:val="cs-CZ"/>
        </w:rPr>
      </w:pPr>
    </w:p>
    <w:p w14:paraId="413AC816" w14:textId="77777777" w:rsidR="006201B0" w:rsidRPr="00314E1C" w:rsidRDefault="006201B0" w:rsidP="00FF4721">
      <w:pPr>
        <w:keepNext/>
        <w:rPr>
          <w:lang w:val="cs-CZ"/>
        </w:rPr>
      </w:pPr>
    </w:p>
    <w:p w14:paraId="071ABC01" w14:textId="77777777" w:rsidR="006201B0" w:rsidRPr="00314E1C" w:rsidRDefault="006201B0" w:rsidP="00FF4721">
      <w:pPr>
        <w:keepNext/>
        <w:jc w:val="both"/>
        <w:rPr>
          <w:lang w:val="cs-CZ"/>
        </w:rPr>
      </w:pPr>
      <w:r w:rsidRPr="00314E1C">
        <w:rPr>
          <w:lang w:val="cs-CZ"/>
        </w:rPr>
        <w:t>SMLUVNÍ STRANY</w:t>
      </w:r>
    </w:p>
    <w:p w14:paraId="27AB14D5" w14:textId="77777777" w:rsidR="006201B0" w:rsidRPr="00314E1C" w:rsidRDefault="006201B0" w:rsidP="00FF4721">
      <w:pPr>
        <w:keepNext/>
        <w:jc w:val="both"/>
        <w:rPr>
          <w:lang w:val="cs-CZ"/>
        </w:rPr>
      </w:pPr>
    </w:p>
    <w:p w14:paraId="02BAB448" w14:textId="438BA1CB" w:rsidR="00B974C2" w:rsidRPr="00582E66" w:rsidRDefault="006201B0" w:rsidP="00B974C2">
      <w:pPr>
        <w:spacing w:line="23" w:lineRule="atLeast"/>
        <w:rPr>
          <w:b/>
          <w:szCs w:val="22"/>
          <w:lang w:val="cs-CZ"/>
        </w:rPr>
      </w:pPr>
      <w:r w:rsidRPr="00314E1C">
        <w:rPr>
          <w:lang w:val="cs-CZ"/>
        </w:rPr>
        <w:t>1.</w:t>
      </w:r>
      <w:r w:rsidRPr="00314E1C">
        <w:rPr>
          <w:lang w:val="cs-CZ"/>
        </w:rPr>
        <w:tab/>
      </w:r>
      <w:r w:rsidR="00582E66" w:rsidRPr="00582E66">
        <w:rPr>
          <w:b/>
          <w:bCs/>
          <w:lang w:val="cs-CZ"/>
        </w:rPr>
        <w:t>Technické služby města Nového Jičína, příspěvková organizace</w:t>
      </w:r>
    </w:p>
    <w:p w14:paraId="4FA2CFCC" w14:textId="2874DE2F" w:rsidR="00B974C2" w:rsidRPr="00582E66" w:rsidRDefault="00B974C2" w:rsidP="00B974C2">
      <w:pPr>
        <w:spacing w:line="23" w:lineRule="atLeast"/>
        <w:ind w:firstLine="567"/>
        <w:rPr>
          <w:rStyle w:val="PsacstrojHTML"/>
          <w:rFonts w:ascii="Times New Roman" w:hAnsi="Times New Roman"/>
          <w:sz w:val="22"/>
          <w:szCs w:val="22"/>
          <w:lang w:val="cs-CZ"/>
        </w:rPr>
      </w:pPr>
      <w:r w:rsidRPr="00582E66">
        <w:rPr>
          <w:szCs w:val="22"/>
          <w:lang w:val="cs-CZ"/>
        </w:rPr>
        <w:t xml:space="preserve">se sídlem na adrese </w:t>
      </w:r>
      <w:r w:rsidR="00582E66" w:rsidRPr="00582E66">
        <w:rPr>
          <w:szCs w:val="22"/>
          <w:lang w:val="cs-CZ"/>
        </w:rPr>
        <w:t xml:space="preserve">Suvorovova 909/114, 741 01 Nový Jičín  </w:t>
      </w:r>
    </w:p>
    <w:p w14:paraId="340AB44E" w14:textId="4109E2EE" w:rsidR="00B974C2" w:rsidRPr="00582E66" w:rsidRDefault="00B974C2" w:rsidP="00B974C2">
      <w:pPr>
        <w:ind w:firstLine="567"/>
        <w:rPr>
          <w:bCs/>
          <w:szCs w:val="22"/>
          <w:lang w:val="cs-CZ"/>
        </w:rPr>
      </w:pPr>
      <w:r w:rsidRPr="00582E66">
        <w:rPr>
          <w:rStyle w:val="PsacstrojHTML"/>
          <w:rFonts w:ascii="Times New Roman" w:hAnsi="Times New Roman"/>
          <w:bCs/>
          <w:sz w:val="22"/>
          <w:szCs w:val="22"/>
          <w:lang w:val="cs-CZ"/>
        </w:rPr>
        <w:t>IČO:</w:t>
      </w:r>
      <w:r w:rsidRPr="00582E66">
        <w:rPr>
          <w:color w:val="333333"/>
          <w:szCs w:val="22"/>
          <w:shd w:val="clear" w:color="auto" w:fill="FFFFFF"/>
          <w:lang w:val="cs-CZ" w:eastAsia="en-US"/>
        </w:rPr>
        <w:t xml:space="preserve"> </w:t>
      </w:r>
      <w:r w:rsidR="00582E66" w:rsidRPr="00582E66">
        <w:rPr>
          <w:color w:val="333333"/>
          <w:szCs w:val="22"/>
          <w:shd w:val="clear" w:color="auto" w:fill="FFFFFF"/>
          <w:lang w:val="cs-CZ" w:eastAsia="en-US"/>
        </w:rPr>
        <w:t>00417688</w:t>
      </w:r>
    </w:p>
    <w:p w14:paraId="27A81BCE" w14:textId="50CC6FC1" w:rsidR="00B974C2" w:rsidRPr="00582E66" w:rsidRDefault="00B974C2" w:rsidP="00B974C2">
      <w:pPr>
        <w:ind w:firstLine="567"/>
        <w:rPr>
          <w:color w:val="000000"/>
          <w:szCs w:val="22"/>
          <w:lang w:val="pl-PL"/>
        </w:rPr>
      </w:pPr>
      <w:bookmarkStart w:id="0" w:name="_Hlk184375341"/>
      <w:proofErr w:type="spellStart"/>
      <w:r w:rsidRPr="00582E66">
        <w:rPr>
          <w:szCs w:val="22"/>
          <w:lang w:val="pl-PL"/>
        </w:rPr>
        <w:t>Bankovní</w:t>
      </w:r>
      <w:proofErr w:type="spellEnd"/>
      <w:r w:rsidRPr="00582E66">
        <w:rPr>
          <w:szCs w:val="22"/>
          <w:lang w:val="pl-PL"/>
        </w:rPr>
        <w:t xml:space="preserve"> </w:t>
      </w:r>
      <w:proofErr w:type="spellStart"/>
      <w:r w:rsidRPr="00582E66">
        <w:rPr>
          <w:szCs w:val="22"/>
          <w:lang w:val="pl-PL"/>
        </w:rPr>
        <w:t>spojení</w:t>
      </w:r>
      <w:proofErr w:type="spellEnd"/>
      <w:r w:rsidRPr="00582E66">
        <w:rPr>
          <w:szCs w:val="22"/>
          <w:lang w:val="pl-PL"/>
        </w:rPr>
        <w:t xml:space="preserve">: </w:t>
      </w:r>
      <w:r w:rsidR="008C2991">
        <w:rPr>
          <w:szCs w:val="22"/>
          <w:lang w:val="pl-PL"/>
        </w:rPr>
        <w:t>XXXXXXXXX</w:t>
      </w:r>
      <w:r w:rsidR="00582E66" w:rsidRPr="00582E66">
        <w:rPr>
          <w:szCs w:val="22"/>
          <w:lang w:val="pl-PL"/>
        </w:rPr>
        <w:t xml:space="preserve">, </w:t>
      </w:r>
      <w:proofErr w:type="spellStart"/>
      <w:r w:rsidR="00582E66" w:rsidRPr="00582E66">
        <w:rPr>
          <w:szCs w:val="22"/>
          <w:lang w:val="pl-PL"/>
        </w:rPr>
        <w:t>Komerční</w:t>
      </w:r>
      <w:proofErr w:type="spellEnd"/>
      <w:r w:rsidR="00582E66" w:rsidRPr="00582E66">
        <w:rPr>
          <w:szCs w:val="22"/>
          <w:lang w:val="pl-PL"/>
        </w:rPr>
        <w:t xml:space="preserve"> </w:t>
      </w:r>
      <w:proofErr w:type="spellStart"/>
      <w:r w:rsidR="00582E66" w:rsidRPr="00582E66">
        <w:rPr>
          <w:szCs w:val="22"/>
          <w:lang w:val="pl-PL"/>
        </w:rPr>
        <w:t>banka</w:t>
      </w:r>
      <w:proofErr w:type="spellEnd"/>
      <w:r w:rsidR="00582E66" w:rsidRPr="00582E66">
        <w:rPr>
          <w:szCs w:val="22"/>
          <w:lang w:val="pl-PL"/>
        </w:rPr>
        <w:t>, a. s.</w:t>
      </w:r>
    </w:p>
    <w:bookmarkEnd w:id="0"/>
    <w:p w14:paraId="773F7491" w14:textId="31E5C3B2" w:rsidR="00B974C2" w:rsidRPr="00582E66" w:rsidRDefault="00B974C2" w:rsidP="00B974C2">
      <w:pPr>
        <w:ind w:firstLine="567"/>
        <w:rPr>
          <w:color w:val="000000"/>
          <w:szCs w:val="22"/>
          <w:lang w:val="en-US"/>
        </w:rPr>
      </w:pPr>
      <w:proofErr w:type="spellStart"/>
      <w:r w:rsidRPr="00582E66">
        <w:rPr>
          <w:szCs w:val="22"/>
          <w:lang w:val="en-US"/>
        </w:rPr>
        <w:t>Zastoupená</w:t>
      </w:r>
      <w:proofErr w:type="spellEnd"/>
      <w:r w:rsidRPr="00582E66">
        <w:rPr>
          <w:szCs w:val="22"/>
          <w:lang w:val="en-US"/>
        </w:rPr>
        <w:t>:</w:t>
      </w:r>
      <w:r w:rsidRPr="00582E66">
        <w:rPr>
          <w:color w:val="1F497D"/>
          <w:szCs w:val="22"/>
          <w:lang w:val="en-US"/>
        </w:rPr>
        <w:t xml:space="preserve"> </w:t>
      </w:r>
      <w:r w:rsidR="00582E66" w:rsidRPr="00E423D2">
        <w:rPr>
          <w:szCs w:val="22"/>
        </w:rPr>
        <w:t xml:space="preserve">Ing. </w:t>
      </w:r>
      <w:proofErr w:type="spellStart"/>
      <w:r w:rsidR="00582E66" w:rsidRPr="00E423D2">
        <w:rPr>
          <w:szCs w:val="22"/>
        </w:rPr>
        <w:t>Pavlem</w:t>
      </w:r>
      <w:proofErr w:type="spellEnd"/>
      <w:r w:rsidR="00582E66" w:rsidRPr="00E423D2">
        <w:rPr>
          <w:szCs w:val="22"/>
        </w:rPr>
        <w:t xml:space="preserve"> </w:t>
      </w:r>
      <w:proofErr w:type="spellStart"/>
      <w:r w:rsidR="00582E66" w:rsidRPr="00E423D2">
        <w:rPr>
          <w:szCs w:val="22"/>
        </w:rPr>
        <w:t>Tichým</w:t>
      </w:r>
      <w:proofErr w:type="spellEnd"/>
      <w:r w:rsidR="00582E66" w:rsidRPr="00E423D2">
        <w:rPr>
          <w:szCs w:val="22"/>
        </w:rPr>
        <w:t xml:space="preserve">, </w:t>
      </w:r>
      <w:proofErr w:type="spellStart"/>
      <w:r w:rsidR="00582E66" w:rsidRPr="00E423D2">
        <w:rPr>
          <w:szCs w:val="22"/>
        </w:rPr>
        <w:t>ředitelem</w:t>
      </w:r>
      <w:proofErr w:type="spellEnd"/>
      <w:r w:rsidR="00582E66" w:rsidRPr="00E423D2">
        <w:rPr>
          <w:szCs w:val="22"/>
        </w:rPr>
        <w:t xml:space="preserve"> </w:t>
      </w:r>
      <w:proofErr w:type="spellStart"/>
      <w:r w:rsidR="00582E66" w:rsidRPr="00E423D2">
        <w:rPr>
          <w:szCs w:val="22"/>
        </w:rPr>
        <w:t>organizace</w:t>
      </w:r>
      <w:proofErr w:type="spellEnd"/>
    </w:p>
    <w:p w14:paraId="23F25CFE" w14:textId="5A1F37F0" w:rsidR="00B71EE9" w:rsidRPr="00314E1C" w:rsidRDefault="00B974C2" w:rsidP="00B974C2">
      <w:pPr>
        <w:keepNext/>
        <w:ind w:left="564" w:hanging="564"/>
        <w:jc w:val="both"/>
        <w:rPr>
          <w:lang w:val="cs-CZ"/>
        </w:rPr>
      </w:pPr>
      <w:r>
        <w:rPr>
          <w:lang w:val="cs-CZ"/>
        </w:rPr>
        <w:t xml:space="preserve">          e-mail:</w:t>
      </w:r>
      <w:r w:rsidR="007D7F34">
        <w:rPr>
          <w:lang w:val="cs-CZ"/>
        </w:rPr>
        <w:t xml:space="preserve"> </w:t>
      </w:r>
      <w:r w:rsidR="008C2991">
        <w:rPr>
          <w:lang w:val="pl-PL"/>
        </w:rPr>
        <w:t>XXXXXXXXXXX</w:t>
      </w:r>
    </w:p>
    <w:p w14:paraId="299ED2C6" w14:textId="3CA862E0" w:rsidR="00D17F10" w:rsidRPr="00314E1C" w:rsidRDefault="00D17F10" w:rsidP="00FF4721">
      <w:pPr>
        <w:keepNext/>
        <w:jc w:val="both"/>
        <w:rPr>
          <w:lang w:val="cs-CZ"/>
        </w:rPr>
      </w:pPr>
    </w:p>
    <w:p w14:paraId="4D08BB8A" w14:textId="77777777" w:rsidR="006201B0" w:rsidRPr="00314E1C" w:rsidRDefault="006201B0" w:rsidP="00FF4721">
      <w:pPr>
        <w:keepNext/>
        <w:ind w:firstLine="567"/>
        <w:jc w:val="both"/>
        <w:rPr>
          <w:lang w:val="cs-CZ"/>
        </w:rPr>
      </w:pPr>
      <w:r w:rsidRPr="00314E1C">
        <w:rPr>
          <w:lang w:val="cs-CZ"/>
        </w:rPr>
        <w:t>(dále jen „</w:t>
      </w:r>
      <w:r w:rsidR="000A5B76" w:rsidRPr="00314E1C">
        <w:rPr>
          <w:b/>
          <w:lang w:val="cs-CZ"/>
        </w:rPr>
        <w:t>Komitent</w:t>
      </w:r>
      <w:r w:rsidRPr="00314E1C">
        <w:rPr>
          <w:lang w:val="cs-CZ"/>
        </w:rPr>
        <w:t>“)</w:t>
      </w:r>
    </w:p>
    <w:p w14:paraId="630F6D28" w14:textId="77777777" w:rsidR="006201B0" w:rsidRPr="00314E1C" w:rsidRDefault="006201B0" w:rsidP="00FF4721">
      <w:pPr>
        <w:keepNext/>
        <w:jc w:val="both"/>
        <w:rPr>
          <w:lang w:val="cs-CZ"/>
        </w:rPr>
      </w:pPr>
    </w:p>
    <w:p w14:paraId="61DB7112" w14:textId="77777777" w:rsidR="006201B0" w:rsidRPr="00314E1C" w:rsidRDefault="006201B0" w:rsidP="00FF4721">
      <w:pPr>
        <w:keepNext/>
        <w:jc w:val="both"/>
        <w:rPr>
          <w:lang w:val="cs-CZ"/>
        </w:rPr>
      </w:pPr>
      <w:r w:rsidRPr="00314E1C">
        <w:rPr>
          <w:lang w:val="cs-CZ"/>
        </w:rPr>
        <w:t>a</w:t>
      </w:r>
    </w:p>
    <w:p w14:paraId="3A8D9BB4" w14:textId="77777777" w:rsidR="006201B0" w:rsidRPr="00314E1C" w:rsidRDefault="006201B0" w:rsidP="00FF4721">
      <w:pPr>
        <w:keepNext/>
        <w:jc w:val="both"/>
        <w:rPr>
          <w:lang w:val="cs-CZ"/>
        </w:rPr>
      </w:pPr>
    </w:p>
    <w:p w14:paraId="659B0BE6" w14:textId="77777777" w:rsidR="006C4467" w:rsidRPr="00314E1C" w:rsidRDefault="003D68BD" w:rsidP="00FF4721">
      <w:pPr>
        <w:keepNext/>
        <w:jc w:val="both"/>
        <w:rPr>
          <w:rStyle w:val="platne1"/>
          <w:b/>
          <w:lang w:val="cs-CZ"/>
        </w:rPr>
      </w:pPr>
      <w:r w:rsidRPr="00314E1C">
        <w:rPr>
          <w:lang w:val="cs-CZ"/>
        </w:rPr>
        <w:t>2.</w:t>
      </w:r>
      <w:r w:rsidRPr="00314E1C">
        <w:rPr>
          <w:lang w:val="cs-CZ"/>
        </w:rPr>
        <w:tab/>
      </w:r>
      <w:proofErr w:type="spellStart"/>
      <w:r w:rsidR="006C4467" w:rsidRPr="00314E1C">
        <w:rPr>
          <w:rStyle w:val="platne1"/>
          <w:b/>
          <w:lang w:val="cs-CZ"/>
        </w:rPr>
        <w:t>VeaCom</w:t>
      </w:r>
      <w:proofErr w:type="spellEnd"/>
      <w:r w:rsidR="006C4467" w:rsidRPr="00314E1C">
        <w:rPr>
          <w:rStyle w:val="platne1"/>
          <w:b/>
          <w:lang w:val="cs-CZ"/>
        </w:rPr>
        <w:t xml:space="preserve"> s.r.o. </w:t>
      </w:r>
    </w:p>
    <w:p w14:paraId="082469A6" w14:textId="0CC03DD6" w:rsidR="006C4467" w:rsidRPr="00314E1C" w:rsidRDefault="006C4467" w:rsidP="00FF4721">
      <w:pPr>
        <w:keepNext/>
        <w:jc w:val="both"/>
        <w:rPr>
          <w:rStyle w:val="platne1"/>
          <w:lang w:val="cs-CZ"/>
        </w:rPr>
      </w:pPr>
      <w:r w:rsidRPr="00314E1C">
        <w:rPr>
          <w:rStyle w:val="platne1"/>
          <w:lang w:val="cs-CZ"/>
        </w:rPr>
        <w:tab/>
        <w:t xml:space="preserve">se sídlem Praha 5 - </w:t>
      </w:r>
      <w:r w:rsidR="00115C79">
        <w:rPr>
          <w:rStyle w:val="platne1"/>
          <w:lang w:val="cs-CZ"/>
        </w:rPr>
        <w:t>Smíchov</w:t>
      </w:r>
      <w:r w:rsidRPr="00314E1C">
        <w:rPr>
          <w:rStyle w:val="platne1"/>
          <w:lang w:val="cs-CZ"/>
        </w:rPr>
        <w:t>,</w:t>
      </w:r>
      <w:r w:rsidR="00115C79">
        <w:rPr>
          <w:rStyle w:val="platne1"/>
          <w:lang w:val="cs-CZ"/>
        </w:rPr>
        <w:t xml:space="preserve"> Strakonická 3367,</w:t>
      </w:r>
      <w:r w:rsidRPr="00314E1C">
        <w:rPr>
          <w:rStyle w:val="platne1"/>
          <w:lang w:val="cs-CZ"/>
        </w:rPr>
        <w:t xml:space="preserve"> PSČ 150 00</w:t>
      </w:r>
    </w:p>
    <w:p w14:paraId="77F5B8C7" w14:textId="77777777" w:rsidR="006C4467" w:rsidRPr="00314E1C" w:rsidRDefault="006C4467" w:rsidP="00FF4721">
      <w:pPr>
        <w:keepNext/>
        <w:jc w:val="both"/>
        <w:rPr>
          <w:rStyle w:val="platne1"/>
          <w:lang w:val="cs-CZ"/>
        </w:rPr>
      </w:pPr>
      <w:r w:rsidRPr="00314E1C">
        <w:rPr>
          <w:rStyle w:val="platne1"/>
          <w:lang w:val="cs-CZ"/>
        </w:rPr>
        <w:tab/>
        <w:t>IČ: 27581063</w:t>
      </w:r>
    </w:p>
    <w:p w14:paraId="28BEA254" w14:textId="77777777" w:rsidR="006C4467" w:rsidRPr="00314E1C" w:rsidRDefault="006C4467" w:rsidP="00FF4721">
      <w:pPr>
        <w:keepNext/>
        <w:jc w:val="both"/>
        <w:rPr>
          <w:rStyle w:val="platne1"/>
          <w:lang w:val="cs-CZ"/>
        </w:rPr>
      </w:pPr>
      <w:r w:rsidRPr="00314E1C">
        <w:rPr>
          <w:rStyle w:val="platne1"/>
          <w:lang w:val="cs-CZ"/>
        </w:rPr>
        <w:tab/>
        <w:t>zapsána v obchodním rejstříku vedeném Městským soudem v Praze, oddíl C, vložka 116995</w:t>
      </w:r>
    </w:p>
    <w:p w14:paraId="34664A0E" w14:textId="79D172D4" w:rsidR="006C4467" w:rsidRPr="00314E1C" w:rsidRDefault="006C4467" w:rsidP="00FF4721">
      <w:pPr>
        <w:keepNext/>
        <w:jc w:val="both"/>
        <w:rPr>
          <w:rStyle w:val="platne1"/>
          <w:lang w:val="cs-CZ"/>
        </w:rPr>
      </w:pPr>
      <w:r w:rsidRPr="00314E1C">
        <w:rPr>
          <w:rStyle w:val="platne1"/>
          <w:lang w:val="cs-CZ"/>
        </w:rPr>
        <w:tab/>
        <w:t xml:space="preserve">bankovní spojení: </w:t>
      </w:r>
      <w:r w:rsidR="008C2991">
        <w:rPr>
          <w:rStyle w:val="platne1"/>
          <w:lang w:val="cs-CZ"/>
        </w:rPr>
        <w:t>XXXXXXXXXXX</w:t>
      </w:r>
      <w:r w:rsidRPr="00314E1C">
        <w:rPr>
          <w:rStyle w:val="platne1"/>
          <w:lang w:val="cs-CZ"/>
        </w:rPr>
        <w:t>, Československá obchodní banka, a.s.</w:t>
      </w:r>
    </w:p>
    <w:p w14:paraId="5333D73F" w14:textId="06276EF6" w:rsidR="006C4467" w:rsidRPr="007D7F34" w:rsidRDefault="006C4467" w:rsidP="00FF4721">
      <w:pPr>
        <w:keepNext/>
        <w:jc w:val="both"/>
        <w:rPr>
          <w:rStyle w:val="platne1"/>
        </w:rPr>
      </w:pPr>
      <w:r w:rsidRPr="00314E1C">
        <w:rPr>
          <w:rStyle w:val="platne1"/>
          <w:lang w:val="cs-CZ"/>
        </w:rPr>
        <w:tab/>
        <w:t>zastoupen</w:t>
      </w:r>
      <w:r w:rsidR="00EC192F" w:rsidRPr="00314E1C">
        <w:rPr>
          <w:rStyle w:val="platne1"/>
          <w:lang w:val="cs-CZ"/>
        </w:rPr>
        <w:t>a</w:t>
      </w:r>
      <w:r w:rsidR="007D7F34">
        <w:rPr>
          <w:rStyle w:val="platne1"/>
          <w:lang w:val="cs-CZ"/>
        </w:rPr>
        <w:t xml:space="preserve"> Ing. Jan Havel, MBA, jednatel</w:t>
      </w:r>
    </w:p>
    <w:p w14:paraId="06D575C4" w14:textId="35405F33" w:rsidR="005B7D27" w:rsidRDefault="00B71EE9" w:rsidP="00FF4721">
      <w:pPr>
        <w:keepNext/>
        <w:jc w:val="both"/>
        <w:rPr>
          <w:rStyle w:val="platne1"/>
          <w:lang w:val="cs-CZ"/>
        </w:rPr>
      </w:pPr>
      <w:r>
        <w:rPr>
          <w:rStyle w:val="platne1"/>
          <w:lang w:val="cs-CZ"/>
        </w:rPr>
        <w:tab/>
        <w:t xml:space="preserve">e-mail: </w:t>
      </w:r>
      <w:r w:rsidR="008C2991">
        <w:t>XXXXXXXXXXXXXXXXXXXXXXXXX</w:t>
      </w:r>
    </w:p>
    <w:p w14:paraId="6B869E48" w14:textId="77777777" w:rsidR="00B71EE9" w:rsidRPr="00314E1C" w:rsidRDefault="00B71EE9" w:rsidP="00FF4721">
      <w:pPr>
        <w:keepNext/>
        <w:jc w:val="both"/>
        <w:rPr>
          <w:rStyle w:val="platne1"/>
          <w:lang w:val="cs-CZ"/>
        </w:rPr>
      </w:pPr>
    </w:p>
    <w:p w14:paraId="46138691" w14:textId="77777777" w:rsidR="003A1126" w:rsidRPr="00314E1C" w:rsidRDefault="003A1126" w:rsidP="00FF4721">
      <w:pPr>
        <w:keepNext/>
        <w:jc w:val="both"/>
        <w:rPr>
          <w:lang w:val="cs-CZ"/>
        </w:rPr>
      </w:pPr>
    </w:p>
    <w:p w14:paraId="761E4283" w14:textId="77777777" w:rsidR="006201B0" w:rsidRPr="00314E1C" w:rsidRDefault="006201B0" w:rsidP="00FF4721">
      <w:pPr>
        <w:keepNext/>
        <w:jc w:val="both"/>
        <w:rPr>
          <w:lang w:val="cs-CZ"/>
        </w:rPr>
      </w:pPr>
      <w:r w:rsidRPr="00314E1C">
        <w:rPr>
          <w:lang w:val="cs-CZ"/>
        </w:rPr>
        <w:tab/>
        <w:t>(dále jen „</w:t>
      </w:r>
      <w:proofErr w:type="spellStart"/>
      <w:r w:rsidR="000A5B76" w:rsidRPr="00314E1C">
        <w:rPr>
          <w:b/>
          <w:lang w:val="cs-CZ"/>
        </w:rPr>
        <w:t>VeaCom</w:t>
      </w:r>
      <w:proofErr w:type="spellEnd"/>
      <w:r w:rsidRPr="00314E1C">
        <w:rPr>
          <w:lang w:val="cs-CZ"/>
        </w:rPr>
        <w:t>“)</w:t>
      </w:r>
    </w:p>
    <w:p w14:paraId="01EA93A1" w14:textId="77777777" w:rsidR="006201B0" w:rsidRPr="00314E1C" w:rsidRDefault="006201B0" w:rsidP="00FF4721">
      <w:pPr>
        <w:keepNext/>
        <w:jc w:val="both"/>
        <w:rPr>
          <w:lang w:val="cs-CZ"/>
        </w:rPr>
      </w:pPr>
    </w:p>
    <w:p w14:paraId="1F2E3AAB" w14:textId="77777777" w:rsidR="006201B0" w:rsidRPr="00314E1C" w:rsidRDefault="006201B0" w:rsidP="00FF4721">
      <w:pPr>
        <w:keepNext/>
        <w:widowControl w:val="0"/>
        <w:ind w:left="567"/>
        <w:jc w:val="both"/>
        <w:rPr>
          <w:szCs w:val="22"/>
          <w:lang w:val="cs-CZ"/>
        </w:rPr>
      </w:pPr>
      <w:r w:rsidRPr="00314E1C">
        <w:rPr>
          <w:szCs w:val="22"/>
          <w:lang w:val="cs-CZ"/>
        </w:rPr>
        <w:t>(</w:t>
      </w:r>
      <w:r w:rsidR="00D237EE" w:rsidRPr="00314E1C">
        <w:rPr>
          <w:szCs w:val="22"/>
          <w:lang w:val="cs-CZ"/>
        </w:rPr>
        <w:t xml:space="preserve">Komitent a </w:t>
      </w:r>
      <w:proofErr w:type="spellStart"/>
      <w:r w:rsidR="00D237EE" w:rsidRPr="00314E1C">
        <w:rPr>
          <w:szCs w:val="22"/>
          <w:lang w:val="cs-CZ"/>
        </w:rPr>
        <w:t>VeaCom</w:t>
      </w:r>
      <w:proofErr w:type="spellEnd"/>
      <w:r w:rsidRPr="00314E1C">
        <w:rPr>
          <w:szCs w:val="22"/>
          <w:lang w:val="cs-CZ"/>
        </w:rPr>
        <w:t xml:space="preserve"> dále též společně jako „</w:t>
      </w:r>
      <w:r w:rsidRPr="00314E1C">
        <w:rPr>
          <w:b/>
          <w:szCs w:val="22"/>
          <w:lang w:val="cs-CZ"/>
        </w:rPr>
        <w:t>Smluvní strany“</w:t>
      </w:r>
      <w:r w:rsidRPr="00314E1C">
        <w:rPr>
          <w:szCs w:val="22"/>
          <w:lang w:val="cs-CZ"/>
        </w:rPr>
        <w:t xml:space="preserve"> a každý samostatně též jako „</w:t>
      </w:r>
      <w:r w:rsidRPr="00314E1C">
        <w:rPr>
          <w:b/>
          <w:szCs w:val="22"/>
          <w:lang w:val="cs-CZ"/>
        </w:rPr>
        <w:t>Smluvní strana“</w:t>
      </w:r>
      <w:r w:rsidRPr="00314E1C">
        <w:rPr>
          <w:szCs w:val="22"/>
          <w:lang w:val="cs-CZ"/>
        </w:rPr>
        <w:t>)</w:t>
      </w:r>
    </w:p>
    <w:p w14:paraId="4B8D67EC" w14:textId="77777777" w:rsidR="006201B0" w:rsidRPr="00314E1C" w:rsidRDefault="006201B0" w:rsidP="00FF4721">
      <w:pPr>
        <w:keepNext/>
        <w:widowControl w:val="0"/>
        <w:jc w:val="both"/>
        <w:rPr>
          <w:szCs w:val="22"/>
          <w:lang w:val="cs-CZ"/>
        </w:rPr>
      </w:pPr>
    </w:p>
    <w:p w14:paraId="0AD8A340" w14:textId="77777777" w:rsidR="006201B0" w:rsidRPr="00314E1C" w:rsidRDefault="006201B0" w:rsidP="00FF4721">
      <w:pPr>
        <w:keepNext/>
        <w:widowControl w:val="0"/>
        <w:jc w:val="both"/>
        <w:rPr>
          <w:smallCaps/>
          <w:szCs w:val="22"/>
          <w:lang w:val="cs-CZ"/>
        </w:rPr>
      </w:pPr>
    </w:p>
    <w:p w14:paraId="33FB91E9" w14:textId="77777777" w:rsidR="006201B0" w:rsidRPr="00314E1C" w:rsidRDefault="006201B0" w:rsidP="00FF4721">
      <w:pPr>
        <w:keepNext/>
        <w:widowControl w:val="0"/>
        <w:jc w:val="both"/>
        <w:rPr>
          <w:smallCaps/>
          <w:szCs w:val="22"/>
          <w:lang w:val="cs-CZ"/>
        </w:rPr>
      </w:pPr>
      <w:r w:rsidRPr="00314E1C">
        <w:rPr>
          <w:smallCaps/>
          <w:szCs w:val="22"/>
          <w:lang w:val="cs-CZ"/>
        </w:rPr>
        <w:t>SE DOHODLY NA NÁSLEDUJÍCÍM:</w:t>
      </w:r>
    </w:p>
    <w:p w14:paraId="5519724F" w14:textId="77777777" w:rsidR="006201B0" w:rsidRPr="00314E1C" w:rsidRDefault="006201B0" w:rsidP="00FF4721">
      <w:pPr>
        <w:keepNext/>
        <w:jc w:val="both"/>
        <w:rPr>
          <w:lang w:val="cs-CZ"/>
        </w:rPr>
      </w:pPr>
    </w:p>
    <w:p w14:paraId="4C43124C" w14:textId="77777777" w:rsidR="006201B0" w:rsidRPr="00314E1C" w:rsidRDefault="006201B0" w:rsidP="00EF2224">
      <w:pPr>
        <w:pStyle w:val="Nadpis1"/>
        <w:jc w:val="both"/>
        <w:rPr>
          <w:lang w:val="cs-CZ"/>
        </w:rPr>
      </w:pPr>
      <w:r w:rsidRPr="00314E1C">
        <w:rPr>
          <w:lang w:val="cs-CZ"/>
        </w:rPr>
        <w:t>Předmět Smlouvy</w:t>
      </w:r>
    </w:p>
    <w:p w14:paraId="4421C008" w14:textId="77777777" w:rsidR="00280D31" w:rsidRPr="00314E1C" w:rsidRDefault="006C4467" w:rsidP="00EF2224">
      <w:pPr>
        <w:pStyle w:val="Nadpis2"/>
        <w:keepNext/>
        <w:jc w:val="both"/>
        <w:rPr>
          <w:lang w:val="cs-CZ"/>
        </w:rPr>
      </w:pPr>
      <w:r w:rsidRPr="00314E1C">
        <w:rPr>
          <w:lang w:val="cs-CZ"/>
        </w:rPr>
        <w:t xml:space="preserve">Předmětem této </w:t>
      </w:r>
      <w:r w:rsidR="000A5B76" w:rsidRPr="00314E1C">
        <w:rPr>
          <w:lang w:val="cs-CZ"/>
        </w:rPr>
        <w:t>s</w:t>
      </w:r>
      <w:r w:rsidRPr="00314E1C">
        <w:rPr>
          <w:lang w:val="cs-CZ"/>
        </w:rPr>
        <w:t xml:space="preserve">mlouvy je </w:t>
      </w:r>
      <w:r w:rsidR="00280D31" w:rsidRPr="00314E1C">
        <w:rPr>
          <w:lang w:val="cs-CZ"/>
        </w:rPr>
        <w:t xml:space="preserve">rámcové </w:t>
      </w:r>
      <w:r w:rsidRPr="00314E1C">
        <w:rPr>
          <w:lang w:val="cs-CZ"/>
        </w:rPr>
        <w:t>vymezení práv a povinností při obstarávání</w:t>
      </w:r>
      <w:r w:rsidR="00280D31" w:rsidRPr="00314E1C">
        <w:rPr>
          <w:lang w:val="cs-CZ"/>
        </w:rPr>
        <w:t xml:space="preserve"> prodeje vozidel anebo strojů </w:t>
      </w:r>
      <w:r w:rsidR="000F0E39" w:rsidRPr="00314E1C">
        <w:rPr>
          <w:lang w:val="cs-CZ"/>
        </w:rPr>
        <w:t xml:space="preserve">(dále jen </w:t>
      </w:r>
      <w:r w:rsidR="00D237EE" w:rsidRPr="00314E1C">
        <w:rPr>
          <w:lang w:val="cs-CZ"/>
        </w:rPr>
        <w:t>„</w:t>
      </w:r>
      <w:r w:rsidR="00280D31" w:rsidRPr="00314E1C">
        <w:rPr>
          <w:b/>
          <w:lang w:val="cs-CZ"/>
        </w:rPr>
        <w:t>Movité věci</w:t>
      </w:r>
      <w:r w:rsidR="00D237EE" w:rsidRPr="00314E1C">
        <w:rPr>
          <w:lang w:val="cs-CZ"/>
        </w:rPr>
        <w:t>“</w:t>
      </w:r>
      <w:r w:rsidR="00280D31" w:rsidRPr="00314E1C">
        <w:rPr>
          <w:lang w:val="cs-CZ"/>
        </w:rPr>
        <w:t>) určených Komitentem k vyřazení z jeho obchodního majetku</w:t>
      </w:r>
      <w:r w:rsidR="00306983" w:rsidRPr="00314E1C">
        <w:rPr>
          <w:lang w:val="cs-CZ"/>
        </w:rPr>
        <w:t xml:space="preserve">, a to formou veřejných aukcí organizovaných </w:t>
      </w:r>
      <w:proofErr w:type="spellStart"/>
      <w:r w:rsidR="00D237EE" w:rsidRPr="00314E1C">
        <w:rPr>
          <w:lang w:val="cs-CZ"/>
        </w:rPr>
        <w:t>VeaComem</w:t>
      </w:r>
      <w:proofErr w:type="spellEnd"/>
      <w:r w:rsidR="00306983" w:rsidRPr="00314E1C">
        <w:rPr>
          <w:lang w:val="cs-CZ"/>
        </w:rPr>
        <w:t xml:space="preserve"> za účelem dosažení co nejvyšší kupní ceny</w:t>
      </w:r>
      <w:r w:rsidR="00280D31" w:rsidRPr="00314E1C">
        <w:rPr>
          <w:lang w:val="cs-CZ"/>
        </w:rPr>
        <w:t xml:space="preserve">. </w:t>
      </w:r>
      <w:proofErr w:type="spellStart"/>
      <w:r w:rsidR="00280D31" w:rsidRPr="00314E1C">
        <w:rPr>
          <w:lang w:val="cs-CZ"/>
        </w:rPr>
        <w:t>VeaCom</w:t>
      </w:r>
      <w:proofErr w:type="spellEnd"/>
      <w:r w:rsidR="00280D31" w:rsidRPr="00314E1C">
        <w:rPr>
          <w:lang w:val="cs-CZ"/>
        </w:rPr>
        <w:t xml:space="preserve"> obstará prodej Movitých věcí za níže uvedených podmínek vždy na základě dílčí objednávky Komitenta.</w:t>
      </w:r>
      <w:r w:rsidRPr="00314E1C">
        <w:rPr>
          <w:lang w:val="cs-CZ"/>
        </w:rPr>
        <w:t xml:space="preserve"> </w:t>
      </w:r>
      <w:proofErr w:type="spellStart"/>
      <w:r w:rsidR="000F0E39" w:rsidRPr="00314E1C">
        <w:rPr>
          <w:lang w:val="cs-CZ"/>
        </w:rPr>
        <w:t>VeaCom</w:t>
      </w:r>
      <w:proofErr w:type="spellEnd"/>
      <w:r w:rsidR="000F0E39" w:rsidRPr="00314E1C">
        <w:rPr>
          <w:lang w:val="cs-CZ"/>
        </w:rPr>
        <w:t xml:space="preserve"> při obstarání prodeje  bude jednat vůči třetím osobám vlastním jménem. </w:t>
      </w:r>
    </w:p>
    <w:p w14:paraId="5DD0C540" w14:textId="77777777" w:rsidR="006201B0" w:rsidRPr="00314E1C" w:rsidRDefault="00075A29" w:rsidP="00EF2224">
      <w:pPr>
        <w:pStyle w:val="Nadpis1"/>
        <w:jc w:val="both"/>
        <w:rPr>
          <w:lang w:val="cs-CZ"/>
        </w:rPr>
      </w:pPr>
      <w:r w:rsidRPr="00314E1C">
        <w:rPr>
          <w:lang w:val="cs-CZ"/>
        </w:rPr>
        <w:t>Uzavírání Dílčích smluv</w:t>
      </w:r>
    </w:p>
    <w:p w14:paraId="2D2C19FE" w14:textId="7294A33B" w:rsidR="000F0E39" w:rsidRDefault="000F0E39" w:rsidP="00EF2224">
      <w:pPr>
        <w:pStyle w:val="Nadpis2"/>
        <w:keepNext/>
        <w:jc w:val="both"/>
        <w:rPr>
          <w:lang w:val="cs-CZ"/>
        </w:rPr>
      </w:pPr>
      <w:r w:rsidRPr="00314E1C">
        <w:rPr>
          <w:lang w:val="cs-CZ"/>
        </w:rPr>
        <w:t xml:space="preserve">Na základě této rámcové smlouvy budou mezi Smluvními stranami uzavírány jednotlivé dílčí komisionářské smlouvy ve smyslu </w:t>
      </w:r>
      <w:proofErr w:type="spellStart"/>
      <w:r w:rsidRPr="00314E1C">
        <w:rPr>
          <w:lang w:val="cs-CZ"/>
        </w:rPr>
        <w:t>ust</w:t>
      </w:r>
      <w:proofErr w:type="spellEnd"/>
      <w:r w:rsidRPr="00314E1C">
        <w:rPr>
          <w:lang w:val="cs-CZ"/>
        </w:rPr>
        <w:t xml:space="preserve">.  § 2455 a násl. zákona č. 89/2012 </w:t>
      </w:r>
      <w:r w:rsidR="00B82049" w:rsidRPr="00314E1C">
        <w:rPr>
          <w:lang w:val="cs-CZ"/>
        </w:rPr>
        <w:t>Sb., občanského</w:t>
      </w:r>
      <w:r w:rsidRPr="00314E1C">
        <w:rPr>
          <w:lang w:val="cs-CZ"/>
        </w:rPr>
        <w:t xml:space="preserve"> zákoník</w:t>
      </w:r>
      <w:r w:rsidR="00B82049" w:rsidRPr="00314E1C">
        <w:rPr>
          <w:lang w:val="cs-CZ"/>
        </w:rPr>
        <w:t xml:space="preserve">u (dále jen </w:t>
      </w:r>
      <w:r w:rsidR="00D237EE" w:rsidRPr="00314E1C">
        <w:rPr>
          <w:lang w:val="cs-CZ"/>
        </w:rPr>
        <w:t>„</w:t>
      </w:r>
      <w:r w:rsidR="00B82049" w:rsidRPr="00314E1C">
        <w:rPr>
          <w:b/>
          <w:lang w:val="cs-CZ"/>
        </w:rPr>
        <w:t>Dílčí smlouva</w:t>
      </w:r>
      <w:r w:rsidR="00D237EE" w:rsidRPr="00314E1C">
        <w:rPr>
          <w:lang w:val="cs-CZ"/>
        </w:rPr>
        <w:t>“</w:t>
      </w:r>
      <w:r w:rsidR="00B82049" w:rsidRPr="00314E1C">
        <w:rPr>
          <w:lang w:val="cs-CZ"/>
        </w:rPr>
        <w:t>)</w:t>
      </w:r>
      <w:r w:rsidRPr="00314E1C">
        <w:rPr>
          <w:lang w:val="cs-CZ"/>
        </w:rPr>
        <w:t xml:space="preserve">. Jednotlivá </w:t>
      </w:r>
      <w:r w:rsidR="00B82049" w:rsidRPr="00314E1C">
        <w:rPr>
          <w:lang w:val="cs-CZ"/>
        </w:rPr>
        <w:t>D</w:t>
      </w:r>
      <w:r w:rsidRPr="00314E1C">
        <w:rPr>
          <w:lang w:val="cs-CZ"/>
        </w:rPr>
        <w:t>ílčí smlouva vzniká na</w:t>
      </w:r>
      <w:r w:rsidR="00FF4721">
        <w:rPr>
          <w:lang w:val="cs-CZ"/>
        </w:rPr>
        <w:t xml:space="preserve"> </w:t>
      </w:r>
      <w:r w:rsidRPr="00314E1C">
        <w:rPr>
          <w:lang w:val="cs-CZ"/>
        </w:rPr>
        <w:t xml:space="preserve">základě objednávky Komitenta doručené </w:t>
      </w:r>
      <w:proofErr w:type="spellStart"/>
      <w:r w:rsidRPr="00314E1C">
        <w:rPr>
          <w:lang w:val="cs-CZ"/>
        </w:rPr>
        <w:t>VeaComu</w:t>
      </w:r>
      <w:proofErr w:type="spellEnd"/>
      <w:r w:rsidRPr="00314E1C">
        <w:rPr>
          <w:lang w:val="cs-CZ"/>
        </w:rPr>
        <w:t xml:space="preserve"> (návrh) a jejího potvrzení ze strany </w:t>
      </w:r>
      <w:proofErr w:type="spellStart"/>
      <w:r w:rsidRPr="00314E1C">
        <w:rPr>
          <w:lang w:val="cs-CZ"/>
        </w:rPr>
        <w:t>VeaComu</w:t>
      </w:r>
      <w:proofErr w:type="spellEnd"/>
      <w:r w:rsidRPr="00314E1C">
        <w:rPr>
          <w:lang w:val="cs-CZ"/>
        </w:rPr>
        <w:t xml:space="preserve"> (akceptace) za podmínek stanovených v této </w:t>
      </w:r>
      <w:r w:rsidR="007D0C85" w:rsidRPr="00314E1C">
        <w:rPr>
          <w:lang w:val="cs-CZ"/>
        </w:rPr>
        <w:t xml:space="preserve">rámcové </w:t>
      </w:r>
      <w:r w:rsidRPr="00314E1C">
        <w:rPr>
          <w:lang w:val="cs-CZ"/>
        </w:rPr>
        <w:t xml:space="preserve">smlouvě. </w:t>
      </w:r>
    </w:p>
    <w:p w14:paraId="1A466C45" w14:textId="77777777" w:rsidR="00EF2224" w:rsidRPr="00EF2224" w:rsidRDefault="00EF2224" w:rsidP="00A47440">
      <w:pPr>
        <w:pStyle w:val="Zkladntext"/>
        <w:rPr>
          <w:lang w:val="cs-CZ"/>
        </w:rPr>
      </w:pPr>
    </w:p>
    <w:p w14:paraId="0FEDF4C7" w14:textId="77777777" w:rsidR="000F0E39" w:rsidRPr="00314E1C" w:rsidRDefault="000F0E39" w:rsidP="00EF2224">
      <w:pPr>
        <w:pStyle w:val="Nadpis2"/>
        <w:keepNext/>
        <w:jc w:val="both"/>
        <w:rPr>
          <w:lang w:val="cs-CZ"/>
        </w:rPr>
      </w:pPr>
      <w:r w:rsidRPr="00314E1C">
        <w:rPr>
          <w:lang w:val="cs-CZ"/>
        </w:rPr>
        <w:lastRenderedPageBreak/>
        <w:t xml:space="preserve">Objednávka Komitenta musí být doručena </w:t>
      </w:r>
      <w:proofErr w:type="spellStart"/>
      <w:r w:rsidR="00D237EE" w:rsidRPr="00314E1C">
        <w:rPr>
          <w:lang w:val="cs-CZ"/>
        </w:rPr>
        <w:t>VeaComu</w:t>
      </w:r>
      <w:proofErr w:type="spellEnd"/>
      <w:r w:rsidRPr="00314E1C">
        <w:rPr>
          <w:lang w:val="cs-CZ"/>
        </w:rPr>
        <w:t xml:space="preserve"> poštou, faxem nebo e-mailem </w:t>
      </w:r>
      <w:r w:rsidR="00B82049" w:rsidRPr="00314E1C">
        <w:rPr>
          <w:lang w:val="cs-CZ"/>
        </w:rPr>
        <w:t xml:space="preserve">(dále jen </w:t>
      </w:r>
      <w:r w:rsidR="002D6DB6" w:rsidRPr="00314E1C">
        <w:rPr>
          <w:lang w:val="cs-CZ"/>
        </w:rPr>
        <w:t>„</w:t>
      </w:r>
      <w:r w:rsidR="00B82049" w:rsidRPr="00314E1C">
        <w:rPr>
          <w:b/>
          <w:lang w:val="cs-CZ"/>
        </w:rPr>
        <w:t>textová forma</w:t>
      </w:r>
      <w:r w:rsidR="002D6DB6" w:rsidRPr="00314E1C">
        <w:rPr>
          <w:lang w:val="cs-CZ"/>
        </w:rPr>
        <w:t>“</w:t>
      </w:r>
      <w:r w:rsidR="00B82049" w:rsidRPr="00314E1C">
        <w:rPr>
          <w:b/>
          <w:lang w:val="cs-CZ"/>
        </w:rPr>
        <w:t>)</w:t>
      </w:r>
      <w:r w:rsidR="00B82049" w:rsidRPr="00314E1C">
        <w:rPr>
          <w:lang w:val="cs-CZ"/>
        </w:rPr>
        <w:t xml:space="preserve"> </w:t>
      </w:r>
      <w:r w:rsidRPr="00314E1C">
        <w:rPr>
          <w:lang w:val="cs-CZ"/>
        </w:rPr>
        <w:t>na adresy uvedené</w:t>
      </w:r>
      <w:r w:rsidR="00D237EE" w:rsidRPr="00314E1C">
        <w:rPr>
          <w:lang w:val="cs-CZ"/>
        </w:rPr>
        <w:t xml:space="preserve"> výše u identifikace Smluvních stran</w:t>
      </w:r>
      <w:r w:rsidRPr="00314E1C">
        <w:rPr>
          <w:lang w:val="cs-CZ"/>
        </w:rPr>
        <w:t xml:space="preserve">. </w:t>
      </w:r>
      <w:r w:rsidR="00D237EE" w:rsidRPr="00314E1C">
        <w:rPr>
          <w:lang w:val="cs-CZ"/>
        </w:rPr>
        <w:t>Každá o</w:t>
      </w:r>
      <w:r w:rsidRPr="00314E1C">
        <w:rPr>
          <w:lang w:val="cs-CZ"/>
        </w:rPr>
        <w:t>bjednávka musí obsahovat:</w:t>
      </w:r>
    </w:p>
    <w:p w14:paraId="36D41F0E" w14:textId="77777777" w:rsidR="00306983" w:rsidRPr="00314E1C" w:rsidRDefault="000F0E39" w:rsidP="00EF2224">
      <w:pPr>
        <w:pStyle w:val="Nadpis3"/>
        <w:keepNext/>
        <w:jc w:val="both"/>
        <w:rPr>
          <w:lang w:val="cs-CZ"/>
        </w:rPr>
      </w:pPr>
      <w:r w:rsidRPr="00314E1C">
        <w:rPr>
          <w:lang w:val="cs-CZ"/>
        </w:rPr>
        <w:t>specifikaci Movitých věcí</w:t>
      </w:r>
      <w:r w:rsidR="00306983" w:rsidRPr="00314E1C">
        <w:rPr>
          <w:lang w:val="cs-CZ"/>
        </w:rPr>
        <w:t xml:space="preserve"> (typ, VIN, rok výroby, počet najetých km či počet motohodin)</w:t>
      </w:r>
      <w:r w:rsidRPr="00314E1C">
        <w:rPr>
          <w:lang w:val="cs-CZ"/>
        </w:rPr>
        <w:t>;</w:t>
      </w:r>
    </w:p>
    <w:p w14:paraId="02B82EBC" w14:textId="4B46F3E3" w:rsidR="000F0E39" w:rsidRPr="00314E1C" w:rsidRDefault="00306983" w:rsidP="00EF2224">
      <w:pPr>
        <w:pStyle w:val="Nadpis3"/>
        <w:keepNext/>
        <w:jc w:val="both"/>
        <w:rPr>
          <w:lang w:val="cs-CZ"/>
        </w:rPr>
      </w:pPr>
      <w:r w:rsidRPr="00314E1C">
        <w:rPr>
          <w:lang w:val="cs-CZ"/>
        </w:rPr>
        <w:t>kopie technického průkazu</w:t>
      </w:r>
      <w:r w:rsidR="009E6F0D">
        <w:rPr>
          <w:lang w:val="cs-CZ"/>
        </w:rPr>
        <w:t>, pokud existuje</w:t>
      </w:r>
      <w:r w:rsidR="00FC514A">
        <w:rPr>
          <w:lang w:val="cs-CZ"/>
        </w:rPr>
        <w:t>;</w:t>
      </w:r>
    </w:p>
    <w:p w14:paraId="6EE5A32F" w14:textId="4917E624" w:rsidR="00306983" w:rsidRPr="00314E1C" w:rsidRDefault="00306983" w:rsidP="00EF2224">
      <w:pPr>
        <w:pStyle w:val="Nadpis3"/>
        <w:keepNext/>
        <w:jc w:val="both"/>
        <w:rPr>
          <w:lang w:val="cs-CZ"/>
        </w:rPr>
      </w:pPr>
      <w:r w:rsidRPr="00314E1C">
        <w:rPr>
          <w:lang w:val="cs-CZ"/>
        </w:rPr>
        <w:t>stručné hodnocení stavu, vč. identifikace známých vad</w:t>
      </w:r>
      <w:r w:rsidR="00FC514A">
        <w:rPr>
          <w:lang w:val="cs-CZ"/>
        </w:rPr>
        <w:t xml:space="preserve"> a podstatných dřívějších poškození a jiných skutečností ovlivňujících prodejnost</w:t>
      </w:r>
      <w:r w:rsidR="002D6DB6" w:rsidRPr="00314E1C">
        <w:rPr>
          <w:lang w:val="cs-CZ"/>
        </w:rPr>
        <w:t>;</w:t>
      </w:r>
      <w:r w:rsidRPr="00314E1C">
        <w:rPr>
          <w:lang w:val="cs-CZ"/>
        </w:rPr>
        <w:t xml:space="preserve"> </w:t>
      </w:r>
    </w:p>
    <w:p w14:paraId="7AB22774" w14:textId="380E5651" w:rsidR="00306983" w:rsidRPr="00B107A3" w:rsidRDefault="00B107A3" w:rsidP="00EF2224">
      <w:pPr>
        <w:pStyle w:val="Nadpis3"/>
        <w:keepNext/>
        <w:jc w:val="both"/>
        <w:rPr>
          <w:lang w:val="cs-CZ"/>
        </w:rPr>
      </w:pPr>
      <w:r w:rsidRPr="00B107A3">
        <w:rPr>
          <w:lang w:val="cs-CZ"/>
        </w:rPr>
        <w:t>informaci o obvyklé ceně Movit</w:t>
      </w:r>
      <w:r w:rsidR="00FC514A">
        <w:rPr>
          <w:lang w:val="cs-CZ"/>
        </w:rPr>
        <w:t>ých</w:t>
      </w:r>
      <w:r w:rsidRPr="00B107A3">
        <w:rPr>
          <w:lang w:val="cs-CZ"/>
        </w:rPr>
        <w:t xml:space="preserve"> věc</w:t>
      </w:r>
      <w:r w:rsidR="00FC514A">
        <w:rPr>
          <w:lang w:val="cs-CZ"/>
        </w:rPr>
        <w:t>í</w:t>
      </w:r>
      <w:r w:rsidRPr="00B107A3">
        <w:rPr>
          <w:lang w:val="cs-CZ"/>
        </w:rPr>
        <w:t xml:space="preserve"> bez DPH, která vyplývá z již vyhotoveného posudku soudního znalce</w:t>
      </w:r>
      <w:r w:rsidR="00FC514A">
        <w:rPr>
          <w:lang w:val="cs-CZ"/>
        </w:rPr>
        <w:t xml:space="preserve"> (starého nejvýše 3 měsíce)</w:t>
      </w:r>
      <w:r w:rsidRPr="00B107A3">
        <w:rPr>
          <w:lang w:val="cs-CZ"/>
        </w:rPr>
        <w:t>, spolu s kopií znaleckého posudku</w:t>
      </w:r>
      <w:r>
        <w:rPr>
          <w:lang w:val="cs-CZ"/>
        </w:rPr>
        <w:t xml:space="preserve">; </w:t>
      </w:r>
      <w:r w:rsidR="000D4F2C">
        <w:rPr>
          <w:lang w:val="cs-CZ"/>
        </w:rPr>
        <w:t xml:space="preserve">takto zjištěná </w:t>
      </w:r>
      <w:r>
        <w:rPr>
          <w:lang w:val="cs-CZ"/>
        </w:rPr>
        <w:t>obvyklá cena Movit</w:t>
      </w:r>
      <w:r w:rsidR="00FC514A">
        <w:rPr>
          <w:lang w:val="cs-CZ"/>
        </w:rPr>
        <w:t>ých</w:t>
      </w:r>
      <w:r>
        <w:rPr>
          <w:lang w:val="cs-CZ"/>
        </w:rPr>
        <w:t xml:space="preserve"> věc</w:t>
      </w:r>
      <w:r w:rsidR="00FC514A">
        <w:rPr>
          <w:lang w:val="cs-CZ"/>
        </w:rPr>
        <w:t>í</w:t>
      </w:r>
      <w:r>
        <w:rPr>
          <w:lang w:val="cs-CZ"/>
        </w:rPr>
        <w:t xml:space="preserve"> (bez DPH) </w:t>
      </w:r>
      <w:r w:rsidR="000D4F2C">
        <w:rPr>
          <w:lang w:val="cs-CZ"/>
        </w:rPr>
        <w:t>s připočtením účelně</w:t>
      </w:r>
      <w:r w:rsidR="00A47440">
        <w:rPr>
          <w:lang w:val="cs-CZ"/>
        </w:rPr>
        <w:t xml:space="preserve"> </w:t>
      </w:r>
      <w:r w:rsidR="000D4F2C">
        <w:rPr>
          <w:lang w:val="cs-CZ"/>
        </w:rPr>
        <w:t xml:space="preserve">vynaložených nákladů </w:t>
      </w:r>
      <w:r w:rsidR="00A47440">
        <w:rPr>
          <w:lang w:val="cs-CZ"/>
        </w:rPr>
        <w:t>Komitenta</w:t>
      </w:r>
      <w:r w:rsidR="000D4F2C">
        <w:rPr>
          <w:lang w:val="cs-CZ"/>
        </w:rPr>
        <w:t xml:space="preserve"> na vyhotovení znaleckého posudku </w:t>
      </w:r>
      <w:r>
        <w:rPr>
          <w:lang w:val="cs-CZ"/>
        </w:rPr>
        <w:t>bude minimální vyvolávací cenou v rámci aukce (dále jen „</w:t>
      </w:r>
      <w:r w:rsidRPr="00A47440">
        <w:rPr>
          <w:b/>
          <w:lang w:val="cs-CZ"/>
        </w:rPr>
        <w:t>Posudková cena</w:t>
      </w:r>
      <w:r>
        <w:rPr>
          <w:lang w:val="cs-CZ"/>
        </w:rPr>
        <w:t>“).</w:t>
      </w:r>
    </w:p>
    <w:p w14:paraId="1FA074C5" w14:textId="0799D91A" w:rsidR="00306983" w:rsidRPr="00C3700E" w:rsidRDefault="00DE130A" w:rsidP="00EF2224">
      <w:pPr>
        <w:pStyle w:val="Nadpis2"/>
        <w:keepNext/>
        <w:jc w:val="both"/>
        <w:rPr>
          <w:lang w:val="cs-CZ"/>
        </w:rPr>
      </w:pPr>
      <w:r>
        <w:rPr>
          <w:lang w:val="cs-CZ"/>
        </w:rPr>
        <w:t xml:space="preserve">Smluvní strany sjednávají, že neposkytne-li Komitent ve své objednávce informaci o ceně obvyklé, resp. ani neposkytne znalecký posudek, navrhne </w:t>
      </w:r>
      <w:proofErr w:type="spellStart"/>
      <w:r>
        <w:rPr>
          <w:lang w:val="cs-CZ"/>
        </w:rPr>
        <w:t>VeaCom</w:t>
      </w:r>
      <w:proofErr w:type="spellEnd"/>
      <w:r>
        <w:rPr>
          <w:lang w:val="cs-CZ"/>
        </w:rPr>
        <w:t xml:space="preserve"> </w:t>
      </w:r>
      <w:proofErr w:type="spellStart"/>
      <w:r>
        <w:rPr>
          <w:lang w:val="cs-CZ"/>
        </w:rPr>
        <w:t>Komitentoci</w:t>
      </w:r>
      <w:proofErr w:type="spellEnd"/>
      <w:r>
        <w:rPr>
          <w:lang w:val="cs-CZ"/>
        </w:rPr>
        <w:t xml:space="preserve"> výši Vyvolávací ceny </w:t>
      </w:r>
      <w:r w:rsidR="00B107A3" w:rsidRPr="00C3700E">
        <w:rPr>
          <w:lang w:val="cs-CZ"/>
        </w:rPr>
        <w:t>pro jednotlivé Movité věci bez DPH (dále jen „</w:t>
      </w:r>
      <w:r w:rsidR="00B107A3" w:rsidRPr="00C3700E">
        <w:rPr>
          <w:b/>
          <w:lang w:val="cs-CZ"/>
        </w:rPr>
        <w:t>Vyvolávací cena</w:t>
      </w:r>
      <w:r w:rsidR="00B107A3" w:rsidRPr="00C3700E">
        <w:rPr>
          <w:lang w:val="cs-CZ"/>
        </w:rPr>
        <w:t>“).</w:t>
      </w:r>
      <w:r w:rsidR="00C3700E" w:rsidRPr="00C3700E">
        <w:rPr>
          <w:lang w:val="cs-CZ"/>
        </w:rPr>
        <w:t xml:space="preserve"> </w:t>
      </w:r>
      <w:r>
        <w:rPr>
          <w:lang w:val="cs-CZ"/>
        </w:rPr>
        <w:t xml:space="preserve">Vyvolávací cena musí obsahovat způsob jejího určení, zejm. tržním porovnáním  cen obdobných movitých  věcí apod. Komitent je oprávněn sdělit před akcí </w:t>
      </w:r>
      <w:proofErr w:type="spellStart"/>
      <w:r>
        <w:rPr>
          <w:lang w:val="cs-CZ"/>
        </w:rPr>
        <w:t>VeaComu</w:t>
      </w:r>
      <w:proofErr w:type="spellEnd"/>
      <w:r>
        <w:rPr>
          <w:lang w:val="cs-CZ"/>
        </w:rPr>
        <w:t xml:space="preserve"> písemnou</w:t>
      </w:r>
      <w:r w:rsidRPr="00C3700E">
        <w:rPr>
          <w:lang w:val="cs-CZ"/>
        </w:rPr>
        <w:t xml:space="preserve"> </w:t>
      </w:r>
      <w:r w:rsidR="00CF62F1" w:rsidRPr="00C3700E">
        <w:rPr>
          <w:lang w:val="cs-CZ"/>
        </w:rPr>
        <w:t xml:space="preserve">formou </w:t>
      </w:r>
      <w:r w:rsidR="00A464CA" w:rsidRPr="00C3700E">
        <w:rPr>
          <w:lang w:val="cs-CZ"/>
        </w:rPr>
        <w:t xml:space="preserve">bez zbytečného odkladu své výhrady k </w:t>
      </w:r>
      <w:r w:rsidR="009E6F0D" w:rsidRPr="00C3700E">
        <w:rPr>
          <w:lang w:val="cs-CZ"/>
        </w:rPr>
        <w:t>Vyvolávací ceně</w:t>
      </w:r>
      <w:r w:rsidR="00A464CA" w:rsidRPr="00C3700E">
        <w:rPr>
          <w:lang w:val="cs-CZ"/>
        </w:rPr>
        <w:t xml:space="preserve"> </w:t>
      </w:r>
      <w:r w:rsidR="00D237EE" w:rsidRPr="00C3700E">
        <w:rPr>
          <w:lang w:val="cs-CZ"/>
        </w:rPr>
        <w:t xml:space="preserve">(ohledně některých nebo všech Movitých věcí) </w:t>
      </w:r>
      <w:r w:rsidR="00A464CA" w:rsidRPr="00C3700E">
        <w:rPr>
          <w:lang w:val="cs-CZ"/>
        </w:rPr>
        <w:t xml:space="preserve">s tím, že zároveň navrhne minimální (vyvolávací) cenu </w:t>
      </w:r>
      <w:r w:rsidR="00B82049" w:rsidRPr="00C3700E">
        <w:rPr>
          <w:lang w:val="cs-CZ"/>
        </w:rPr>
        <w:t xml:space="preserve">týkající </w:t>
      </w:r>
      <w:r w:rsidR="006E7EF7" w:rsidRPr="00C3700E">
        <w:rPr>
          <w:lang w:val="cs-CZ"/>
        </w:rPr>
        <w:t>se jednotlivých Movitých věcí</w:t>
      </w:r>
      <w:r w:rsidR="00A464CA" w:rsidRPr="00C3700E">
        <w:rPr>
          <w:lang w:val="cs-CZ"/>
        </w:rPr>
        <w:t xml:space="preserve"> </w:t>
      </w:r>
      <w:r w:rsidR="00F44C36" w:rsidRPr="00C3700E">
        <w:rPr>
          <w:lang w:val="cs-CZ"/>
        </w:rPr>
        <w:t xml:space="preserve">bez DPH </w:t>
      </w:r>
      <w:r w:rsidR="00A464CA" w:rsidRPr="00C3700E">
        <w:rPr>
          <w:lang w:val="cs-CZ"/>
        </w:rPr>
        <w:t xml:space="preserve">(dále jen </w:t>
      </w:r>
      <w:r w:rsidR="002D6DB6" w:rsidRPr="00C3700E">
        <w:rPr>
          <w:lang w:val="cs-CZ"/>
        </w:rPr>
        <w:t>„</w:t>
      </w:r>
      <w:r w:rsidR="00A464CA" w:rsidRPr="00C3700E">
        <w:rPr>
          <w:b/>
          <w:lang w:val="cs-CZ"/>
        </w:rPr>
        <w:t xml:space="preserve">Upravená </w:t>
      </w:r>
      <w:r w:rsidR="009E6F0D" w:rsidRPr="00C3700E">
        <w:rPr>
          <w:b/>
          <w:lang w:val="cs-CZ"/>
        </w:rPr>
        <w:t>vyvolávací cena</w:t>
      </w:r>
      <w:r w:rsidR="002D6DB6" w:rsidRPr="00C3700E">
        <w:rPr>
          <w:lang w:val="cs-CZ"/>
        </w:rPr>
        <w:t>“</w:t>
      </w:r>
      <w:r w:rsidR="00A464CA" w:rsidRPr="00C3700E">
        <w:rPr>
          <w:lang w:val="cs-CZ"/>
        </w:rPr>
        <w:t xml:space="preserve">). </w:t>
      </w:r>
    </w:p>
    <w:p w14:paraId="69AC6522" w14:textId="69889C63" w:rsidR="00B82049" w:rsidRPr="00314E1C" w:rsidRDefault="00B82049" w:rsidP="00EF2224">
      <w:pPr>
        <w:pStyle w:val="Nadpis2"/>
        <w:keepNext/>
        <w:jc w:val="both"/>
        <w:rPr>
          <w:lang w:val="cs-CZ"/>
        </w:rPr>
      </w:pPr>
      <w:r w:rsidRPr="00314E1C">
        <w:rPr>
          <w:lang w:val="cs-CZ"/>
        </w:rPr>
        <w:t xml:space="preserve">Potvrdí-li </w:t>
      </w:r>
      <w:r w:rsidR="00DE130A">
        <w:rPr>
          <w:lang w:val="cs-CZ"/>
        </w:rPr>
        <w:t xml:space="preserve">Komitent Vyvolávací cenu k </w:t>
      </w:r>
      <w:r w:rsidRPr="00314E1C">
        <w:rPr>
          <w:lang w:val="cs-CZ"/>
        </w:rPr>
        <w:t>objednáv</w:t>
      </w:r>
      <w:r w:rsidR="00DE130A">
        <w:rPr>
          <w:lang w:val="cs-CZ"/>
        </w:rPr>
        <w:t xml:space="preserve">ce </w:t>
      </w:r>
      <w:r w:rsidRPr="00314E1C">
        <w:rPr>
          <w:lang w:val="cs-CZ"/>
        </w:rPr>
        <w:t>, je Dílčí smlouva uzavřena okamžikem tohoto potvrzení</w:t>
      </w:r>
      <w:r w:rsidR="006E7EF7" w:rsidRPr="00314E1C">
        <w:rPr>
          <w:lang w:val="cs-CZ"/>
        </w:rPr>
        <w:t xml:space="preserve"> v rozsahu, jehož se potvrzení týká</w:t>
      </w:r>
      <w:r w:rsidRPr="00314E1C">
        <w:rPr>
          <w:lang w:val="cs-CZ"/>
        </w:rPr>
        <w:t xml:space="preserve">, přičemž se uplatní </w:t>
      </w:r>
      <w:r w:rsidR="00C3700E">
        <w:rPr>
          <w:lang w:val="cs-CZ"/>
        </w:rPr>
        <w:t>Posudková/</w:t>
      </w:r>
      <w:r w:rsidR="009E6F0D">
        <w:rPr>
          <w:lang w:val="cs-CZ"/>
        </w:rPr>
        <w:t>Vyvolávací cena</w:t>
      </w:r>
      <w:r w:rsidR="00C3700E">
        <w:rPr>
          <w:lang w:val="cs-CZ"/>
        </w:rPr>
        <w:t xml:space="preserve"> dle </w:t>
      </w:r>
      <w:r w:rsidR="00DE130A">
        <w:rPr>
          <w:lang w:val="cs-CZ"/>
        </w:rPr>
        <w:t xml:space="preserve">návrhu </w:t>
      </w:r>
      <w:proofErr w:type="spellStart"/>
      <w:r w:rsidR="00DE130A">
        <w:rPr>
          <w:lang w:val="cs-CZ"/>
        </w:rPr>
        <w:t>VeaCom</w:t>
      </w:r>
      <w:proofErr w:type="spellEnd"/>
      <w:r w:rsidR="00DE130A">
        <w:rPr>
          <w:lang w:val="cs-CZ"/>
        </w:rPr>
        <w:t xml:space="preserve">. </w:t>
      </w:r>
    </w:p>
    <w:p w14:paraId="5614E89C" w14:textId="38E465C5" w:rsidR="009E6F0D" w:rsidRDefault="00B82049" w:rsidP="00EF2224">
      <w:pPr>
        <w:pStyle w:val="Nadpis2"/>
        <w:keepNext/>
        <w:jc w:val="both"/>
        <w:rPr>
          <w:lang w:val="cs-CZ"/>
        </w:rPr>
      </w:pPr>
      <w:r w:rsidRPr="00314E1C">
        <w:rPr>
          <w:lang w:val="cs-CZ"/>
        </w:rPr>
        <w:t xml:space="preserve">Potvrdí-li </w:t>
      </w:r>
      <w:proofErr w:type="spellStart"/>
      <w:r w:rsidR="00DE130A">
        <w:rPr>
          <w:lang w:val="cs-CZ"/>
        </w:rPr>
        <w:t>VeaCom</w:t>
      </w:r>
      <w:proofErr w:type="spellEnd"/>
      <w:r w:rsidR="00DE130A">
        <w:rPr>
          <w:lang w:val="cs-CZ"/>
        </w:rPr>
        <w:t xml:space="preserve"> </w:t>
      </w:r>
      <w:r w:rsidR="009E6F0D">
        <w:rPr>
          <w:lang w:val="cs-CZ"/>
        </w:rPr>
        <w:t>Upravenou vyvolávací cenu</w:t>
      </w:r>
      <w:r w:rsidR="00C3700E">
        <w:rPr>
          <w:lang w:val="cs-CZ"/>
        </w:rPr>
        <w:t>,</w:t>
      </w:r>
      <w:r w:rsidRPr="00314E1C">
        <w:rPr>
          <w:lang w:val="cs-CZ"/>
        </w:rPr>
        <w:t xml:space="preserve"> </w:t>
      </w:r>
      <w:r w:rsidR="009E6F0D" w:rsidRPr="00314E1C">
        <w:rPr>
          <w:lang w:val="cs-CZ"/>
        </w:rPr>
        <w:t xml:space="preserve">platí, že Dílčí </w:t>
      </w:r>
      <w:r w:rsidR="00C3700E">
        <w:rPr>
          <w:lang w:val="cs-CZ"/>
        </w:rPr>
        <w:t>smlouva</w:t>
      </w:r>
      <w:r w:rsidR="009E6F0D" w:rsidRPr="00314E1C">
        <w:rPr>
          <w:lang w:val="cs-CZ"/>
        </w:rPr>
        <w:t xml:space="preserve"> byla v rozsahu, jehož se týká Upravená </w:t>
      </w:r>
      <w:r w:rsidR="009E6F0D">
        <w:rPr>
          <w:lang w:val="cs-CZ"/>
        </w:rPr>
        <w:t>vyvolávací cena</w:t>
      </w:r>
      <w:r w:rsidR="009E6F0D" w:rsidRPr="00314E1C">
        <w:rPr>
          <w:lang w:val="cs-CZ"/>
        </w:rPr>
        <w:t xml:space="preserve">, uzavřena s tím, že se uplatní Upravená </w:t>
      </w:r>
      <w:r w:rsidR="009E6F0D">
        <w:rPr>
          <w:lang w:val="cs-CZ"/>
        </w:rPr>
        <w:t>vyvolávací cena.</w:t>
      </w:r>
    </w:p>
    <w:p w14:paraId="277E7AB7" w14:textId="77777777" w:rsidR="00030B69" w:rsidRDefault="00030B69" w:rsidP="00EF2224">
      <w:pPr>
        <w:pStyle w:val="Nadpis2"/>
        <w:keepNext/>
        <w:jc w:val="both"/>
        <w:rPr>
          <w:lang w:val="cs-CZ"/>
        </w:rPr>
      </w:pPr>
      <w:r w:rsidRPr="00314E1C">
        <w:rPr>
          <w:lang w:val="cs-CZ"/>
        </w:rPr>
        <w:t xml:space="preserve">Nevyplývá-li ze shora uvedených ustanovení jinak, Komitent není oprávněn odstoupit od uzavřené Dílčí smlouvy nebo ji zrušit. </w:t>
      </w:r>
    </w:p>
    <w:p w14:paraId="6C44DB17" w14:textId="77777777" w:rsidR="00C71C88" w:rsidRPr="00B974C2" w:rsidRDefault="00C71C88" w:rsidP="00C71C88">
      <w:pPr>
        <w:pStyle w:val="Zkladntext"/>
        <w:rPr>
          <w:lang w:val="cs-CZ"/>
        </w:rPr>
      </w:pPr>
    </w:p>
    <w:p w14:paraId="3A368D88" w14:textId="77777777" w:rsidR="006201B0" w:rsidRPr="00314E1C" w:rsidRDefault="00075A29" w:rsidP="00EF2224">
      <w:pPr>
        <w:pStyle w:val="Nadpis1"/>
        <w:jc w:val="both"/>
        <w:rPr>
          <w:lang w:val="cs-CZ"/>
        </w:rPr>
      </w:pPr>
      <w:r w:rsidRPr="00314E1C">
        <w:rPr>
          <w:lang w:val="cs-CZ"/>
        </w:rPr>
        <w:t>Realizace Dílčích smluv</w:t>
      </w:r>
    </w:p>
    <w:p w14:paraId="59E06615" w14:textId="77777777" w:rsidR="00075A29" w:rsidRPr="00314E1C" w:rsidRDefault="006E7EF7" w:rsidP="00EF2224">
      <w:pPr>
        <w:pStyle w:val="Nadpis2"/>
        <w:keepNext/>
        <w:jc w:val="both"/>
        <w:rPr>
          <w:szCs w:val="22"/>
          <w:lang w:val="cs-CZ"/>
        </w:rPr>
      </w:pPr>
      <w:proofErr w:type="spellStart"/>
      <w:r w:rsidRPr="00314E1C">
        <w:rPr>
          <w:szCs w:val="22"/>
          <w:lang w:val="cs-CZ"/>
        </w:rPr>
        <w:t>VeaCom</w:t>
      </w:r>
      <w:proofErr w:type="spellEnd"/>
      <w:r w:rsidRPr="00314E1C">
        <w:rPr>
          <w:szCs w:val="22"/>
          <w:lang w:val="cs-CZ"/>
        </w:rPr>
        <w:t xml:space="preserve"> se na základě uzavřené Dílčí smlouvy zavazuje </w:t>
      </w:r>
      <w:r w:rsidR="007D0C85" w:rsidRPr="00314E1C">
        <w:rPr>
          <w:szCs w:val="22"/>
          <w:lang w:val="cs-CZ"/>
        </w:rPr>
        <w:t>obstarat prodej Movitých věcí v internetové aukci</w:t>
      </w:r>
      <w:r w:rsidR="00F230FF" w:rsidRPr="00314E1C">
        <w:rPr>
          <w:szCs w:val="22"/>
          <w:lang w:val="cs-CZ"/>
        </w:rPr>
        <w:t xml:space="preserve"> zájemci s nejvyšší nabídkou kupní ceny. M</w:t>
      </w:r>
      <w:r w:rsidR="00A811A6" w:rsidRPr="00314E1C">
        <w:rPr>
          <w:szCs w:val="22"/>
          <w:lang w:val="cs-CZ"/>
        </w:rPr>
        <w:t xml:space="preserve">inimální vyvolávací </w:t>
      </w:r>
      <w:r w:rsidR="00F230FF" w:rsidRPr="00314E1C">
        <w:rPr>
          <w:szCs w:val="22"/>
          <w:lang w:val="cs-CZ"/>
        </w:rPr>
        <w:t xml:space="preserve">a realizovatelná </w:t>
      </w:r>
      <w:r w:rsidR="00A811A6" w:rsidRPr="00314E1C">
        <w:rPr>
          <w:szCs w:val="22"/>
          <w:lang w:val="cs-CZ"/>
        </w:rPr>
        <w:t>cen</w:t>
      </w:r>
      <w:r w:rsidR="00F230FF" w:rsidRPr="00314E1C">
        <w:rPr>
          <w:szCs w:val="22"/>
          <w:lang w:val="cs-CZ"/>
        </w:rPr>
        <w:t xml:space="preserve">a bude odpovídat výsledkům postupu </w:t>
      </w:r>
      <w:r w:rsidR="00A811A6" w:rsidRPr="00314E1C">
        <w:rPr>
          <w:szCs w:val="22"/>
          <w:lang w:val="cs-CZ"/>
        </w:rPr>
        <w:t>dle č</w:t>
      </w:r>
      <w:r w:rsidR="007D0C85" w:rsidRPr="00314E1C">
        <w:rPr>
          <w:szCs w:val="22"/>
          <w:lang w:val="cs-CZ"/>
        </w:rPr>
        <w:t>l</w:t>
      </w:r>
      <w:r w:rsidR="00A811A6" w:rsidRPr="00314E1C">
        <w:rPr>
          <w:szCs w:val="22"/>
          <w:lang w:val="cs-CZ"/>
        </w:rPr>
        <w:t xml:space="preserve">. 2 této rámcové smlouvy. </w:t>
      </w:r>
    </w:p>
    <w:p w14:paraId="10B91F01" w14:textId="446BE62E" w:rsidR="002762FA" w:rsidRPr="00314E1C" w:rsidRDefault="002762FA" w:rsidP="00EF2224">
      <w:pPr>
        <w:pStyle w:val="Nadpis2"/>
        <w:keepNext/>
        <w:jc w:val="both"/>
        <w:rPr>
          <w:szCs w:val="22"/>
          <w:lang w:val="cs-CZ"/>
        </w:rPr>
      </w:pPr>
      <w:r w:rsidRPr="00314E1C">
        <w:rPr>
          <w:szCs w:val="22"/>
          <w:lang w:val="cs-CZ"/>
        </w:rPr>
        <w:t>Komitent souhlasí, aby Movité věci</w:t>
      </w:r>
      <w:r w:rsidR="009F3AFE">
        <w:rPr>
          <w:szCs w:val="22"/>
          <w:lang w:val="cs-CZ"/>
        </w:rPr>
        <w:t>, jež jsou předmětem Dílčí smlouvy,</w:t>
      </w:r>
      <w:r w:rsidRPr="00314E1C">
        <w:rPr>
          <w:szCs w:val="22"/>
          <w:lang w:val="cs-CZ"/>
        </w:rPr>
        <w:t xml:space="preserve"> byly prezentovány na internetových stránkách </w:t>
      </w:r>
      <w:proofErr w:type="spellStart"/>
      <w:r w:rsidRPr="00314E1C">
        <w:rPr>
          <w:szCs w:val="22"/>
          <w:lang w:val="cs-CZ"/>
        </w:rPr>
        <w:t>VeaComu</w:t>
      </w:r>
      <w:proofErr w:type="spellEnd"/>
      <w:r w:rsidRPr="00314E1C">
        <w:rPr>
          <w:szCs w:val="22"/>
          <w:lang w:val="cs-CZ"/>
        </w:rPr>
        <w:t xml:space="preserve"> a </w:t>
      </w:r>
      <w:r w:rsidR="00F13BE5" w:rsidRPr="00314E1C">
        <w:rPr>
          <w:szCs w:val="22"/>
          <w:lang w:val="cs-CZ"/>
        </w:rPr>
        <w:t xml:space="preserve">případně </w:t>
      </w:r>
      <w:r w:rsidRPr="00314E1C">
        <w:rPr>
          <w:szCs w:val="22"/>
          <w:lang w:val="cs-CZ"/>
        </w:rPr>
        <w:t>dalších inzertních serverech.</w:t>
      </w:r>
      <w:r w:rsidR="000C5AC1" w:rsidRPr="00314E1C">
        <w:rPr>
          <w:szCs w:val="22"/>
          <w:lang w:val="cs-CZ"/>
        </w:rPr>
        <w:t xml:space="preserve"> </w:t>
      </w:r>
    </w:p>
    <w:p w14:paraId="28E72801" w14:textId="40CC6EA8" w:rsidR="002762FA" w:rsidRPr="00314E1C" w:rsidRDefault="00C5531E" w:rsidP="00EF2224">
      <w:pPr>
        <w:pStyle w:val="Nadpis2"/>
        <w:keepNext/>
        <w:jc w:val="both"/>
        <w:rPr>
          <w:szCs w:val="22"/>
          <w:lang w:val="cs-CZ"/>
        </w:rPr>
      </w:pPr>
      <w:r w:rsidRPr="00314E1C">
        <w:rPr>
          <w:szCs w:val="22"/>
          <w:lang w:val="cs-CZ"/>
        </w:rPr>
        <w:t xml:space="preserve">Nebude-li mezi Smluvními stranami výslovně dohodnuto </w:t>
      </w:r>
      <w:r w:rsidR="00D237EE" w:rsidRPr="00314E1C">
        <w:rPr>
          <w:szCs w:val="22"/>
          <w:lang w:val="cs-CZ"/>
        </w:rPr>
        <w:t xml:space="preserve">v konkrétním případě </w:t>
      </w:r>
      <w:r w:rsidRPr="00314E1C">
        <w:rPr>
          <w:szCs w:val="22"/>
          <w:lang w:val="cs-CZ"/>
        </w:rPr>
        <w:t>jinak, M</w:t>
      </w:r>
      <w:r w:rsidR="002762FA" w:rsidRPr="00314E1C">
        <w:rPr>
          <w:szCs w:val="22"/>
          <w:lang w:val="cs-CZ"/>
        </w:rPr>
        <w:t>ovité věci zůstanou uskladněny u Komitenta na jeho odpovědnost a náklady</w:t>
      </w:r>
      <w:r w:rsidR="00216263" w:rsidRPr="00314E1C">
        <w:rPr>
          <w:szCs w:val="22"/>
          <w:lang w:val="cs-CZ"/>
        </w:rPr>
        <w:t xml:space="preserve"> až do doby </w:t>
      </w:r>
      <w:r w:rsidR="00216263" w:rsidRPr="00314E1C">
        <w:rPr>
          <w:szCs w:val="22"/>
          <w:lang w:val="cs-CZ"/>
        </w:rPr>
        <w:lastRenderedPageBreak/>
        <w:t>protokolárního předání kupujícímu</w:t>
      </w:r>
      <w:r w:rsidR="002762FA" w:rsidRPr="00314E1C">
        <w:rPr>
          <w:szCs w:val="22"/>
          <w:lang w:val="cs-CZ"/>
        </w:rPr>
        <w:t>. Komitent se zavazuje umožnit zájemcům o koupi prohlídku Movitých věcí</w:t>
      </w:r>
      <w:r w:rsidR="00774EE4">
        <w:rPr>
          <w:szCs w:val="22"/>
          <w:lang w:val="cs-CZ"/>
        </w:rPr>
        <w:t xml:space="preserve"> v místě uskladnění</w:t>
      </w:r>
      <w:r w:rsidR="00E05470">
        <w:rPr>
          <w:szCs w:val="22"/>
          <w:lang w:val="cs-CZ"/>
        </w:rPr>
        <w:t>.</w:t>
      </w:r>
      <w:r w:rsidRPr="00314E1C">
        <w:rPr>
          <w:szCs w:val="22"/>
          <w:lang w:val="cs-CZ"/>
        </w:rPr>
        <w:t xml:space="preserve"> </w:t>
      </w:r>
    </w:p>
    <w:p w14:paraId="46F68282" w14:textId="77777777" w:rsidR="00C5531E" w:rsidRPr="00314E1C" w:rsidRDefault="00F230FF" w:rsidP="00EF2224">
      <w:pPr>
        <w:pStyle w:val="Nadpis2"/>
        <w:keepNext/>
        <w:jc w:val="both"/>
        <w:rPr>
          <w:szCs w:val="22"/>
          <w:lang w:val="cs-CZ"/>
        </w:rPr>
      </w:pPr>
      <w:r w:rsidRPr="00314E1C">
        <w:rPr>
          <w:szCs w:val="22"/>
          <w:lang w:val="cs-CZ"/>
        </w:rPr>
        <w:t xml:space="preserve">Odmítne-li zájemce s nejvyšší nabídkou kupní ceny uhradit kupní cenu či </w:t>
      </w:r>
      <w:r w:rsidR="00C5531E" w:rsidRPr="00314E1C">
        <w:rPr>
          <w:szCs w:val="22"/>
          <w:lang w:val="cs-CZ"/>
        </w:rPr>
        <w:t xml:space="preserve">uzavřít kupní smlouvu, </w:t>
      </w:r>
      <w:r w:rsidRPr="00314E1C">
        <w:rPr>
          <w:szCs w:val="22"/>
          <w:lang w:val="cs-CZ"/>
        </w:rPr>
        <w:t xml:space="preserve">je </w:t>
      </w:r>
      <w:proofErr w:type="spellStart"/>
      <w:r w:rsidRPr="00314E1C">
        <w:rPr>
          <w:szCs w:val="22"/>
          <w:lang w:val="cs-CZ"/>
        </w:rPr>
        <w:t>VeaCom</w:t>
      </w:r>
      <w:proofErr w:type="spellEnd"/>
      <w:r w:rsidRPr="00314E1C">
        <w:rPr>
          <w:szCs w:val="22"/>
          <w:lang w:val="cs-CZ"/>
        </w:rPr>
        <w:t xml:space="preserve"> oprávněn nabídnout dotčenou Movitou věc </w:t>
      </w:r>
      <w:r w:rsidR="00C5531E" w:rsidRPr="00314E1C">
        <w:rPr>
          <w:szCs w:val="22"/>
          <w:lang w:val="cs-CZ"/>
        </w:rPr>
        <w:t>účastníku aukce s druhou nejvyšší nabídkou kupní ceny</w:t>
      </w:r>
      <w:r w:rsidR="00591FC8" w:rsidRPr="00314E1C">
        <w:rPr>
          <w:szCs w:val="22"/>
          <w:lang w:val="cs-CZ"/>
        </w:rPr>
        <w:t>, jenž tak bude považován za účastníka s</w:t>
      </w:r>
      <w:r w:rsidR="00FB64AF" w:rsidRPr="00314E1C">
        <w:rPr>
          <w:szCs w:val="22"/>
          <w:lang w:val="cs-CZ"/>
        </w:rPr>
        <w:t> nejvyšší nabídkou</w:t>
      </w:r>
      <w:r w:rsidR="00C5531E" w:rsidRPr="00314E1C">
        <w:rPr>
          <w:szCs w:val="22"/>
          <w:lang w:val="cs-CZ"/>
        </w:rPr>
        <w:t>.</w:t>
      </w:r>
    </w:p>
    <w:p w14:paraId="79F98E63" w14:textId="77777777" w:rsidR="00F230FF" w:rsidRPr="00314E1C" w:rsidRDefault="00F230FF" w:rsidP="00EF2224">
      <w:pPr>
        <w:pStyle w:val="Nadpis2"/>
        <w:keepNext/>
        <w:jc w:val="both"/>
        <w:rPr>
          <w:szCs w:val="22"/>
          <w:lang w:val="cs-CZ"/>
        </w:rPr>
      </w:pPr>
      <w:proofErr w:type="spellStart"/>
      <w:r w:rsidRPr="00314E1C">
        <w:rPr>
          <w:szCs w:val="22"/>
          <w:lang w:val="cs-CZ"/>
        </w:rPr>
        <w:t>VeaCom</w:t>
      </w:r>
      <w:proofErr w:type="spellEnd"/>
      <w:r w:rsidRPr="00314E1C">
        <w:rPr>
          <w:szCs w:val="22"/>
          <w:lang w:val="cs-CZ"/>
        </w:rPr>
        <w:t xml:space="preserve"> se zavazuje o výsledcích aukce informovat Komitenta bez zbytečného odkladu, nejpozději do 5 dnů od jejího skončení. </w:t>
      </w:r>
    </w:p>
    <w:p w14:paraId="75D87202" w14:textId="0709CD59" w:rsidR="00FB64AF" w:rsidRDefault="00FB64AF" w:rsidP="00EF2224">
      <w:pPr>
        <w:pStyle w:val="Nadpis2"/>
        <w:keepNext/>
        <w:jc w:val="both"/>
        <w:rPr>
          <w:szCs w:val="22"/>
          <w:lang w:val="cs-CZ"/>
        </w:rPr>
      </w:pPr>
      <w:r w:rsidRPr="00314E1C">
        <w:rPr>
          <w:szCs w:val="22"/>
          <w:lang w:val="cs-CZ"/>
        </w:rPr>
        <w:t xml:space="preserve">Nepodaří-li se </w:t>
      </w:r>
      <w:r w:rsidR="00582058" w:rsidRPr="00314E1C">
        <w:rPr>
          <w:szCs w:val="22"/>
          <w:lang w:val="cs-CZ"/>
        </w:rPr>
        <w:t xml:space="preserve">Movité věci v aukci zpeněžit (tj. v rámci aukce nebude učiněn žádný příhoz nebo bude aukce ze strany účastníka zmařena), oznámí tuto skutečnost </w:t>
      </w:r>
      <w:proofErr w:type="spellStart"/>
      <w:r w:rsidR="00582058" w:rsidRPr="00314E1C">
        <w:rPr>
          <w:szCs w:val="22"/>
          <w:lang w:val="cs-CZ"/>
        </w:rPr>
        <w:t>VeaCom</w:t>
      </w:r>
      <w:proofErr w:type="spellEnd"/>
      <w:r w:rsidR="00582058" w:rsidRPr="00314E1C">
        <w:rPr>
          <w:szCs w:val="22"/>
          <w:lang w:val="cs-CZ"/>
        </w:rPr>
        <w:t xml:space="preserve"> Komitentovi do 5 dnů. Komitent v takovém případě může učinit novou objednávku s upravenou </w:t>
      </w:r>
      <w:r w:rsidR="00E05470">
        <w:rPr>
          <w:szCs w:val="22"/>
          <w:lang w:val="cs-CZ"/>
        </w:rPr>
        <w:t>Vyvolávací cenou</w:t>
      </w:r>
      <w:r w:rsidR="00C3700E">
        <w:rPr>
          <w:szCs w:val="22"/>
          <w:lang w:val="cs-CZ"/>
        </w:rPr>
        <w:t xml:space="preserve"> – dále se bude postupovat dle čl. 2</w:t>
      </w:r>
      <w:r w:rsidR="00582058" w:rsidRPr="00314E1C">
        <w:rPr>
          <w:szCs w:val="22"/>
          <w:lang w:val="cs-CZ"/>
        </w:rPr>
        <w:t xml:space="preserve">. </w:t>
      </w:r>
      <w:r w:rsidR="00032014">
        <w:rPr>
          <w:szCs w:val="22"/>
          <w:lang w:val="cs-CZ"/>
        </w:rPr>
        <w:t xml:space="preserve">Nová objednávka může být opakována maximálně 3 krát. </w:t>
      </w:r>
    </w:p>
    <w:p w14:paraId="0B9AB549" w14:textId="77777777" w:rsidR="00483C40" w:rsidRPr="00314E1C" w:rsidRDefault="00483C40" w:rsidP="00EF2224">
      <w:pPr>
        <w:pStyle w:val="Nadpis2"/>
        <w:keepNext/>
        <w:jc w:val="both"/>
        <w:rPr>
          <w:szCs w:val="22"/>
          <w:lang w:val="cs-CZ"/>
        </w:rPr>
      </w:pPr>
      <w:r w:rsidRPr="00314E1C">
        <w:rPr>
          <w:szCs w:val="22"/>
          <w:lang w:val="cs-CZ"/>
        </w:rPr>
        <w:t xml:space="preserve">Veškeré hotovostní a bezhotovostní platby včetně záloh při prodeji Movitých věcí dle této rámcové smlouvy inkasuje </w:t>
      </w:r>
      <w:proofErr w:type="spellStart"/>
      <w:r w:rsidRPr="00314E1C">
        <w:rPr>
          <w:szCs w:val="22"/>
          <w:lang w:val="cs-CZ"/>
        </w:rPr>
        <w:t>VeaCom</w:t>
      </w:r>
      <w:proofErr w:type="spellEnd"/>
      <w:r w:rsidRPr="00314E1C">
        <w:rPr>
          <w:szCs w:val="22"/>
          <w:lang w:val="cs-CZ"/>
        </w:rPr>
        <w:t xml:space="preserve">, jenž po realizaci prodeje následně provede vyúčtování vůči Komitentovi a uhradí Komitentovi odpovídající částku kupní ceny, a to na základě řádného daňového dokladu vydaného Komitentem.   </w:t>
      </w:r>
    </w:p>
    <w:p w14:paraId="52E3AA04" w14:textId="4C2817E8" w:rsidR="00A811A6" w:rsidRPr="00314E1C" w:rsidRDefault="00E05470" w:rsidP="00EF2224">
      <w:pPr>
        <w:pStyle w:val="Nadpis2"/>
        <w:keepNext/>
        <w:jc w:val="both"/>
        <w:rPr>
          <w:szCs w:val="22"/>
          <w:lang w:val="cs-CZ"/>
        </w:rPr>
      </w:pPr>
      <w:r>
        <w:rPr>
          <w:szCs w:val="22"/>
          <w:lang w:val="cs-CZ"/>
        </w:rPr>
        <w:t xml:space="preserve">Komitent je povinen předem informovat </w:t>
      </w:r>
      <w:proofErr w:type="spellStart"/>
      <w:r>
        <w:rPr>
          <w:szCs w:val="22"/>
          <w:lang w:val="cs-CZ"/>
        </w:rPr>
        <w:t>VeaCom</w:t>
      </w:r>
      <w:proofErr w:type="spellEnd"/>
      <w:r>
        <w:rPr>
          <w:szCs w:val="22"/>
          <w:lang w:val="cs-CZ"/>
        </w:rPr>
        <w:t xml:space="preserve"> o všech známých vadách</w:t>
      </w:r>
      <w:r w:rsidR="003B2A3B">
        <w:rPr>
          <w:szCs w:val="22"/>
          <w:lang w:val="cs-CZ"/>
        </w:rPr>
        <w:t xml:space="preserve"> Movité věci, jakož i o </w:t>
      </w:r>
      <w:r>
        <w:rPr>
          <w:szCs w:val="22"/>
          <w:lang w:val="cs-CZ"/>
        </w:rPr>
        <w:t xml:space="preserve">dřívějších </w:t>
      </w:r>
      <w:r w:rsidR="007668A6">
        <w:rPr>
          <w:szCs w:val="22"/>
          <w:lang w:val="cs-CZ"/>
        </w:rPr>
        <w:t xml:space="preserve">podstatných </w:t>
      </w:r>
      <w:r>
        <w:rPr>
          <w:szCs w:val="22"/>
          <w:lang w:val="cs-CZ"/>
        </w:rPr>
        <w:t>haváriích</w:t>
      </w:r>
      <w:r w:rsidR="003B2A3B">
        <w:rPr>
          <w:szCs w:val="22"/>
          <w:lang w:val="cs-CZ"/>
        </w:rPr>
        <w:t xml:space="preserve"> či</w:t>
      </w:r>
      <w:r>
        <w:rPr>
          <w:szCs w:val="22"/>
          <w:lang w:val="cs-CZ"/>
        </w:rPr>
        <w:t xml:space="preserve"> poškozeních</w:t>
      </w:r>
      <w:r w:rsidR="003B2A3B">
        <w:rPr>
          <w:szCs w:val="22"/>
          <w:lang w:val="cs-CZ"/>
        </w:rPr>
        <w:t xml:space="preserve"> Movité věci,</w:t>
      </w:r>
      <w:r>
        <w:rPr>
          <w:szCs w:val="22"/>
          <w:lang w:val="cs-CZ"/>
        </w:rPr>
        <w:t xml:space="preserve"> </w:t>
      </w:r>
      <w:r w:rsidR="007668A6">
        <w:rPr>
          <w:szCs w:val="22"/>
          <w:lang w:val="cs-CZ"/>
        </w:rPr>
        <w:t xml:space="preserve">podstatných </w:t>
      </w:r>
      <w:r>
        <w:rPr>
          <w:szCs w:val="22"/>
          <w:lang w:val="cs-CZ"/>
        </w:rPr>
        <w:t>škodách na Movité věci</w:t>
      </w:r>
      <w:r w:rsidR="003B2A3B">
        <w:rPr>
          <w:szCs w:val="22"/>
          <w:lang w:val="cs-CZ"/>
        </w:rPr>
        <w:t xml:space="preserve"> a o dalších skutečnostech podstatných pro prodej Movité věci</w:t>
      </w:r>
      <w:r>
        <w:rPr>
          <w:szCs w:val="22"/>
          <w:lang w:val="cs-CZ"/>
        </w:rPr>
        <w:t>.</w:t>
      </w:r>
      <w:r w:rsidR="003B2A3B">
        <w:rPr>
          <w:szCs w:val="22"/>
          <w:lang w:val="cs-CZ"/>
        </w:rPr>
        <w:t xml:space="preserve"> V případě porušení této povinnosti odpovídá Komitent </w:t>
      </w:r>
      <w:proofErr w:type="spellStart"/>
      <w:r w:rsidR="003B2A3B">
        <w:rPr>
          <w:szCs w:val="22"/>
          <w:lang w:val="cs-CZ"/>
        </w:rPr>
        <w:t>VeaComu</w:t>
      </w:r>
      <w:proofErr w:type="spellEnd"/>
      <w:r w:rsidR="003B2A3B">
        <w:rPr>
          <w:szCs w:val="22"/>
          <w:lang w:val="cs-CZ"/>
        </w:rPr>
        <w:t xml:space="preserve"> za škodu tím vzniklou. </w:t>
      </w:r>
      <w:r w:rsidR="00F230FF" w:rsidRPr="00314E1C">
        <w:rPr>
          <w:szCs w:val="22"/>
          <w:lang w:val="cs-CZ"/>
        </w:rPr>
        <w:t xml:space="preserve">Zjistí-li </w:t>
      </w:r>
      <w:proofErr w:type="spellStart"/>
      <w:r w:rsidR="00F230FF" w:rsidRPr="00314E1C">
        <w:rPr>
          <w:szCs w:val="22"/>
          <w:lang w:val="cs-CZ"/>
        </w:rPr>
        <w:t>VeaCom</w:t>
      </w:r>
      <w:proofErr w:type="spellEnd"/>
      <w:r w:rsidR="00C5531E" w:rsidRPr="00314E1C">
        <w:rPr>
          <w:szCs w:val="22"/>
          <w:lang w:val="cs-CZ"/>
        </w:rPr>
        <w:t xml:space="preserve">, že </w:t>
      </w:r>
      <w:r w:rsidR="00F230FF" w:rsidRPr="00314E1C">
        <w:rPr>
          <w:szCs w:val="22"/>
          <w:lang w:val="cs-CZ"/>
        </w:rPr>
        <w:t>Movitá věc vykazuje</w:t>
      </w:r>
      <w:r w:rsidR="00C5531E" w:rsidRPr="00314E1C">
        <w:rPr>
          <w:szCs w:val="22"/>
          <w:lang w:val="cs-CZ"/>
        </w:rPr>
        <w:t xml:space="preserve"> vadu</w:t>
      </w:r>
      <w:r w:rsidR="003B2A3B">
        <w:rPr>
          <w:szCs w:val="22"/>
          <w:lang w:val="cs-CZ"/>
        </w:rPr>
        <w:t xml:space="preserve"> či je zde jiná podstatná skutečnost</w:t>
      </w:r>
      <w:r w:rsidR="00C5531E" w:rsidRPr="00314E1C">
        <w:rPr>
          <w:szCs w:val="22"/>
          <w:lang w:val="cs-CZ"/>
        </w:rPr>
        <w:t>, která může ovlivnit prodejnost</w:t>
      </w:r>
      <w:r w:rsidR="003B2A3B">
        <w:rPr>
          <w:szCs w:val="22"/>
          <w:lang w:val="cs-CZ"/>
        </w:rPr>
        <w:t xml:space="preserve"> Movité věci</w:t>
      </w:r>
      <w:r w:rsidR="00C5531E" w:rsidRPr="00314E1C">
        <w:rPr>
          <w:szCs w:val="22"/>
          <w:lang w:val="cs-CZ"/>
        </w:rPr>
        <w:t xml:space="preserve">, </w:t>
      </w:r>
      <w:r w:rsidR="00627850" w:rsidRPr="00314E1C">
        <w:rPr>
          <w:szCs w:val="22"/>
          <w:lang w:val="cs-CZ"/>
        </w:rPr>
        <w:t xml:space="preserve">může ohledně </w:t>
      </w:r>
      <w:r w:rsidR="003B2A3B">
        <w:rPr>
          <w:szCs w:val="22"/>
          <w:lang w:val="cs-CZ"/>
        </w:rPr>
        <w:t>dotčené</w:t>
      </w:r>
      <w:r w:rsidR="00627850" w:rsidRPr="00314E1C">
        <w:rPr>
          <w:szCs w:val="22"/>
          <w:lang w:val="cs-CZ"/>
        </w:rPr>
        <w:t xml:space="preserve"> Movité věci od Dílčí smlouvy </w:t>
      </w:r>
      <w:r>
        <w:rPr>
          <w:szCs w:val="22"/>
          <w:lang w:val="cs-CZ"/>
        </w:rPr>
        <w:t xml:space="preserve">kdykoliv </w:t>
      </w:r>
      <w:r w:rsidR="00627850" w:rsidRPr="00314E1C">
        <w:rPr>
          <w:szCs w:val="22"/>
          <w:lang w:val="cs-CZ"/>
        </w:rPr>
        <w:t>odstoupit nebo Dílčí smlouvu odmítnout</w:t>
      </w:r>
      <w:r w:rsidR="00C5531E" w:rsidRPr="00314E1C">
        <w:rPr>
          <w:szCs w:val="22"/>
          <w:lang w:val="cs-CZ"/>
        </w:rPr>
        <w:t>.</w:t>
      </w:r>
      <w:r w:rsidR="00483C40" w:rsidRPr="00314E1C">
        <w:rPr>
          <w:szCs w:val="22"/>
          <w:lang w:val="cs-CZ"/>
        </w:rPr>
        <w:t xml:space="preserve"> </w:t>
      </w:r>
    </w:p>
    <w:p w14:paraId="15D908F6" w14:textId="77777777" w:rsidR="00C71C88" w:rsidRDefault="003B2A3B" w:rsidP="00EF2224">
      <w:pPr>
        <w:pStyle w:val="Nadpis2"/>
        <w:keepNext/>
        <w:jc w:val="both"/>
        <w:rPr>
          <w:szCs w:val="22"/>
          <w:lang w:val="cs-CZ"/>
        </w:rPr>
      </w:pPr>
      <w:r>
        <w:rPr>
          <w:szCs w:val="22"/>
          <w:lang w:val="cs-CZ"/>
        </w:rPr>
        <w:t xml:space="preserve">Nedohodne-li se </w:t>
      </w:r>
      <w:proofErr w:type="spellStart"/>
      <w:r>
        <w:rPr>
          <w:szCs w:val="22"/>
          <w:lang w:val="cs-CZ"/>
        </w:rPr>
        <w:t>VeaCom</w:t>
      </w:r>
      <w:proofErr w:type="spellEnd"/>
      <w:r>
        <w:rPr>
          <w:szCs w:val="22"/>
          <w:lang w:val="cs-CZ"/>
        </w:rPr>
        <w:t xml:space="preserve"> s Komitentem jinak, zavazuje </w:t>
      </w:r>
      <w:r w:rsidR="00E54807" w:rsidRPr="00314E1C">
        <w:rPr>
          <w:szCs w:val="22"/>
          <w:lang w:val="cs-CZ"/>
        </w:rPr>
        <w:t xml:space="preserve">se </w:t>
      </w:r>
      <w:proofErr w:type="spellStart"/>
      <w:r w:rsidR="00E54807" w:rsidRPr="00314E1C">
        <w:rPr>
          <w:szCs w:val="22"/>
          <w:lang w:val="cs-CZ"/>
        </w:rPr>
        <w:t>VeaCom</w:t>
      </w:r>
      <w:proofErr w:type="spellEnd"/>
      <w:r w:rsidR="00E54807" w:rsidRPr="00314E1C">
        <w:rPr>
          <w:szCs w:val="22"/>
          <w:lang w:val="cs-CZ"/>
        </w:rPr>
        <w:t xml:space="preserve"> do deseti (10) dnů ode dne ukončení aukce a určení vítěze aukce zajistit evidenční kontrolu Movitých věcí a vydání zelené karty dle zákona o pojištění odpovědnosti z provozu vozidla</w:t>
      </w:r>
      <w:r>
        <w:rPr>
          <w:szCs w:val="22"/>
          <w:lang w:val="cs-CZ"/>
        </w:rPr>
        <w:t xml:space="preserve">, a to </w:t>
      </w:r>
      <w:r w:rsidR="000B75D9">
        <w:rPr>
          <w:szCs w:val="22"/>
          <w:lang w:val="cs-CZ"/>
        </w:rPr>
        <w:t xml:space="preserve">v těch případech, kdy jsou tyto úkony nezbytné pro registraci nového vlastníka Movité věci u příslušeného úřadu. </w:t>
      </w:r>
    </w:p>
    <w:p w14:paraId="01CD4D49" w14:textId="77777777" w:rsidR="00C71C88" w:rsidRDefault="00C71C88" w:rsidP="00C71C88">
      <w:pPr>
        <w:pStyle w:val="Nadpis2"/>
        <w:keepNext/>
        <w:numPr>
          <w:ilvl w:val="0"/>
          <w:numId w:val="0"/>
        </w:numPr>
        <w:ind w:left="1134"/>
        <w:jc w:val="both"/>
        <w:rPr>
          <w:szCs w:val="22"/>
          <w:lang w:val="cs-CZ"/>
        </w:rPr>
      </w:pPr>
    </w:p>
    <w:p w14:paraId="02FE43AF" w14:textId="42397D90" w:rsidR="00E54807" w:rsidRDefault="003B2A3B" w:rsidP="00C71C88">
      <w:pPr>
        <w:pStyle w:val="Nadpis2"/>
        <w:keepNext/>
        <w:numPr>
          <w:ilvl w:val="0"/>
          <w:numId w:val="0"/>
        </w:numPr>
        <w:ind w:left="1134"/>
        <w:jc w:val="both"/>
        <w:rPr>
          <w:szCs w:val="22"/>
          <w:lang w:val="cs-CZ"/>
        </w:rPr>
      </w:pPr>
      <w:r w:rsidRPr="00C71C88">
        <w:rPr>
          <w:szCs w:val="22"/>
          <w:lang w:val="cs-CZ"/>
        </w:rPr>
        <w:t xml:space="preserve"> </w:t>
      </w:r>
    </w:p>
    <w:p w14:paraId="67800CD6" w14:textId="77777777" w:rsidR="0060120F" w:rsidRPr="00B974C2" w:rsidRDefault="0060120F" w:rsidP="0060120F">
      <w:pPr>
        <w:pStyle w:val="Zkladntext"/>
        <w:rPr>
          <w:lang w:val="cs-CZ"/>
        </w:rPr>
      </w:pPr>
    </w:p>
    <w:p w14:paraId="6F773716" w14:textId="77777777" w:rsidR="00483C40" w:rsidRPr="00314E1C" w:rsidRDefault="00483C40" w:rsidP="00EF2224">
      <w:pPr>
        <w:pStyle w:val="Nadpis1"/>
        <w:jc w:val="both"/>
        <w:rPr>
          <w:lang w:val="cs-CZ"/>
        </w:rPr>
      </w:pPr>
      <w:r w:rsidRPr="00314E1C">
        <w:rPr>
          <w:lang w:val="cs-CZ"/>
        </w:rPr>
        <w:t>Převod Movitých věcí</w:t>
      </w:r>
    </w:p>
    <w:p w14:paraId="4B892EC5" w14:textId="5115E533" w:rsidR="00483C40" w:rsidRPr="00314E1C" w:rsidRDefault="00483C40" w:rsidP="00EF2224">
      <w:pPr>
        <w:pStyle w:val="Nadpis2"/>
        <w:keepNext/>
        <w:jc w:val="both"/>
        <w:rPr>
          <w:szCs w:val="22"/>
          <w:lang w:val="cs-CZ"/>
        </w:rPr>
      </w:pPr>
      <w:r w:rsidRPr="00314E1C">
        <w:rPr>
          <w:szCs w:val="22"/>
          <w:lang w:val="cs-CZ"/>
        </w:rPr>
        <w:t xml:space="preserve">Smluvní strany sjednávají, že </w:t>
      </w:r>
      <w:r w:rsidR="001847B4" w:rsidRPr="00314E1C">
        <w:rPr>
          <w:szCs w:val="22"/>
          <w:lang w:val="cs-CZ"/>
        </w:rPr>
        <w:t xml:space="preserve">vlastnické právo k Movitým věcem přechází na </w:t>
      </w:r>
      <w:proofErr w:type="spellStart"/>
      <w:r w:rsidR="001847B4" w:rsidRPr="00314E1C">
        <w:rPr>
          <w:szCs w:val="22"/>
          <w:lang w:val="cs-CZ"/>
        </w:rPr>
        <w:t>VeaCom</w:t>
      </w:r>
      <w:proofErr w:type="spellEnd"/>
      <w:r w:rsidR="001847B4" w:rsidRPr="00314E1C">
        <w:rPr>
          <w:szCs w:val="22"/>
          <w:lang w:val="cs-CZ"/>
        </w:rPr>
        <w:t xml:space="preserve"> okamžikem úhrady </w:t>
      </w:r>
      <w:r w:rsidR="000C5AC1" w:rsidRPr="00314E1C">
        <w:rPr>
          <w:szCs w:val="22"/>
          <w:lang w:val="cs-CZ"/>
        </w:rPr>
        <w:t xml:space="preserve">dosažené </w:t>
      </w:r>
      <w:r w:rsidR="001847B4" w:rsidRPr="00314E1C">
        <w:rPr>
          <w:szCs w:val="22"/>
          <w:lang w:val="cs-CZ"/>
        </w:rPr>
        <w:t xml:space="preserve">kupní ceny </w:t>
      </w:r>
      <w:proofErr w:type="spellStart"/>
      <w:r w:rsidR="001847B4" w:rsidRPr="00314E1C">
        <w:rPr>
          <w:szCs w:val="22"/>
          <w:lang w:val="cs-CZ"/>
        </w:rPr>
        <w:t>VeaComu</w:t>
      </w:r>
      <w:proofErr w:type="spellEnd"/>
      <w:r w:rsidR="001847B4" w:rsidRPr="00314E1C">
        <w:rPr>
          <w:szCs w:val="22"/>
          <w:lang w:val="cs-CZ"/>
        </w:rPr>
        <w:t xml:space="preserve"> ze strany </w:t>
      </w:r>
      <w:r w:rsidR="00126B1B" w:rsidRPr="00314E1C">
        <w:rPr>
          <w:szCs w:val="22"/>
          <w:lang w:val="cs-CZ"/>
        </w:rPr>
        <w:t xml:space="preserve">účastníka internetové aukce s nejvyšší </w:t>
      </w:r>
      <w:r w:rsidR="000C5AC1" w:rsidRPr="00314E1C">
        <w:rPr>
          <w:szCs w:val="22"/>
          <w:lang w:val="cs-CZ"/>
        </w:rPr>
        <w:t>nabídkou</w:t>
      </w:r>
      <w:r w:rsidR="00126B1B" w:rsidRPr="00314E1C">
        <w:rPr>
          <w:szCs w:val="22"/>
          <w:lang w:val="cs-CZ"/>
        </w:rPr>
        <w:t xml:space="preserve">, jenž byl </w:t>
      </w:r>
      <w:proofErr w:type="spellStart"/>
      <w:r w:rsidR="00126B1B" w:rsidRPr="00314E1C">
        <w:rPr>
          <w:szCs w:val="22"/>
          <w:lang w:val="cs-CZ"/>
        </w:rPr>
        <w:t>VeaComem</w:t>
      </w:r>
      <w:proofErr w:type="spellEnd"/>
      <w:r w:rsidR="00126B1B" w:rsidRPr="00314E1C">
        <w:rPr>
          <w:szCs w:val="22"/>
          <w:lang w:val="cs-CZ"/>
        </w:rPr>
        <w:t xml:space="preserve"> označen jako vítěz aukce (dále jen „</w:t>
      </w:r>
      <w:r w:rsidR="00126B1B" w:rsidRPr="00314E1C">
        <w:rPr>
          <w:b/>
          <w:szCs w:val="22"/>
          <w:lang w:val="cs-CZ"/>
        </w:rPr>
        <w:t>Kupující</w:t>
      </w:r>
      <w:r w:rsidR="00126B1B" w:rsidRPr="00314E1C">
        <w:rPr>
          <w:szCs w:val="22"/>
          <w:lang w:val="cs-CZ"/>
        </w:rPr>
        <w:t xml:space="preserve">“). Kupní smlouvu s Kupujícím uzavře </w:t>
      </w:r>
      <w:proofErr w:type="spellStart"/>
      <w:r w:rsidR="00126B1B" w:rsidRPr="00314E1C">
        <w:rPr>
          <w:szCs w:val="22"/>
          <w:lang w:val="cs-CZ"/>
        </w:rPr>
        <w:t>VeaCom</w:t>
      </w:r>
      <w:proofErr w:type="spellEnd"/>
      <w:r w:rsidR="00126B1B" w:rsidRPr="00314E1C">
        <w:rPr>
          <w:szCs w:val="22"/>
          <w:lang w:val="cs-CZ"/>
        </w:rPr>
        <w:t xml:space="preserve"> vlastním jménem. O úhradě kupní ceny ze strany Kupujícího bude </w:t>
      </w:r>
      <w:proofErr w:type="spellStart"/>
      <w:r w:rsidR="00126B1B" w:rsidRPr="00314E1C">
        <w:rPr>
          <w:szCs w:val="22"/>
          <w:lang w:val="cs-CZ"/>
        </w:rPr>
        <w:t>VeaCom</w:t>
      </w:r>
      <w:proofErr w:type="spellEnd"/>
      <w:r w:rsidR="00126B1B" w:rsidRPr="00314E1C">
        <w:rPr>
          <w:szCs w:val="22"/>
          <w:lang w:val="cs-CZ"/>
        </w:rPr>
        <w:t xml:space="preserve"> informovat Komitenta do 5 dnů. </w:t>
      </w:r>
      <w:r w:rsidR="00AA0501" w:rsidRPr="00314E1C">
        <w:rPr>
          <w:szCs w:val="22"/>
          <w:lang w:val="cs-CZ"/>
        </w:rPr>
        <w:t xml:space="preserve">V téže </w:t>
      </w:r>
      <w:r w:rsidR="000850BD" w:rsidRPr="00314E1C">
        <w:rPr>
          <w:szCs w:val="22"/>
          <w:lang w:val="cs-CZ"/>
        </w:rPr>
        <w:t xml:space="preserve">lhůtě poskytne Komitentovi kalkulaci pro účely fakturace částky kupní ceny ponížené o </w:t>
      </w:r>
      <w:r w:rsidR="00C71C88">
        <w:rPr>
          <w:szCs w:val="22"/>
          <w:lang w:val="cs-CZ"/>
        </w:rPr>
        <w:t xml:space="preserve">odměnu </w:t>
      </w:r>
      <w:proofErr w:type="spellStart"/>
      <w:r w:rsidR="000850BD" w:rsidRPr="00314E1C">
        <w:rPr>
          <w:szCs w:val="22"/>
          <w:lang w:val="cs-CZ"/>
        </w:rPr>
        <w:t>VeaComu</w:t>
      </w:r>
      <w:proofErr w:type="spellEnd"/>
      <w:r w:rsidR="000850BD" w:rsidRPr="00314E1C">
        <w:rPr>
          <w:szCs w:val="22"/>
          <w:lang w:val="cs-CZ"/>
        </w:rPr>
        <w:t xml:space="preserve">. Na základě této kalkulace je Komitent povinen vystavit </w:t>
      </w:r>
      <w:proofErr w:type="spellStart"/>
      <w:r w:rsidR="000850BD" w:rsidRPr="00314E1C">
        <w:rPr>
          <w:szCs w:val="22"/>
          <w:lang w:val="cs-CZ"/>
        </w:rPr>
        <w:t>VeaComu</w:t>
      </w:r>
      <w:proofErr w:type="spellEnd"/>
      <w:r w:rsidR="000850BD" w:rsidRPr="00314E1C">
        <w:rPr>
          <w:szCs w:val="22"/>
          <w:lang w:val="cs-CZ"/>
        </w:rPr>
        <w:t xml:space="preserve"> řádný daňový doklad (fakturu), a to do 5 dnů od </w:t>
      </w:r>
      <w:r w:rsidR="00E325F8" w:rsidRPr="00314E1C">
        <w:rPr>
          <w:szCs w:val="22"/>
          <w:lang w:val="cs-CZ"/>
        </w:rPr>
        <w:t>obdržení kalkulace.</w:t>
      </w:r>
    </w:p>
    <w:p w14:paraId="68D41BFF" w14:textId="3D23F269" w:rsidR="000850BD" w:rsidRPr="00314E1C" w:rsidRDefault="000B0E35" w:rsidP="00A47440">
      <w:pPr>
        <w:pStyle w:val="Nadpis2"/>
        <w:keepNext/>
        <w:widowControl w:val="0"/>
        <w:jc w:val="both"/>
        <w:rPr>
          <w:szCs w:val="22"/>
          <w:lang w:val="cs-CZ"/>
        </w:rPr>
      </w:pPr>
      <w:r>
        <w:rPr>
          <w:szCs w:val="22"/>
          <w:lang w:val="cs-CZ"/>
        </w:rPr>
        <w:t>Komitent je povinen umožnit Kupujícímu převzetí Movitých věcí</w:t>
      </w:r>
      <w:r w:rsidR="00E325F8" w:rsidRPr="00314E1C">
        <w:rPr>
          <w:szCs w:val="22"/>
          <w:lang w:val="cs-CZ"/>
        </w:rPr>
        <w:t xml:space="preserve"> a poskytnout k Movitým věcem veškeré příslušenství a všechny relevantní doklady (zejména technický průkaz</w:t>
      </w:r>
      <w:r w:rsidR="00D76DC0">
        <w:rPr>
          <w:szCs w:val="22"/>
          <w:lang w:val="cs-CZ"/>
        </w:rPr>
        <w:t xml:space="preserve"> a ev. </w:t>
      </w:r>
      <w:r w:rsidR="00D76DC0">
        <w:rPr>
          <w:szCs w:val="22"/>
          <w:lang w:val="cs-CZ"/>
        </w:rPr>
        <w:lastRenderedPageBreak/>
        <w:t>další dokumenty potřebné pro vyznačení změny vlastníka v příslušené evidenci</w:t>
      </w:r>
      <w:r w:rsidR="00E325F8" w:rsidRPr="00314E1C">
        <w:rPr>
          <w:szCs w:val="22"/>
          <w:lang w:val="cs-CZ"/>
        </w:rPr>
        <w:t>)</w:t>
      </w:r>
      <w:r w:rsidRPr="000B0E35">
        <w:rPr>
          <w:szCs w:val="22"/>
          <w:lang w:val="cs-CZ"/>
        </w:rPr>
        <w:t xml:space="preserve"> </w:t>
      </w:r>
      <w:r>
        <w:rPr>
          <w:szCs w:val="22"/>
          <w:lang w:val="cs-CZ"/>
        </w:rPr>
        <w:t>bez zbytečného odkladu poté, co obdrží plnou úhradu částky za Movité věci v souladu s čl. 5.3. této smlouvy. Termín předání bude určen dle požadavku a možností Kupujícího.</w:t>
      </w:r>
      <w:r w:rsidR="00E325F8" w:rsidRPr="00314E1C">
        <w:rPr>
          <w:szCs w:val="22"/>
          <w:lang w:val="cs-CZ"/>
        </w:rPr>
        <w:t xml:space="preserve"> O předání a převzetí Movitých věcí Kupujícím bude sepsán písemný protokol podepsaný Komitentem, </w:t>
      </w:r>
      <w:proofErr w:type="spellStart"/>
      <w:r w:rsidR="00E325F8" w:rsidRPr="00314E1C">
        <w:rPr>
          <w:szCs w:val="22"/>
          <w:lang w:val="cs-CZ"/>
        </w:rPr>
        <w:t>VeaComem</w:t>
      </w:r>
      <w:proofErr w:type="spellEnd"/>
      <w:r w:rsidR="00E325F8" w:rsidRPr="00314E1C">
        <w:rPr>
          <w:szCs w:val="22"/>
          <w:lang w:val="cs-CZ"/>
        </w:rPr>
        <w:t xml:space="preserve"> a Kupujícím. </w:t>
      </w:r>
      <w:r w:rsidR="002034E9" w:rsidRPr="00314E1C">
        <w:rPr>
          <w:szCs w:val="22"/>
          <w:lang w:val="cs-CZ"/>
        </w:rPr>
        <w:t>Nebezpečí škody na Movitých věcech přechází z Komitenta přímo na Kupujícího protokolárním předání</w:t>
      </w:r>
      <w:r w:rsidR="00216263" w:rsidRPr="00314E1C">
        <w:rPr>
          <w:szCs w:val="22"/>
          <w:lang w:val="cs-CZ"/>
        </w:rPr>
        <w:t>m</w:t>
      </w:r>
      <w:r w:rsidR="002034E9" w:rsidRPr="00314E1C">
        <w:rPr>
          <w:szCs w:val="22"/>
          <w:lang w:val="cs-CZ"/>
        </w:rPr>
        <w:t xml:space="preserve"> Movitých věcí Kupujícímu. </w:t>
      </w:r>
    </w:p>
    <w:p w14:paraId="2C42FD13" w14:textId="77777777" w:rsidR="002034E9" w:rsidRPr="00314E1C" w:rsidRDefault="00A70107" w:rsidP="00A47440">
      <w:pPr>
        <w:pStyle w:val="Nadpis2"/>
        <w:keepNext/>
        <w:widowControl w:val="0"/>
        <w:jc w:val="both"/>
        <w:rPr>
          <w:szCs w:val="22"/>
          <w:lang w:val="cs-CZ"/>
        </w:rPr>
      </w:pPr>
      <w:r w:rsidRPr="00314E1C">
        <w:rPr>
          <w:szCs w:val="22"/>
          <w:lang w:val="cs-CZ"/>
        </w:rPr>
        <w:t>Komitent</w:t>
      </w:r>
      <w:r w:rsidR="002034E9" w:rsidRPr="00314E1C">
        <w:rPr>
          <w:szCs w:val="22"/>
          <w:lang w:val="cs-CZ"/>
        </w:rPr>
        <w:t xml:space="preserve"> tímto prohlašuje a zaručuje </w:t>
      </w:r>
      <w:proofErr w:type="spellStart"/>
      <w:r w:rsidR="002034E9" w:rsidRPr="00314E1C">
        <w:rPr>
          <w:szCs w:val="22"/>
          <w:lang w:val="cs-CZ"/>
        </w:rPr>
        <w:t>VeaComu</w:t>
      </w:r>
      <w:proofErr w:type="spellEnd"/>
      <w:r w:rsidR="002034E9" w:rsidRPr="00314E1C">
        <w:rPr>
          <w:szCs w:val="22"/>
          <w:lang w:val="cs-CZ"/>
        </w:rPr>
        <w:t xml:space="preserve">, </w:t>
      </w:r>
      <w:r w:rsidRPr="00314E1C">
        <w:rPr>
          <w:szCs w:val="22"/>
          <w:lang w:val="cs-CZ"/>
        </w:rPr>
        <w:t>že ke dni uzavření Dílčí smlouvy, jakož i ke dni protokolárního předání Movitých věcí</w:t>
      </w:r>
      <w:r w:rsidR="002034E9" w:rsidRPr="00314E1C">
        <w:rPr>
          <w:szCs w:val="22"/>
          <w:lang w:val="cs-CZ"/>
        </w:rPr>
        <w:t>:</w:t>
      </w:r>
    </w:p>
    <w:p w14:paraId="20F389E9" w14:textId="77777777" w:rsidR="002034E9" w:rsidRPr="00314E1C" w:rsidRDefault="00A70107" w:rsidP="00A47440">
      <w:pPr>
        <w:pStyle w:val="Nadpis3"/>
        <w:keepNext/>
        <w:widowControl w:val="0"/>
        <w:jc w:val="both"/>
        <w:rPr>
          <w:lang w:val="cs-CZ"/>
        </w:rPr>
      </w:pPr>
      <w:r w:rsidRPr="00314E1C">
        <w:rPr>
          <w:lang w:val="cs-CZ"/>
        </w:rPr>
        <w:t xml:space="preserve">Movité věci </w:t>
      </w:r>
      <w:r w:rsidR="002034E9" w:rsidRPr="00314E1C">
        <w:rPr>
          <w:lang w:val="cs-CZ"/>
        </w:rPr>
        <w:t xml:space="preserve">jsou </w:t>
      </w:r>
      <w:r w:rsidR="00627850" w:rsidRPr="00314E1C">
        <w:rPr>
          <w:lang w:val="cs-CZ"/>
        </w:rPr>
        <w:t xml:space="preserve">a budou </w:t>
      </w:r>
      <w:r w:rsidR="002034E9" w:rsidRPr="00314E1C">
        <w:rPr>
          <w:lang w:val="cs-CZ"/>
        </w:rPr>
        <w:t>v</w:t>
      </w:r>
      <w:r w:rsidRPr="00314E1C">
        <w:rPr>
          <w:lang w:val="cs-CZ"/>
        </w:rPr>
        <w:t xml:space="preserve"> jeho</w:t>
      </w:r>
      <w:r w:rsidR="002034E9" w:rsidRPr="00314E1C">
        <w:rPr>
          <w:lang w:val="cs-CZ"/>
        </w:rPr>
        <w:t xml:space="preserve"> výlučném vlastnictví či ve vlastnictví </w:t>
      </w:r>
      <w:r w:rsidRPr="00314E1C">
        <w:rPr>
          <w:lang w:val="cs-CZ"/>
        </w:rPr>
        <w:t xml:space="preserve">jiné obchodní korporace, která je členem koncernu Komitenta, a Komitent je </w:t>
      </w:r>
      <w:r w:rsidR="00627850" w:rsidRPr="00314E1C">
        <w:rPr>
          <w:lang w:val="cs-CZ"/>
        </w:rPr>
        <w:t xml:space="preserve">a bude </w:t>
      </w:r>
      <w:r w:rsidRPr="00314E1C">
        <w:rPr>
          <w:lang w:val="cs-CZ"/>
        </w:rPr>
        <w:t>oprávněn uzavřít Dílčí smlouvu a na jejím základě prodat Movité věci;</w:t>
      </w:r>
    </w:p>
    <w:p w14:paraId="39FE787A" w14:textId="4E2C1979" w:rsidR="002034E9" w:rsidRPr="00314E1C" w:rsidRDefault="00A70107" w:rsidP="00A47440">
      <w:pPr>
        <w:pStyle w:val="Nadpis3"/>
        <w:keepNext/>
        <w:widowControl w:val="0"/>
        <w:jc w:val="both"/>
        <w:rPr>
          <w:lang w:val="cs-CZ"/>
        </w:rPr>
      </w:pPr>
      <w:r w:rsidRPr="00314E1C">
        <w:rPr>
          <w:lang w:val="cs-CZ"/>
        </w:rPr>
        <w:t xml:space="preserve">Komitent uvedl v rámci popisu Movitých věcí </w:t>
      </w:r>
      <w:r w:rsidR="002034E9" w:rsidRPr="00314E1C">
        <w:rPr>
          <w:lang w:val="cs-CZ"/>
        </w:rPr>
        <w:t>pravdivé a úplné informace o</w:t>
      </w:r>
      <w:r w:rsidRPr="00314E1C">
        <w:rPr>
          <w:lang w:val="cs-CZ"/>
        </w:rPr>
        <w:t>hledně</w:t>
      </w:r>
      <w:r w:rsidR="002034E9" w:rsidRPr="00314E1C">
        <w:rPr>
          <w:lang w:val="cs-CZ"/>
        </w:rPr>
        <w:t xml:space="preserve"> </w:t>
      </w:r>
      <w:r w:rsidRPr="00314E1C">
        <w:rPr>
          <w:lang w:val="cs-CZ"/>
        </w:rPr>
        <w:t xml:space="preserve">jejich </w:t>
      </w:r>
      <w:r w:rsidR="002034E9" w:rsidRPr="00314E1C">
        <w:rPr>
          <w:lang w:val="cs-CZ"/>
        </w:rPr>
        <w:t>faktické</w:t>
      </w:r>
      <w:r w:rsidRPr="00314E1C">
        <w:rPr>
          <w:lang w:val="cs-CZ"/>
        </w:rPr>
        <w:t>ho</w:t>
      </w:r>
      <w:r w:rsidR="002034E9" w:rsidRPr="00314E1C">
        <w:rPr>
          <w:lang w:val="cs-CZ"/>
        </w:rPr>
        <w:t xml:space="preserve"> </w:t>
      </w:r>
      <w:r w:rsidRPr="00314E1C">
        <w:rPr>
          <w:lang w:val="cs-CZ"/>
        </w:rPr>
        <w:t>s</w:t>
      </w:r>
      <w:r w:rsidR="002034E9" w:rsidRPr="00314E1C">
        <w:rPr>
          <w:lang w:val="cs-CZ"/>
        </w:rPr>
        <w:t>tavu</w:t>
      </w:r>
      <w:r w:rsidRPr="00314E1C">
        <w:rPr>
          <w:lang w:val="cs-CZ"/>
        </w:rPr>
        <w:t xml:space="preserve"> a nezatajil žádné známé vady Movitých věcí</w:t>
      </w:r>
      <w:r w:rsidR="0088224A">
        <w:rPr>
          <w:lang w:val="cs-CZ"/>
        </w:rPr>
        <w:t xml:space="preserve"> či podstatné skutečnosti (např. dřívější havárii Movité věci apod.)</w:t>
      </w:r>
      <w:r w:rsidRPr="00314E1C">
        <w:rPr>
          <w:lang w:val="cs-CZ"/>
        </w:rPr>
        <w:t>;</w:t>
      </w:r>
      <w:r w:rsidR="002034E9" w:rsidRPr="00314E1C">
        <w:rPr>
          <w:lang w:val="cs-CZ"/>
        </w:rPr>
        <w:t xml:space="preserve"> </w:t>
      </w:r>
    </w:p>
    <w:p w14:paraId="7260A913" w14:textId="77777777" w:rsidR="002034E9" w:rsidRPr="00314E1C" w:rsidRDefault="00A70107" w:rsidP="00A47440">
      <w:pPr>
        <w:pStyle w:val="Nadpis3"/>
        <w:keepNext/>
        <w:widowControl w:val="0"/>
        <w:jc w:val="both"/>
        <w:rPr>
          <w:lang w:val="cs-CZ"/>
        </w:rPr>
      </w:pPr>
      <w:r w:rsidRPr="00314E1C">
        <w:rPr>
          <w:lang w:val="cs-CZ"/>
        </w:rPr>
        <w:t xml:space="preserve">Movité věci nejsou zatíženy žádnými </w:t>
      </w:r>
      <w:r w:rsidR="002034E9" w:rsidRPr="00314E1C">
        <w:rPr>
          <w:lang w:val="cs-CZ"/>
        </w:rPr>
        <w:t>právní</w:t>
      </w:r>
      <w:r w:rsidRPr="00314E1C">
        <w:rPr>
          <w:lang w:val="cs-CZ"/>
        </w:rPr>
        <w:t>mi</w:t>
      </w:r>
      <w:r w:rsidR="002034E9" w:rsidRPr="00314E1C">
        <w:rPr>
          <w:lang w:val="cs-CZ"/>
        </w:rPr>
        <w:t xml:space="preserve"> vad</w:t>
      </w:r>
      <w:r w:rsidRPr="00314E1C">
        <w:rPr>
          <w:lang w:val="cs-CZ"/>
        </w:rPr>
        <w:t>ami</w:t>
      </w:r>
      <w:r w:rsidR="002034E9" w:rsidRPr="00314E1C">
        <w:rPr>
          <w:lang w:val="cs-CZ"/>
        </w:rPr>
        <w:t xml:space="preserve"> (zejména zástavní</w:t>
      </w:r>
      <w:r w:rsidRPr="00314E1C">
        <w:rPr>
          <w:lang w:val="cs-CZ"/>
        </w:rPr>
        <w:t>m</w:t>
      </w:r>
      <w:r w:rsidR="00216263" w:rsidRPr="00314E1C">
        <w:rPr>
          <w:lang w:val="cs-CZ"/>
        </w:rPr>
        <w:t>i</w:t>
      </w:r>
      <w:r w:rsidR="002034E9" w:rsidRPr="00314E1C">
        <w:rPr>
          <w:lang w:val="cs-CZ"/>
        </w:rPr>
        <w:t>, nájemní</w:t>
      </w:r>
      <w:r w:rsidRPr="00314E1C">
        <w:rPr>
          <w:lang w:val="cs-CZ"/>
        </w:rPr>
        <w:t>mi</w:t>
      </w:r>
      <w:r w:rsidR="002034E9" w:rsidRPr="00314E1C">
        <w:rPr>
          <w:lang w:val="cs-CZ"/>
        </w:rPr>
        <w:t xml:space="preserve"> </w:t>
      </w:r>
      <w:r w:rsidRPr="00314E1C">
        <w:rPr>
          <w:lang w:val="cs-CZ"/>
        </w:rPr>
        <w:t>či jinými</w:t>
      </w:r>
      <w:r w:rsidR="002034E9" w:rsidRPr="00314E1C">
        <w:rPr>
          <w:lang w:val="cs-CZ"/>
        </w:rPr>
        <w:t xml:space="preserve"> práv</w:t>
      </w:r>
      <w:r w:rsidRPr="00314E1C">
        <w:rPr>
          <w:lang w:val="cs-CZ"/>
        </w:rPr>
        <w:t>y</w:t>
      </w:r>
      <w:r w:rsidR="002034E9" w:rsidRPr="00314E1C">
        <w:rPr>
          <w:lang w:val="cs-CZ"/>
        </w:rPr>
        <w:t xml:space="preserve"> třetích osob).</w:t>
      </w:r>
    </w:p>
    <w:p w14:paraId="0143260F" w14:textId="77777777" w:rsidR="002034E9" w:rsidRDefault="002034E9" w:rsidP="00A47440">
      <w:pPr>
        <w:pStyle w:val="Nadpis2"/>
        <w:keepNext/>
        <w:widowControl w:val="0"/>
        <w:jc w:val="both"/>
        <w:rPr>
          <w:szCs w:val="22"/>
          <w:lang w:val="cs-CZ"/>
        </w:rPr>
      </w:pPr>
      <w:r w:rsidRPr="00314E1C">
        <w:rPr>
          <w:szCs w:val="22"/>
          <w:lang w:val="cs-CZ"/>
        </w:rPr>
        <w:t>V</w:t>
      </w:r>
      <w:r w:rsidR="00A70107" w:rsidRPr="00314E1C">
        <w:rPr>
          <w:szCs w:val="22"/>
          <w:lang w:val="cs-CZ"/>
        </w:rPr>
        <w:t> </w:t>
      </w:r>
      <w:r w:rsidRPr="00314E1C">
        <w:rPr>
          <w:szCs w:val="22"/>
          <w:lang w:val="cs-CZ"/>
        </w:rPr>
        <w:t>případě, že se prohlášení a zá</w:t>
      </w:r>
      <w:r w:rsidR="00A70107" w:rsidRPr="00314E1C">
        <w:rPr>
          <w:szCs w:val="22"/>
          <w:lang w:val="cs-CZ"/>
        </w:rPr>
        <w:t xml:space="preserve">ruky uvedené shora v čl. </w:t>
      </w:r>
      <w:r w:rsidR="00627850" w:rsidRPr="00314E1C">
        <w:rPr>
          <w:szCs w:val="22"/>
          <w:lang w:val="cs-CZ"/>
        </w:rPr>
        <w:t>4.3.</w:t>
      </w:r>
      <w:r w:rsidR="00A70107" w:rsidRPr="00314E1C">
        <w:rPr>
          <w:szCs w:val="22"/>
          <w:lang w:val="cs-CZ"/>
        </w:rPr>
        <w:t xml:space="preserve"> ukáží jako </w:t>
      </w:r>
      <w:r w:rsidRPr="00314E1C">
        <w:rPr>
          <w:szCs w:val="22"/>
          <w:lang w:val="cs-CZ"/>
        </w:rPr>
        <w:t>nepravdivá, neúplná či nesprávná</w:t>
      </w:r>
      <w:r w:rsidR="00A70107" w:rsidRPr="00314E1C">
        <w:rPr>
          <w:szCs w:val="22"/>
          <w:lang w:val="cs-CZ"/>
        </w:rPr>
        <w:t>,</w:t>
      </w:r>
      <w:r w:rsidRPr="00314E1C">
        <w:rPr>
          <w:szCs w:val="22"/>
          <w:lang w:val="cs-CZ"/>
        </w:rPr>
        <w:t xml:space="preserve"> </w:t>
      </w:r>
      <w:r w:rsidR="00D77A88" w:rsidRPr="00314E1C">
        <w:rPr>
          <w:szCs w:val="22"/>
          <w:lang w:val="cs-CZ"/>
        </w:rPr>
        <w:t xml:space="preserve">je </w:t>
      </w:r>
      <w:proofErr w:type="spellStart"/>
      <w:r w:rsidR="00D77A88" w:rsidRPr="00314E1C">
        <w:rPr>
          <w:szCs w:val="22"/>
          <w:lang w:val="cs-CZ"/>
        </w:rPr>
        <w:t>VeaCom</w:t>
      </w:r>
      <w:proofErr w:type="spellEnd"/>
      <w:r w:rsidR="00D77A88" w:rsidRPr="00314E1C">
        <w:rPr>
          <w:szCs w:val="22"/>
          <w:lang w:val="cs-CZ"/>
        </w:rPr>
        <w:t xml:space="preserve"> oprávněn odstoupit od Dílčí smlouvy a </w:t>
      </w:r>
      <w:r w:rsidR="00A70107" w:rsidRPr="00314E1C">
        <w:rPr>
          <w:szCs w:val="22"/>
          <w:lang w:val="cs-CZ"/>
        </w:rPr>
        <w:t xml:space="preserve">Komitent se </w:t>
      </w:r>
      <w:r w:rsidR="00D77A88" w:rsidRPr="00314E1C">
        <w:rPr>
          <w:szCs w:val="22"/>
          <w:lang w:val="cs-CZ"/>
        </w:rPr>
        <w:t xml:space="preserve">mu dále </w:t>
      </w:r>
      <w:r w:rsidR="00A70107" w:rsidRPr="00314E1C">
        <w:rPr>
          <w:szCs w:val="22"/>
          <w:lang w:val="cs-CZ"/>
        </w:rPr>
        <w:t xml:space="preserve">zavazuje nahradit </w:t>
      </w:r>
      <w:r w:rsidR="00D77A88" w:rsidRPr="00314E1C">
        <w:rPr>
          <w:szCs w:val="22"/>
          <w:lang w:val="cs-CZ"/>
        </w:rPr>
        <w:t>v</w:t>
      </w:r>
      <w:r w:rsidR="00A70107" w:rsidRPr="00314E1C">
        <w:rPr>
          <w:szCs w:val="22"/>
          <w:lang w:val="cs-CZ"/>
        </w:rPr>
        <w:t>eškerou škodu tím způsobenou.</w:t>
      </w:r>
      <w:r w:rsidRPr="00314E1C">
        <w:rPr>
          <w:szCs w:val="22"/>
          <w:lang w:val="cs-CZ"/>
        </w:rPr>
        <w:t xml:space="preserve"> </w:t>
      </w:r>
    </w:p>
    <w:p w14:paraId="0817AD26" w14:textId="5BB9D5BE" w:rsidR="00E54807" w:rsidRPr="00314E1C" w:rsidRDefault="000B75D9" w:rsidP="00EF2224">
      <w:pPr>
        <w:pStyle w:val="Nadpis2"/>
        <w:keepNext/>
        <w:jc w:val="both"/>
        <w:rPr>
          <w:lang w:val="cs-CZ"/>
        </w:rPr>
      </w:pPr>
      <w:r>
        <w:rPr>
          <w:lang w:val="cs-CZ"/>
        </w:rPr>
        <w:t xml:space="preserve">Smluvní strany si poskytnou </w:t>
      </w:r>
      <w:r w:rsidR="00E54807" w:rsidRPr="00314E1C">
        <w:rPr>
          <w:lang w:val="cs-CZ"/>
        </w:rPr>
        <w:t xml:space="preserve">potřebnou součinnost k tomu, aby Movité věci mohly být přehlášeny v příslušné </w:t>
      </w:r>
      <w:r w:rsidR="00EC192F" w:rsidRPr="00314E1C">
        <w:rPr>
          <w:lang w:val="cs-CZ"/>
        </w:rPr>
        <w:t xml:space="preserve">evidenci/registru </w:t>
      </w:r>
      <w:r w:rsidR="00E54807" w:rsidRPr="00314E1C">
        <w:rPr>
          <w:lang w:val="cs-CZ"/>
        </w:rPr>
        <w:t>na nového vlastníka co možná nejdříve</w:t>
      </w:r>
      <w:r w:rsidR="00EC192F" w:rsidRPr="00314E1C">
        <w:rPr>
          <w:lang w:val="cs-CZ"/>
        </w:rPr>
        <w:t xml:space="preserve">, v každém případě v rámci zákonných lhůt k tomu stanovených. </w:t>
      </w:r>
    </w:p>
    <w:p w14:paraId="0F5A37EA" w14:textId="77777777" w:rsidR="00216263" w:rsidRPr="00314E1C" w:rsidRDefault="00216263" w:rsidP="00EF2224">
      <w:pPr>
        <w:pStyle w:val="Nadpis1"/>
        <w:jc w:val="both"/>
        <w:rPr>
          <w:lang w:val="cs-CZ"/>
        </w:rPr>
      </w:pPr>
      <w:r w:rsidRPr="00314E1C">
        <w:rPr>
          <w:lang w:val="cs-CZ"/>
        </w:rPr>
        <w:t xml:space="preserve">Odměna </w:t>
      </w:r>
      <w:proofErr w:type="spellStart"/>
      <w:r w:rsidRPr="00314E1C">
        <w:rPr>
          <w:lang w:val="cs-CZ"/>
        </w:rPr>
        <w:t>VeaComu</w:t>
      </w:r>
      <w:proofErr w:type="spellEnd"/>
      <w:r w:rsidRPr="00314E1C">
        <w:rPr>
          <w:lang w:val="cs-CZ"/>
        </w:rPr>
        <w:t>, vypořádání kupní ceny</w:t>
      </w:r>
    </w:p>
    <w:p w14:paraId="131FD853" w14:textId="6C48CC3B" w:rsidR="00F44C36" w:rsidRPr="00314E1C" w:rsidRDefault="00216263" w:rsidP="00EF2224">
      <w:pPr>
        <w:pStyle w:val="Nadpis2"/>
        <w:keepNext/>
        <w:jc w:val="both"/>
        <w:rPr>
          <w:szCs w:val="22"/>
          <w:lang w:val="cs-CZ"/>
        </w:rPr>
      </w:pPr>
      <w:r w:rsidRPr="00314E1C">
        <w:rPr>
          <w:lang w:val="cs-CZ"/>
        </w:rPr>
        <w:t xml:space="preserve">Za předpokladu, že Kupující uhradí </w:t>
      </w:r>
      <w:r w:rsidR="000C5AC1" w:rsidRPr="00314E1C">
        <w:rPr>
          <w:lang w:val="cs-CZ"/>
        </w:rPr>
        <w:t xml:space="preserve">za Movité věci </w:t>
      </w:r>
      <w:r w:rsidRPr="00314E1C">
        <w:rPr>
          <w:lang w:val="cs-CZ"/>
        </w:rPr>
        <w:t xml:space="preserve">kupní cenu dosaženou v rámci internetové aukce, náleží </w:t>
      </w:r>
      <w:proofErr w:type="spellStart"/>
      <w:r w:rsidRPr="00314E1C">
        <w:rPr>
          <w:lang w:val="cs-CZ"/>
        </w:rPr>
        <w:t>VeaComu</w:t>
      </w:r>
      <w:proofErr w:type="spellEnd"/>
      <w:r w:rsidRPr="00314E1C">
        <w:rPr>
          <w:lang w:val="cs-CZ"/>
        </w:rPr>
        <w:t xml:space="preserve"> odměna</w:t>
      </w:r>
      <w:r w:rsidR="000C5AC1" w:rsidRPr="00314E1C">
        <w:rPr>
          <w:lang w:val="cs-CZ"/>
        </w:rPr>
        <w:t xml:space="preserve"> ve výši </w:t>
      </w:r>
      <w:r w:rsidR="00B974C2">
        <w:rPr>
          <w:b/>
          <w:lang w:val="cs-CZ"/>
        </w:rPr>
        <w:t>33</w:t>
      </w:r>
      <w:r w:rsidR="000C5AC1" w:rsidRPr="00314E1C">
        <w:rPr>
          <w:b/>
          <w:lang w:val="cs-CZ"/>
        </w:rPr>
        <w:t xml:space="preserve"> % z rozdílu</w:t>
      </w:r>
      <w:r w:rsidR="000C5AC1" w:rsidRPr="00314E1C">
        <w:rPr>
          <w:lang w:val="cs-CZ"/>
        </w:rPr>
        <w:t xml:space="preserve"> mezi (i) skutečně dosaženou kupní cenou </w:t>
      </w:r>
      <w:r w:rsidR="00F44C36" w:rsidRPr="00314E1C">
        <w:rPr>
          <w:lang w:val="cs-CZ"/>
        </w:rPr>
        <w:t xml:space="preserve">bez DPH </w:t>
      </w:r>
      <w:r w:rsidR="000C5AC1" w:rsidRPr="00314E1C">
        <w:rPr>
          <w:lang w:val="cs-CZ"/>
        </w:rPr>
        <w:t>a (</w:t>
      </w:r>
      <w:proofErr w:type="spellStart"/>
      <w:r w:rsidR="000C5AC1" w:rsidRPr="00314E1C">
        <w:rPr>
          <w:lang w:val="cs-CZ"/>
        </w:rPr>
        <w:t>ii</w:t>
      </w:r>
      <w:proofErr w:type="spellEnd"/>
      <w:r w:rsidR="000C5AC1" w:rsidRPr="00314E1C">
        <w:rPr>
          <w:lang w:val="cs-CZ"/>
        </w:rPr>
        <w:t xml:space="preserve">) </w:t>
      </w:r>
      <w:r w:rsidR="001A0206">
        <w:rPr>
          <w:lang w:val="cs-CZ"/>
        </w:rPr>
        <w:t>Posudkovou cenou, Vyvolávací cenou nebo Upravenou vyvolávací cenou</w:t>
      </w:r>
      <w:r w:rsidR="000C5AC1" w:rsidRPr="00314E1C">
        <w:rPr>
          <w:lang w:val="cs-CZ"/>
        </w:rPr>
        <w:t>, a to podle toho, která z těchto minimálních vyvolávacích cen se v rámci Dílčí smlouvy uplatnila</w:t>
      </w:r>
      <w:r w:rsidR="00F44C36" w:rsidRPr="00314E1C">
        <w:rPr>
          <w:lang w:val="cs-CZ"/>
        </w:rPr>
        <w:t xml:space="preserve"> postupem dle čl. 2.2 až 2.5. této rámcové smlouvy</w:t>
      </w:r>
      <w:r w:rsidR="000C5AC1" w:rsidRPr="00314E1C">
        <w:rPr>
          <w:lang w:val="cs-CZ"/>
        </w:rPr>
        <w:t>.</w:t>
      </w:r>
      <w:r w:rsidR="001A0206">
        <w:rPr>
          <w:lang w:val="cs-CZ"/>
        </w:rPr>
        <w:t xml:space="preserve"> </w:t>
      </w:r>
    </w:p>
    <w:p w14:paraId="47BAAED9" w14:textId="7538088E" w:rsidR="000C5AC1" w:rsidRPr="00314E1C" w:rsidRDefault="00F44C36" w:rsidP="00EF2224">
      <w:pPr>
        <w:pStyle w:val="Nadpis2"/>
        <w:keepNext/>
        <w:jc w:val="both"/>
        <w:rPr>
          <w:lang w:val="cs-CZ"/>
        </w:rPr>
      </w:pPr>
      <w:r w:rsidRPr="00314E1C">
        <w:rPr>
          <w:lang w:val="cs-CZ"/>
        </w:rPr>
        <w:t xml:space="preserve">Dojde-li k uplatnění </w:t>
      </w:r>
      <w:r w:rsidR="000D4F2C">
        <w:rPr>
          <w:lang w:val="cs-CZ"/>
        </w:rPr>
        <w:t>Vyvolávací ceny</w:t>
      </w:r>
      <w:r w:rsidRPr="00314E1C">
        <w:rPr>
          <w:lang w:val="cs-CZ"/>
        </w:rPr>
        <w:t xml:space="preserve"> postupem dle čl. 2.</w:t>
      </w:r>
      <w:r w:rsidR="000D4F2C">
        <w:rPr>
          <w:lang w:val="cs-CZ"/>
        </w:rPr>
        <w:t>7</w:t>
      </w:r>
      <w:r w:rsidRPr="00314E1C">
        <w:rPr>
          <w:lang w:val="cs-CZ"/>
        </w:rPr>
        <w:t xml:space="preserve">. této rámcové smlouvy, náleží </w:t>
      </w:r>
      <w:proofErr w:type="spellStart"/>
      <w:r w:rsidRPr="00314E1C">
        <w:rPr>
          <w:lang w:val="cs-CZ"/>
        </w:rPr>
        <w:t>VeaComu</w:t>
      </w:r>
      <w:proofErr w:type="spellEnd"/>
      <w:r w:rsidRPr="00314E1C">
        <w:rPr>
          <w:lang w:val="cs-CZ"/>
        </w:rPr>
        <w:t xml:space="preserve"> odměna ve výši </w:t>
      </w:r>
      <w:r w:rsidR="00B974C2">
        <w:rPr>
          <w:b/>
          <w:lang w:val="cs-CZ"/>
        </w:rPr>
        <w:t>33</w:t>
      </w:r>
      <w:r w:rsidRPr="00314E1C">
        <w:rPr>
          <w:b/>
          <w:lang w:val="cs-CZ"/>
        </w:rPr>
        <w:t xml:space="preserve"> % z rozdílu</w:t>
      </w:r>
      <w:r w:rsidR="0060120F">
        <w:rPr>
          <w:lang w:val="cs-CZ"/>
        </w:rPr>
        <w:t xml:space="preserve"> mezi</w:t>
      </w:r>
      <w:r w:rsidRPr="00314E1C">
        <w:rPr>
          <w:lang w:val="cs-CZ"/>
        </w:rPr>
        <w:t xml:space="preserve"> skutečně dosaženou kupní cenou bez DPH </w:t>
      </w:r>
    </w:p>
    <w:p w14:paraId="5FD28FFD" w14:textId="271774AC" w:rsidR="00960975" w:rsidRPr="00314E1C" w:rsidRDefault="00960975" w:rsidP="00EF2224">
      <w:pPr>
        <w:pStyle w:val="Nadpis2"/>
        <w:keepNext/>
        <w:jc w:val="both"/>
        <w:rPr>
          <w:szCs w:val="22"/>
          <w:lang w:val="cs-CZ"/>
        </w:rPr>
      </w:pPr>
      <w:r w:rsidRPr="00314E1C">
        <w:rPr>
          <w:szCs w:val="22"/>
          <w:lang w:val="cs-CZ"/>
        </w:rPr>
        <w:t xml:space="preserve">Komitentovi náleží za prodej Movitých věcí částka odpovídající rozdílu mezi </w:t>
      </w:r>
      <w:r w:rsidRPr="00314E1C">
        <w:rPr>
          <w:lang w:val="cs-CZ"/>
        </w:rPr>
        <w:t xml:space="preserve">skutečně dosaženou kupní cenou (bez DPH) uhrazenou Kupujícím a odměnou </w:t>
      </w:r>
      <w:proofErr w:type="spellStart"/>
      <w:r w:rsidRPr="00314E1C">
        <w:rPr>
          <w:lang w:val="cs-CZ"/>
        </w:rPr>
        <w:t>VeaComu</w:t>
      </w:r>
      <w:proofErr w:type="spellEnd"/>
      <w:r w:rsidRPr="00314E1C">
        <w:rPr>
          <w:lang w:val="cs-CZ"/>
        </w:rPr>
        <w:t xml:space="preserve">. Tato </w:t>
      </w:r>
      <w:r w:rsidRPr="00314E1C">
        <w:rPr>
          <w:lang w:val="cs-CZ"/>
        </w:rPr>
        <w:lastRenderedPageBreak/>
        <w:t xml:space="preserve">částka náležející Komitentovi bude jako kupní cena za Movité věci fakturována </w:t>
      </w:r>
      <w:proofErr w:type="spellStart"/>
      <w:r w:rsidRPr="00314E1C">
        <w:rPr>
          <w:lang w:val="cs-CZ"/>
        </w:rPr>
        <w:t>VeaComu</w:t>
      </w:r>
      <w:proofErr w:type="spellEnd"/>
      <w:r w:rsidRPr="00314E1C">
        <w:rPr>
          <w:lang w:val="cs-CZ"/>
        </w:rPr>
        <w:t>, s připočtením zákonné DPH</w:t>
      </w:r>
      <w:r w:rsidR="003646CC" w:rsidRPr="00314E1C">
        <w:rPr>
          <w:lang w:val="cs-CZ"/>
        </w:rPr>
        <w:t xml:space="preserve"> (je-li Komitent plátce DPH)</w:t>
      </w:r>
      <w:r w:rsidRPr="00314E1C">
        <w:rPr>
          <w:lang w:val="cs-CZ"/>
        </w:rPr>
        <w:t xml:space="preserve">. </w:t>
      </w:r>
    </w:p>
    <w:p w14:paraId="2BEAB447" w14:textId="77777777" w:rsidR="002153D9" w:rsidRPr="00314E1C" w:rsidRDefault="002153D9" w:rsidP="00EF2224">
      <w:pPr>
        <w:pStyle w:val="Nadpis2"/>
        <w:keepNext/>
        <w:jc w:val="both"/>
        <w:rPr>
          <w:lang w:val="cs-CZ"/>
        </w:rPr>
      </w:pPr>
      <w:r w:rsidRPr="00314E1C">
        <w:rPr>
          <w:lang w:val="cs-CZ"/>
        </w:rPr>
        <w:t xml:space="preserve">Nárok </w:t>
      </w:r>
      <w:proofErr w:type="spellStart"/>
      <w:r w:rsidRPr="00314E1C">
        <w:rPr>
          <w:lang w:val="cs-CZ"/>
        </w:rPr>
        <w:t>VeaComu</w:t>
      </w:r>
      <w:proofErr w:type="spellEnd"/>
      <w:r w:rsidRPr="00314E1C">
        <w:rPr>
          <w:lang w:val="cs-CZ"/>
        </w:rPr>
        <w:t xml:space="preserve"> na odměnu, jakož i nárok Komitenta na kupní cenu za Movité věci dle čl. 5.3. této rámcové smlouvy, vzniká okamžikem úhrady plné kupní ceny Kupujícím ve prospěch </w:t>
      </w:r>
      <w:proofErr w:type="spellStart"/>
      <w:r w:rsidRPr="00314E1C">
        <w:rPr>
          <w:lang w:val="cs-CZ"/>
        </w:rPr>
        <w:t>VeaComu</w:t>
      </w:r>
      <w:proofErr w:type="spellEnd"/>
      <w:r w:rsidRPr="00314E1C">
        <w:rPr>
          <w:lang w:val="cs-CZ"/>
        </w:rPr>
        <w:t xml:space="preserve">. </w:t>
      </w:r>
    </w:p>
    <w:p w14:paraId="7C36233B" w14:textId="77777777" w:rsidR="005B7D27" w:rsidRPr="00314E1C" w:rsidRDefault="005B7D27" w:rsidP="00EF2224">
      <w:pPr>
        <w:pStyle w:val="Nadpis2"/>
        <w:keepNext/>
        <w:jc w:val="both"/>
        <w:rPr>
          <w:lang w:val="cs-CZ"/>
        </w:rPr>
      </w:pPr>
      <w:r w:rsidRPr="00314E1C">
        <w:rPr>
          <w:lang w:val="cs-CZ"/>
        </w:rPr>
        <w:t xml:space="preserve">Vzájemné pohledávky Smluvních stran mohou být jednostranně započteny bez omezení. </w:t>
      </w:r>
    </w:p>
    <w:p w14:paraId="43F276A9" w14:textId="77777777" w:rsidR="005B7D27" w:rsidRPr="00314E1C" w:rsidRDefault="005B7D27" w:rsidP="00EF2224">
      <w:pPr>
        <w:pStyle w:val="Nadpis1"/>
        <w:jc w:val="both"/>
        <w:rPr>
          <w:lang w:val="cs-CZ" w:eastAsia="cs-CZ"/>
        </w:rPr>
      </w:pPr>
      <w:r w:rsidRPr="00314E1C">
        <w:rPr>
          <w:lang w:val="cs-CZ" w:eastAsia="cs-CZ"/>
        </w:rPr>
        <w:t>Trvání smlouvy</w:t>
      </w:r>
    </w:p>
    <w:p w14:paraId="47BEFE59" w14:textId="0C861A36" w:rsidR="005B7D27" w:rsidRPr="00314E1C" w:rsidRDefault="005B7D27" w:rsidP="00EF2224">
      <w:pPr>
        <w:pStyle w:val="Nadpis2"/>
        <w:keepNext/>
        <w:jc w:val="both"/>
        <w:rPr>
          <w:lang w:val="cs-CZ"/>
        </w:rPr>
      </w:pPr>
      <w:r w:rsidRPr="00314E1C">
        <w:rPr>
          <w:lang w:val="cs-CZ"/>
        </w:rPr>
        <w:t xml:space="preserve">Spolupráce Smluvních stran dle této </w:t>
      </w:r>
      <w:r w:rsidR="005A09AE" w:rsidRPr="00314E1C">
        <w:rPr>
          <w:lang w:val="cs-CZ"/>
        </w:rPr>
        <w:t xml:space="preserve">rámcové </w:t>
      </w:r>
      <w:r w:rsidRPr="00314E1C">
        <w:rPr>
          <w:lang w:val="cs-CZ"/>
        </w:rPr>
        <w:t>smlouvy není časově omezena. Smlouvu je možné vypovědět písemnou výpovědí, přičemž výpovědní lhůta činí 1 měsíc</w:t>
      </w:r>
      <w:r w:rsidR="00030B69" w:rsidRPr="00314E1C">
        <w:rPr>
          <w:lang w:val="cs-CZ"/>
        </w:rPr>
        <w:t xml:space="preserve"> a počíná běžet od prvního dne kalendářního měsíce následujícího po měsíci, v němž došla výpověď </w:t>
      </w:r>
      <w:r w:rsidR="003646CC" w:rsidRPr="00314E1C">
        <w:rPr>
          <w:lang w:val="cs-CZ"/>
        </w:rPr>
        <w:t xml:space="preserve">druhé </w:t>
      </w:r>
      <w:r w:rsidR="00030B69" w:rsidRPr="00314E1C">
        <w:rPr>
          <w:lang w:val="cs-CZ"/>
        </w:rPr>
        <w:t xml:space="preserve">Smluvní straně. </w:t>
      </w:r>
      <w:r w:rsidRPr="00314E1C">
        <w:rPr>
          <w:lang w:val="cs-CZ"/>
        </w:rPr>
        <w:t xml:space="preserve"> </w:t>
      </w:r>
      <w:r w:rsidR="007668A6">
        <w:rPr>
          <w:lang w:val="cs-CZ"/>
        </w:rPr>
        <w:t>Tím není dotčeno ustanovení čl. 2.8.</w:t>
      </w:r>
    </w:p>
    <w:p w14:paraId="053064B7" w14:textId="4F7C5926" w:rsidR="005A09AE" w:rsidRPr="00314E1C" w:rsidRDefault="005A09AE" w:rsidP="00EF2224">
      <w:pPr>
        <w:pStyle w:val="Nadpis2"/>
        <w:keepNext/>
        <w:jc w:val="both"/>
        <w:rPr>
          <w:lang w:val="cs-CZ"/>
        </w:rPr>
      </w:pPr>
      <w:r w:rsidRPr="00314E1C">
        <w:rPr>
          <w:lang w:val="cs-CZ"/>
        </w:rPr>
        <w:t xml:space="preserve">Po dobu trvání této rámcové smlouvy se Komitent zavazuje realizovat zpeněžení Movitých věcí výhradně prostřednictvím </w:t>
      </w:r>
      <w:proofErr w:type="spellStart"/>
      <w:r w:rsidRPr="00314E1C">
        <w:rPr>
          <w:lang w:val="cs-CZ"/>
        </w:rPr>
        <w:t>VeaComu</w:t>
      </w:r>
      <w:proofErr w:type="spellEnd"/>
      <w:r w:rsidRPr="00314E1C">
        <w:rPr>
          <w:lang w:val="cs-CZ"/>
        </w:rPr>
        <w:t xml:space="preserve">, přičemž podmínky této rámcové smlouvy byly vyhotoveny s přihlédnutím k této povinnosti Komitenta. </w:t>
      </w:r>
    </w:p>
    <w:p w14:paraId="2C9485CA" w14:textId="77777777" w:rsidR="005B7D27" w:rsidRPr="00314E1C" w:rsidRDefault="005B7D27" w:rsidP="00EF2224">
      <w:pPr>
        <w:pStyle w:val="Nadpis1"/>
        <w:jc w:val="both"/>
        <w:rPr>
          <w:lang w:val="cs-CZ" w:eastAsia="cs-CZ"/>
        </w:rPr>
      </w:pPr>
      <w:r w:rsidRPr="00314E1C">
        <w:rPr>
          <w:lang w:val="cs-CZ" w:eastAsia="cs-CZ"/>
        </w:rPr>
        <w:t>Doručování</w:t>
      </w:r>
    </w:p>
    <w:p w14:paraId="58DD70E5" w14:textId="77777777" w:rsidR="005B7D27" w:rsidRPr="00314E1C" w:rsidRDefault="005B7D27" w:rsidP="00EF2224">
      <w:pPr>
        <w:pStyle w:val="Nadpis2"/>
        <w:keepNext/>
        <w:jc w:val="both"/>
        <w:rPr>
          <w:b/>
          <w:lang w:val="cs-CZ" w:eastAsia="cs-CZ"/>
        </w:rPr>
      </w:pPr>
      <w:r w:rsidRPr="00314E1C">
        <w:rPr>
          <w:lang w:val="cs-CZ" w:eastAsia="cs-CZ"/>
        </w:rPr>
        <w:t xml:space="preserve">Smluvní strany se dohodly na tom, že veškerá komunikace mezi nimi bude probíhat </w:t>
      </w:r>
      <w:r w:rsidRPr="00314E1C">
        <w:rPr>
          <w:lang w:val="cs-CZ" w:eastAsia="cs-CZ"/>
        </w:rPr>
        <w:br/>
        <w:t>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odeslání</w:t>
      </w:r>
      <w:r w:rsidRPr="00314E1C">
        <w:rPr>
          <w:rFonts w:eastAsia="MS Mincho"/>
          <w:lang w:val="cs-CZ" w:eastAsia="cs-CZ"/>
        </w:rPr>
        <w:t xml:space="preserve">. </w:t>
      </w:r>
      <w:r w:rsidRPr="00314E1C">
        <w:rPr>
          <w:lang w:val="cs-CZ" w:eastAsia="cs-CZ"/>
        </w:rPr>
        <w:t>Smluvní strana je povinna bez zbytečného odkladu oznámit druhé Smluvní straně změnu své doručovací adresy.</w:t>
      </w:r>
    </w:p>
    <w:p w14:paraId="4240EB37" w14:textId="77777777" w:rsidR="005B7D27" w:rsidRPr="00314E1C" w:rsidRDefault="005B7D27" w:rsidP="00EF2224">
      <w:pPr>
        <w:pStyle w:val="Nadpis2"/>
        <w:keepNext/>
        <w:jc w:val="both"/>
        <w:rPr>
          <w:b/>
          <w:lang w:val="cs-CZ" w:eastAsia="cs-CZ"/>
        </w:rPr>
      </w:pPr>
      <w:r w:rsidRPr="00314E1C">
        <w:rPr>
          <w:lang w:val="cs-CZ" w:eastAsia="cs-CZ"/>
        </w:rPr>
        <w:t>Pro účely této Smlouvy se Smluvní strany dohodly na tom, že pro komunikaci prováděnou e-mailem bez zaručeného elektronického podpisu se bude využívat pouze e-mailových adres uvedených v záhlaví této Smlouvy nebo e-mailových adres, které si Smluvní strany později písemně oznámí. E-mail se považuje za řádně doručený dnem jeho odeslání Smluvní stranou. Smluvní strana je povinna bez zbytečného odkladu písemně oznámit druhé Smluvní straně změnu své e-mailové adresy.</w:t>
      </w:r>
    </w:p>
    <w:p w14:paraId="4F8C77A5" w14:textId="77777777" w:rsidR="005B7D27" w:rsidRPr="00314E1C" w:rsidRDefault="005B7D27" w:rsidP="00EF2224">
      <w:pPr>
        <w:pStyle w:val="Nadpis1"/>
        <w:jc w:val="both"/>
        <w:rPr>
          <w:lang w:val="cs-CZ"/>
        </w:rPr>
      </w:pPr>
      <w:r w:rsidRPr="00314E1C">
        <w:rPr>
          <w:lang w:val="cs-CZ"/>
        </w:rPr>
        <w:t>Závěrečná ustanovení</w:t>
      </w:r>
    </w:p>
    <w:p w14:paraId="5AD6C689" w14:textId="77777777" w:rsidR="005B7D27" w:rsidRPr="00314E1C" w:rsidRDefault="005B7D27" w:rsidP="00EF2224">
      <w:pPr>
        <w:pStyle w:val="Nadpis2"/>
        <w:keepNext/>
        <w:jc w:val="both"/>
        <w:rPr>
          <w:lang w:val="cs-CZ"/>
        </w:rPr>
      </w:pPr>
      <w:r w:rsidRPr="00314E1C">
        <w:rPr>
          <w:lang w:val="cs-CZ"/>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7C8B6E8D" w14:textId="4487A370" w:rsidR="005B7D27" w:rsidRPr="00314E1C" w:rsidRDefault="005B7D27" w:rsidP="00EF2224">
      <w:pPr>
        <w:pStyle w:val="Nadpis2"/>
        <w:keepNext/>
        <w:jc w:val="both"/>
        <w:rPr>
          <w:lang w:val="cs-CZ"/>
        </w:rPr>
      </w:pPr>
      <w:r w:rsidRPr="00314E1C">
        <w:rPr>
          <w:lang w:val="cs-CZ"/>
        </w:rPr>
        <w:t xml:space="preserve">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w:t>
      </w:r>
      <w:r w:rsidRPr="00314E1C">
        <w:rPr>
          <w:lang w:val="cs-CZ"/>
        </w:rPr>
        <w:lastRenderedPageBreak/>
        <w:t>nové smlouvě bude odstraněn důvod neplatnosti, zdánlivosti či neúčinnosti a plnění přijatá na základě této Smlouvy budou započítána na plnění Smluvních stran dle nové smlouvy.</w:t>
      </w:r>
    </w:p>
    <w:p w14:paraId="0C1D0FF0" w14:textId="77777777" w:rsidR="002D6DB6" w:rsidRPr="00314E1C" w:rsidRDefault="002D6DB6" w:rsidP="00EF2224">
      <w:pPr>
        <w:pStyle w:val="Nadpis2"/>
        <w:keepNext/>
        <w:jc w:val="both"/>
        <w:rPr>
          <w:lang w:val="cs-CZ"/>
        </w:rPr>
      </w:pPr>
      <w:r w:rsidRPr="00314E1C">
        <w:rPr>
          <w:lang w:val="cs-CZ"/>
        </w:rPr>
        <w:t xml:space="preserve">Smluvní strany se dohodly, že </w:t>
      </w:r>
      <w:proofErr w:type="spellStart"/>
      <w:r w:rsidRPr="00314E1C">
        <w:rPr>
          <w:lang w:val="cs-CZ"/>
        </w:rPr>
        <w:t>VeaCom</w:t>
      </w:r>
      <w:proofErr w:type="spellEnd"/>
      <w:r w:rsidRPr="00314E1C">
        <w:rPr>
          <w:lang w:val="cs-CZ"/>
        </w:rPr>
        <w:t xml:space="preserve"> je oprávněn zařadit Komitenta do seznamu svých referenčních klientů určeného pro účely prezentace </w:t>
      </w:r>
      <w:proofErr w:type="spellStart"/>
      <w:r w:rsidRPr="00314E1C">
        <w:rPr>
          <w:lang w:val="cs-CZ"/>
        </w:rPr>
        <w:t>VeaComu</w:t>
      </w:r>
      <w:proofErr w:type="spellEnd"/>
      <w:r w:rsidRPr="00314E1C">
        <w:rPr>
          <w:lang w:val="cs-CZ"/>
        </w:rPr>
        <w:t xml:space="preserve"> vůči třetím osobám.</w:t>
      </w:r>
    </w:p>
    <w:p w14:paraId="51F90F47" w14:textId="77777777" w:rsidR="005B7D27" w:rsidRPr="00314E1C" w:rsidRDefault="005B7D27" w:rsidP="00EF2224">
      <w:pPr>
        <w:pStyle w:val="Nadpis2"/>
        <w:keepNext/>
        <w:jc w:val="both"/>
        <w:rPr>
          <w:lang w:val="cs-CZ"/>
        </w:rPr>
      </w:pPr>
      <w:r w:rsidRPr="00314E1C">
        <w:rPr>
          <w:lang w:val="cs-CZ"/>
        </w:rPr>
        <w:t xml:space="preserve">Tato smlouva může být měněna jen písemnými dodatky se souhlasem Smluvních stran. </w:t>
      </w:r>
    </w:p>
    <w:p w14:paraId="5ACBED42" w14:textId="77777777" w:rsidR="005B7D27" w:rsidRPr="00314E1C" w:rsidRDefault="005B7D27" w:rsidP="00EF2224">
      <w:pPr>
        <w:pStyle w:val="Nadpis2"/>
        <w:keepNext/>
        <w:jc w:val="both"/>
        <w:rPr>
          <w:lang w:val="cs-CZ"/>
        </w:rPr>
      </w:pPr>
      <w:r w:rsidRPr="00314E1C">
        <w:rPr>
          <w:lang w:val="cs-CZ"/>
        </w:rPr>
        <w:t xml:space="preserve">Tato smlouva je vyhotovena ve 2 vyhotoveních. </w:t>
      </w:r>
    </w:p>
    <w:p w14:paraId="5C59EE57" w14:textId="77777777" w:rsidR="005B7D27" w:rsidRPr="00314E1C" w:rsidRDefault="005B7D27" w:rsidP="00EF2224">
      <w:pPr>
        <w:pStyle w:val="Nadpis2"/>
        <w:keepNext/>
        <w:jc w:val="both"/>
        <w:rPr>
          <w:lang w:val="cs-CZ"/>
        </w:rPr>
      </w:pPr>
      <w:r w:rsidRPr="00314E1C">
        <w:rPr>
          <w:lang w:val="cs-CZ"/>
        </w:rPr>
        <w:t>Smluvní strany prohlašují, že si tuto smlouvu řádně přečetly a souhlasí s jejím obsahem, že ji neuzavřely v tísni ani za nápadně nevýhodných podmínek a že její obsah vyjadřuje jejich svobodnou a vážnou vůli.</w:t>
      </w:r>
    </w:p>
    <w:p w14:paraId="011978FE" w14:textId="77777777" w:rsidR="006201B0" w:rsidRPr="00314E1C" w:rsidRDefault="006201B0" w:rsidP="00FF4721">
      <w:pPr>
        <w:keepNext/>
        <w:widowControl w:val="0"/>
        <w:jc w:val="both"/>
        <w:rPr>
          <w:szCs w:val="22"/>
          <w:lang w:val="cs-CZ"/>
        </w:rPr>
      </w:pPr>
    </w:p>
    <w:p w14:paraId="494365A4" w14:textId="77777777" w:rsidR="00EC192F" w:rsidRPr="00314E1C" w:rsidRDefault="00EC192F" w:rsidP="00A47440">
      <w:pPr>
        <w:keepNext/>
        <w:jc w:val="both"/>
        <w:rPr>
          <w:szCs w:val="22"/>
          <w:lang w:val="cs-CZ"/>
        </w:rPr>
      </w:pPr>
    </w:p>
    <w:p w14:paraId="399F155A" w14:textId="06388E69" w:rsidR="00EC192F" w:rsidRPr="00844978" w:rsidRDefault="007D7F34" w:rsidP="00844978">
      <w:pPr>
        <w:rPr>
          <w:sz w:val="18"/>
          <w:lang w:val="pl-PL"/>
        </w:rPr>
      </w:pPr>
      <w:r>
        <w:rPr>
          <w:szCs w:val="22"/>
          <w:lang w:val="cs-CZ"/>
        </w:rPr>
        <w:t xml:space="preserve"> </w:t>
      </w:r>
      <w:r w:rsidR="00B974C2">
        <w:rPr>
          <w:szCs w:val="22"/>
          <w:lang w:val="cs-CZ"/>
        </w:rPr>
        <w:t>V Praze dne</w:t>
      </w:r>
      <w:r w:rsidR="00582E66">
        <w:rPr>
          <w:szCs w:val="22"/>
          <w:lang w:val="cs-CZ"/>
        </w:rPr>
        <w:t>___</w:t>
      </w:r>
      <w:r w:rsidR="008C2991">
        <w:rPr>
          <w:szCs w:val="22"/>
          <w:lang w:val="cs-CZ"/>
        </w:rPr>
        <w:t>9.12.2024</w:t>
      </w:r>
      <w:r w:rsidR="00582E66">
        <w:rPr>
          <w:szCs w:val="22"/>
          <w:lang w:val="cs-CZ"/>
        </w:rPr>
        <w:t>____</w:t>
      </w:r>
      <w:r w:rsidR="00EC192F" w:rsidRPr="00314E1C">
        <w:rPr>
          <w:szCs w:val="22"/>
          <w:lang w:val="cs-CZ"/>
        </w:rPr>
        <w:tab/>
      </w:r>
      <w:r w:rsidR="00EC192F" w:rsidRPr="00314E1C">
        <w:rPr>
          <w:szCs w:val="22"/>
          <w:lang w:val="cs-CZ"/>
        </w:rPr>
        <w:tab/>
      </w:r>
      <w:r w:rsidR="00CC648A">
        <w:rPr>
          <w:szCs w:val="22"/>
          <w:lang w:val="cs-CZ"/>
        </w:rPr>
        <w:tab/>
      </w:r>
      <w:r w:rsidR="00B974C2">
        <w:rPr>
          <w:szCs w:val="22"/>
          <w:lang w:val="cs-CZ"/>
        </w:rPr>
        <w:t xml:space="preserve">                          </w:t>
      </w:r>
      <w:r w:rsidR="00EC192F" w:rsidRPr="00314E1C">
        <w:rPr>
          <w:szCs w:val="22"/>
          <w:lang w:val="cs-CZ"/>
        </w:rPr>
        <w:t>V </w:t>
      </w:r>
      <w:r w:rsidR="00582E66">
        <w:rPr>
          <w:szCs w:val="22"/>
          <w:lang w:val="cs-CZ"/>
        </w:rPr>
        <w:t xml:space="preserve">Novém Jičíně </w:t>
      </w:r>
      <w:r w:rsidR="00B974C2">
        <w:rPr>
          <w:szCs w:val="22"/>
          <w:lang w:val="cs-CZ"/>
        </w:rPr>
        <w:t>dne</w:t>
      </w:r>
      <w:r w:rsidR="008C2991">
        <w:rPr>
          <w:szCs w:val="22"/>
          <w:lang w:val="cs-CZ"/>
        </w:rPr>
        <w:t>10.12.2024</w:t>
      </w:r>
      <w:r w:rsidR="00B974C2">
        <w:rPr>
          <w:szCs w:val="22"/>
          <w:lang w:val="cs-CZ"/>
        </w:rPr>
        <w:t>______</w:t>
      </w:r>
    </w:p>
    <w:p w14:paraId="3D231E7F" w14:textId="77777777" w:rsidR="007D7F34" w:rsidRDefault="007D7F34" w:rsidP="00B974C2">
      <w:pPr>
        <w:spacing w:line="23" w:lineRule="atLeast"/>
        <w:rPr>
          <w:szCs w:val="22"/>
          <w:lang w:val="cs-CZ"/>
        </w:rPr>
      </w:pPr>
    </w:p>
    <w:p w14:paraId="1B095D72" w14:textId="531E445F" w:rsidR="00B974C2" w:rsidRPr="00582E66" w:rsidRDefault="00B974C2" w:rsidP="00B974C2">
      <w:pPr>
        <w:spacing w:line="23" w:lineRule="atLeast"/>
        <w:rPr>
          <w:szCs w:val="22"/>
          <w:lang w:val="cs-CZ"/>
        </w:rPr>
      </w:pPr>
      <w:r>
        <w:rPr>
          <w:szCs w:val="22"/>
          <w:lang w:val="cs-CZ"/>
        </w:rPr>
        <w:t xml:space="preserve"> </w:t>
      </w:r>
      <w:r w:rsidR="00EC192F" w:rsidRPr="00314E1C">
        <w:rPr>
          <w:szCs w:val="22"/>
          <w:lang w:val="cs-CZ"/>
        </w:rPr>
        <w:t xml:space="preserve">Za </w:t>
      </w:r>
      <w:proofErr w:type="spellStart"/>
      <w:r w:rsidR="00EC192F" w:rsidRPr="00314E1C">
        <w:rPr>
          <w:b/>
          <w:szCs w:val="22"/>
          <w:lang w:val="cs-CZ"/>
        </w:rPr>
        <w:t>VeaCom</w:t>
      </w:r>
      <w:proofErr w:type="spellEnd"/>
      <w:r w:rsidR="00EC192F" w:rsidRPr="00314E1C">
        <w:rPr>
          <w:b/>
          <w:szCs w:val="22"/>
          <w:lang w:val="cs-CZ"/>
        </w:rPr>
        <w:t xml:space="preserve"> s.r.o.</w:t>
      </w:r>
      <w:r w:rsidR="00CC648A">
        <w:rPr>
          <w:szCs w:val="22"/>
          <w:lang w:val="cs-CZ"/>
        </w:rPr>
        <w:t>:</w:t>
      </w:r>
      <w:r w:rsidR="00CC648A">
        <w:rPr>
          <w:szCs w:val="22"/>
          <w:lang w:val="cs-CZ"/>
        </w:rPr>
        <w:tab/>
      </w:r>
      <w:r w:rsidR="00CC648A">
        <w:rPr>
          <w:szCs w:val="22"/>
          <w:lang w:val="cs-CZ"/>
        </w:rPr>
        <w:tab/>
      </w:r>
      <w:r w:rsidR="00CC648A">
        <w:rPr>
          <w:szCs w:val="22"/>
          <w:lang w:val="cs-CZ"/>
        </w:rPr>
        <w:tab/>
      </w:r>
      <w:r w:rsidR="00CC648A">
        <w:rPr>
          <w:szCs w:val="22"/>
          <w:lang w:val="cs-CZ"/>
        </w:rPr>
        <w:tab/>
      </w:r>
      <w:r w:rsidR="00CC648A">
        <w:rPr>
          <w:szCs w:val="22"/>
          <w:lang w:val="cs-CZ"/>
        </w:rPr>
        <w:tab/>
      </w:r>
      <w:r>
        <w:rPr>
          <w:szCs w:val="22"/>
          <w:lang w:val="cs-CZ"/>
        </w:rPr>
        <w:t xml:space="preserve">   </w:t>
      </w:r>
      <w:r w:rsidR="007D7F34">
        <w:rPr>
          <w:szCs w:val="22"/>
          <w:lang w:val="cs-CZ"/>
        </w:rPr>
        <w:t xml:space="preserve">Za </w:t>
      </w:r>
      <w:r w:rsidR="00582E66" w:rsidRPr="00582E66">
        <w:rPr>
          <w:b/>
          <w:bCs/>
          <w:szCs w:val="22"/>
          <w:lang w:val="cs-CZ"/>
        </w:rPr>
        <w:t xml:space="preserve">Technické služby města Nového Jičína, </w:t>
      </w:r>
      <w:proofErr w:type="spellStart"/>
      <w:r w:rsidR="00582E66" w:rsidRPr="00582E66">
        <w:rPr>
          <w:b/>
          <w:bCs/>
          <w:szCs w:val="22"/>
          <w:lang w:val="cs-CZ"/>
        </w:rPr>
        <w:t>p</w:t>
      </w:r>
      <w:r w:rsidR="00582E66">
        <w:rPr>
          <w:b/>
          <w:bCs/>
          <w:szCs w:val="22"/>
          <w:lang w:val="cs-CZ"/>
        </w:rPr>
        <w:t>.o</w:t>
      </w:r>
      <w:proofErr w:type="spellEnd"/>
      <w:r w:rsidR="00582E66">
        <w:rPr>
          <w:b/>
          <w:bCs/>
          <w:szCs w:val="22"/>
          <w:lang w:val="cs-CZ"/>
        </w:rPr>
        <w:t>.</w:t>
      </w:r>
    </w:p>
    <w:p w14:paraId="3540CC6D" w14:textId="1F31CC7E" w:rsidR="00EC192F" w:rsidRPr="00314E1C" w:rsidRDefault="00EC192F" w:rsidP="00A47440">
      <w:pPr>
        <w:keepNext/>
        <w:tabs>
          <w:tab w:val="left" w:pos="3060"/>
        </w:tabs>
        <w:jc w:val="both"/>
        <w:rPr>
          <w:szCs w:val="22"/>
          <w:lang w:val="cs-CZ"/>
        </w:rPr>
      </w:pPr>
    </w:p>
    <w:p w14:paraId="11EF546E" w14:textId="3BFCCD75" w:rsidR="00EC192F" w:rsidRPr="00314E1C" w:rsidRDefault="00EC192F" w:rsidP="00A47440">
      <w:pPr>
        <w:keepNext/>
        <w:tabs>
          <w:tab w:val="left" w:pos="3060"/>
        </w:tabs>
        <w:jc w:val="both"/>
        <w:rPr>
          <w:szCs w:val="22"/>
          <w:lang w:val="cs-CZ"/>
        </w:rPr>
      </w:pPr>
    </w:p>
    <w:p w14:paraId="2586C9D8" w14:textId="78B10A32" w:rsidR="00EC192F" w:rsidRPr="00314E1C" w:rsidRDefault="00B974C2" w:rsidP="00A47440">
      <w:pPr>
        <w:keepNext/>
        <w:tabs>
          <w:tab w:val="left" w:pos="3060"/>
        </w:tabs>
        <w:jc w:val="both"/>
        <w:rPr>
          <w:szCs w:val="22"/>
          <w:lang w:val="cs-CZ"/>
        </w:rPr>
      </w:pPr>
      <w:r>
        <w:rPr>
          <w:szCs w:val="22"/>
          <w:lang w:val="cs-CZ"/>
        </w:rPr>
        <w:t>_________________________</w:t>
      </w:r>
      <w:r>
        <w:rPr>
          <w:szCs w:val="22"/>
          <w:lang w:val="cs-CZ"/>
        </w:rPr>
        <w:tab/>
      </w:r>
      <w:r>
        <w:rPr>
          <w:szCs w:val="22"/>
          <w:lang w:val="cs-CZ"/>
        </w:rPr>
        <w:tab/>
      </w:r>
      <w:r>
        <w:rPr>
          <w:szCs w:val="22"/>
          <w:lang w:val="cs-CZ"/>
        </w:rPr>
        <w:tab/>
      </w:r>
      <w:r>
        <w:rPr>
          <w:szCs w:val="22"/>
          <w:lang w:val="cs-CZ"/>
        </w:rPr>
        <w:tab/>
        <w:t xml:space="preserve">      </w:t>
      </w:r>
      <w:r w:rsidR="00EC192F" w:rsidRPr="00314E1C">
        <w:rPr>
          <w:szCs w:val="22"/>
          <w:lang w:val="cs-CZ"/>
        </w:rPr>
        <w:t>________________________</w:t>
      </w:r>
    </w:p>
    <w:p w14:paraId="1BDECD1F" w14:textId="685CE204" w:rsidR="00EC192F" w:rsidRPr="00314E1C" w:rsidRDefault="00B974C2" w:rsidP="00B974C2">
      <w:pPr>
        <w:keepNext/>
        <w:tabs>
          <w:tab w:val="left" w:pos="2694"/>
          <w:tab w:val="left" w:pos="6237"/>
          <w:tab w:val="right" w:pos="9072"/>
        </w:tabs>
        <w:jc w:val="both"/>
        <w:rPr>
          <w:szCs w:val="22"/>
          <w:lang w:val="cs-CZ"/>
        </w:rPr>
      </w:pPr>
      <w:r>
        <w:rPr>
          <w:szCs w:val="22"/>
          <w:lang w:val="cs-CZ"/>
        </w:rPr>
        <w:t xml:space="preserve">Ing. Jan Havel, MBA, jednatel                </w:t>
      </w:r>
      <w:r w:rsidR="00582E66">
        <w:rPr>
          <w:szCs w:val="22"/>
          <w:lang w:val="cs-CZ"/>
        </w:rPr>
        <w:t xml:space="preserve">                           </w:t>
      </w:r>
      <w:r w:rsidR="00582E66" w:rsidRPr="00582E66">
        <w:rPr>
          <w:szCs w:val="22"/>
        </w:rPr>
        <w:t>Ing. Pav</w:t>
      </w:r>
      <w:r w:rsidR="00582E66">
        <w:rPr>
          <w:szCs w:val="22"/>
        </w:rPr>
        <w:t>e</w:t>
      </w:r>
      <w:r w:rsidR="00582E66" w:rsidRPr="00582E66">
        <w:rPr>
          <w:szCs w:val="22"/>
        </w:rPr>
        <w:t>l Tichý</w:t>
      </w:r>
      <w:r w:rsidR="00582E66">
        <w:rPr>
          <w:szCs w:val="22"/>
        </w:rPr>
        <w:t xml:space="preserve">, </w:t>
      </w:r>
      <w:proofErr w:type="spellStart"/>
      <w:r w:rsidR="00582E66">
        <w:rPr>
          <w:szCs w:val="22"/>
        </w:rPr>
        <w:t>ředitel</w:t>
      </w:r>
      <w:proofErr w:type="spellEnd"/>
      <w:r w:rsidR="00EC192F" w:rsidRPr="00314E1C">
        <w:rPr>
          <w:szCs w:val="22"/>
          <w:lang w:val="cs-CZ"/>
        </w:rPr>
        <w:t xml:space="preserve"> </w:t>
      </w:r>
    </w:p>
    <w:p w14:paraId="4D6FE96A" w14:textId="77777777" w:rsidR="005A09AE" w:rsidRDefault="005A09AE" w:rsidP="00FF4721">
      <w:pPr>
        <w:keepNext/>
        <w:rPr>
          <w:rFonts w:eastAsia="Calibri"/>
          <w:lang w:val="cs-CZ"/>
        </w:rPr>
      </w:pPr>
    </w:p>
    <w:p w14:paraId="14A4E123" w14:textId="77777777" w:rsidR="00CC648A" w:rsidRDefault="00CC648A" w:rsidP="00FF4721">
      <w:pPr>
        <w:keepNext/>
        <w:rPr>
          <w:rFonts w:eastAsia="Calibri"/>
          <w:lang w:val="cs-CZ"/>
        </w:rPr>
      </w:pPr>
    </w:p>
    <w:p w14:paraId="145DCA9E" w14:textId="235C8A16" w:rsidR="00CC648A" w:rsidRPr="00314E1C" w:rsidRDefault="00CC648A" w:rsidP="00FF4721">
      <w:pPr>
        <w:keepNext/>
        <w:rPr>
          <w:rFonts w:eastAsia="Calibri"/>
          <w:lang w:val="cs-CZ"/>
        </w:rPr>
      </w:pPr>
    </w:p>
    <w:p w14:paraId="11FC9D2F" w14:textId="1065643C" w:rsidR="00CC648A" w:rsidRPr="00314E1C" w:rsidRDefault="00CC648A" w:rsidP="00B974C2">
      <w:pPr>
        <w:keepNext/>
        <w:jc w:val="both"/>
        <w:rPr>
          <w:szCs w:val="22"/>
          <w:lang w:val="cs-CZ"/>
        </w:rPr>
      </w:pPr>
      <w:r w:rsidRPr="00314E1C">
        <w:rPr>
          <w:szCs w:val="22"/>
          <w:lang w:val="cs-CZ"/>
        </w:rPr>
        <w:tab/>
      </w:r>
      <w:r w:rsidRPr="00314E1C">
        <w:rPr>
          <w:szCs w:val="22"/>
          <w:lang w:val="cs-CZ"/>
        </w:rPr>
        <w:tab/>
      </w:r>
      <w:r w:rsidR="00B974C2">
        <w:rPr>
          <w:szCs w:val="22"/>
          <w:lang w:val="cs-CZ"/>
        </w:rPr>
        <w:tab/>
      </w:r>
      <w:r w:rsidR="00B974C2">
        <w:rPr>
          <w:szCs w:val="22"/>
          <w:lang w:val="cs-CZ"/>
        </w:rPr>
        <w:tab/>
      </w:r>
      <w:r w:rsidR="00B974C2">
        <w:rPr>
          <w:szCs w:val="22"/>
          <w:lang w:val="cs-CZ"/>
        </w:rPr>
        <w:tab/>
      </w:r>
      <w:r w:rsidR="00B974C2">
        <w:rPr>
          <w:szCs w:val="22"/>
          <w:lang w:val="cs-CZ"/>
        </w:rPr>
        <w:tab/>
      </w:r>
      <w:r w:rsidR="00B974C2">
        <w:rPr>
          <w:szCs w:val="22"/>
          <w:lang w:val="cs-CZ"/>
        </w:rPr>
        <w:tab/>
      </w:r>
    </w:p>
    <w:p w14:paraId="2326DFC1" w14:textId="637B03D6" w:rsidR="00CC648A" w:rsidRPr="00314E1C" w:rsidRDefault="00CC648A" w:rsidP="00CC648A">
      <w:pPr>
        <w:keepNext/>
        <w:tabs>
          <w:tab w:val="left" w:pos="2694"/>
          <w:tab w:val="left" w:pos="6237"/>
          <w:tab w:val="right" w:pos="9072"/>
        </w:tabs>
        <w:jc w:val="both"/>
        <w:rPr>
          <w:szCs w:val="22"/>
          <w:lang w:val="cs-CZ"/>
        </w:rPr>
      </w:pPr>
      <w:r>
        <w:rPr>
          <w:szCs w:val="22"/>
          <w:lang w:val="cs-CZ"/>
        </w:rPr>
        <w:tab/>
      </w:r>
      <w:r>
        <w:rPr>
          <w:szCs w:val="22"/>
          <w:lang w:val="cs-CZ"/>
        </w:rPr>
        <w:tab/>
      </w:r>
      <w:r>
        <w:rPr>
          <w:szCs w:val="22"/>
          <w:lang w:val="cs-CZ"/>
        </w:rPr>
        <w:tab/>
      </w:r>
    </w:p>
    <w:p w14:paraId="666F575C" w14:textId="395D933F" w:rsidR="00CC648A" w:rsidRPr="00314E1C" w:rsidRDefault="00CC648A" w:rsidP="00CC648A">
      <w:pPr>
        <w:keepNext/>
        <w:widowControl w:val="0"/>
        <w:rPr>
          <w:b/>
          <w:lang w:val="cs-CZ"/>
        </w:rPr>
      </w:pPr>
    </w:p>
    <w:sectPr w:rsidR="00CC648A" w:rsidRPr="00314E1C">
      <w:headerReference w:type="default" r:id="rId8"/>
      <w:footerReference w:type="default" r:id="rId9"/>
      <w:headerReference w:type="first" r:id="rId10"/>
      <w:footerReference w:type="first" r:id="rId11"/>
      <w:pgSz w:w="11905" w:h="16837"/>
      <w:pgMar w:top="1693" w:right="1417" w:bottom="1670" w:left="1417" w:header="1417" w:footer="141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8658" w14:textId="77777777" w:rsidR="0069267C" w:rsidRDefault="0069267C" w:rsidP="00DD7EC3">
      <w:r>
        <w:separator/>
      </w:r>
    </w:p>
  </w:endnote>
  <w:endnote w:type="continuationSeparator" w:id="0">
    <w:p w14:paraId="532052E8" w14:textId="77777777" w:rsidR="0069267C" w:rsidRDefault="0069267C" w:rsidP="00DD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4CC6" w14:textId="77777777" w:rsidR="00B974C2" w:rsidRDefault="00B974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DB02" w14:textId="77777777" w:rsidR="00B974C2" w:rsidRDefault="00B974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7DD6" w14:textId="77777777" w:rsidR="0069267C" w:rsidRDefault="0069267C" w:rsidP="00DD7EC3">
      <w:r>
        <w:separator/>
      </w:r>
    </w:p>
  </w:footnote>
  <w:footnote w:type="continuationSeparator" w:id="0">
    <w:p w14:paraId="30EFA9B0" w14:textId="77777777" w:rsidR="0069267C" w:rsidRDefault="0069267C" w:rsidP="00DD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DC94" w14:textId="77777777" w:rsidR="00B974C2" w:rsidRDefault="00B974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1F5C" w14:textId="77777777" w:rsidR="00B974C2" w:rsidRDefault="00B974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5417B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1"/>
    <w:multiLevelType w:val="multilevel"/>
    <w:tmpl w:val="FB16285A"/>
    <w:lvl w:ilvl="0">
      <w:start w:val="1"/>
      <w:numFmt w:val="decimal"/>
      <w:pStyle w:val="Nadpis1"/>
      <w:lvlText w:val="%1."/>
      <w:lvlJc w:val="left"/>
      <w:pPr>
        <w:tabs>
          <w:tab w:val="num" w:pos="1134"/>
        </w:tabs>
        <w:ind w:left="1134" w:hanging="1134"/>
      </w:pPr>
      <w:rPr>
        <w:b/>
      </w:rPr>
    </w:lvl>
    <w:lvl w:ilvl="1">
      <w:start w:val="1"/>
      <w:numFmt w:val="decimal"/>
      <w:pStyle w:val="Nadpis2"/>
      <w:lvlText w:val="%1.%2."/>
      <w:lvlJc w:val="left"/>
      <w:pPr>
        <w:tabs>
          <w:tab w:val="num" w:pos="1134"/>
        </w:tabs>
        <w:ind w:left="1134" w:hanging="1134"/>
      </w:pPr>
      <w:rPr>
        <w:b w:val="0"/>
      </w:rPr>
    </w:lvl>
    <w:lvl w:ilvl="2">
      <w:start w:val="1"/>
      <w:numFmt w:val="lowerLetter"/>
      <w:pStyle w:val="Nadpis3"/>
      <w:lvlText w:val="(%3)"/>
      <w:lvlJc w:val="left"/>
      <w:pPr>
        <w:tabs>
          <w:tab w:val="num" w:pos="1701"/>
        </w:tabs>
        <w:ind w:left="1701" w:hanging="567"/>
      </w:pPr>
    </w:lvl>
    <w:lvl w:ilvl="3">
      <w:start w:val="1"/>
      <w:numFmt w:val="lowerRoman"/>
      <w:pStyle w:val="Nadpis4"/>
      <w:lvlText w:val="(%4)"/>
      <w:lvlJc w:val="left"/>
      <w:pPr>
        <w:tabs>
          <w:tab w:val="num" w:pos="2495"/>
        </w:tabs>
        <w:ind w:left="2495" w:hanging="794"/>
      </w:pPr>
    </w:lvl>
    <w:lvl w:ilvl="4">
      <w:start w:val="1"/>
      <w:numFmt w:val="none"/>
      <w:lvlText w:val="-"/>
      <w:lvlJc w:val="left"/>
      <w:pPr>
        <w:tabs>
          <w:tab w:val="num" w:pos="2892"/>
        </w:tabs>
        <w:ind w:left="2892" w:hanging="397"/>
      </w:pPr>
    </w:lvl>
    <w:lvl w:ilvl="5">
      <w:start w:val="1"/>
      <w:numFmt w:val="none"/>
      <w:pStyle w:val="Nadpis6"/>
      <w:lvlText w:val=""/>
      <w:lvlJc w:val="left"/>
      <w:pPr>
        <w:tabs>
          <w:tab w:val="num" w:pos="1152"/>
        </w:tabs>
        <w:ind w:left="1152" w:hanging="1152"/>
      </w:pPr>
    </w:lvl>
    <w:lvl w:ilvl="6">
      <w:start w:val="1"/>
      <w:numFmt w:val="decimal"/>
      <w:pStyle w:val="Nadpis7"/>
      <w:lvlText w:val="%3.%4.%7"/>
      <w:lvlJc w:val="left"/>
      <w:pPr>
        <w:tabs>
          <w:tab w:val="num" w:pos="1296"/>
        </w:tabs>
        <w:ind w:left="1296" w:hanging="1296"/>
      </w:pPr>
    </w:lvl>
    <w:lvl w:ilvl="7">
      <w:start w:val="1"/>
      <w:numFmt w:val="decimal"/>
      <w:pStyle w:val="Nadpis8"/>
      <w:lvlText w:val="%2.%3.%4.%7.%8."/>
      <w:lvlJc w:val="left"/>
      <w:pPr>
        <w:tabs>
          <w:tab w:val="num" w:pos="1440"/>
        </w:tabs>
        <w:ind w:left="1440" w:hanging="1440"/>
      </w:pPr>
    </w:lvl>
    <w:lvl w:ilvl="8">
      <w:start w:val="1"/>
      <w:numFmt w:val="decimal"/>
      <w:pStyle w:val="Nadpis9"/>
      <w:lvlText w:val="%2.%3.%4.%7.%8.%9."/>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slovanseznam51"/>
      <w:lvlText w:val="%1."/>
      <w:lvlJc w:val="left"/>
      <w:pPr>
        <w:tabs>
          <w:tab w:val="num" w:pos="1492"/>
        </w:tabs>
        <w:ind w:left="1492" w:hanging="360"/>
      </w:pPr>
    </w:lvl>
  </w:abstractNum>
  <w:abstractNum w:abstractNumId="3" w15:restartNumberingAfterBreak="0">
    <w:nsid w:val="00000003"/>
    <w:multiLevelType w:val="singleLevel"/>
    <w:tmpl w:val="00000003"/>
    <w:name w:val="WW8Num9"/>
    <w:lvl w:ilvl="0">
      <w:start w:val="1"/>
      <w:numFmt w:val="bullet"/>
      <w:pStyle w:val="Nadpis5"/>
      <w:lvlText w:val=""/>
      <w:lvlJc w:val="left"/>
      <w:pPr>
        <w:tabs>
          <w:tab w:val="num" w:pos="2948"/>
        </w:tabs>
        <w:ind w:left="2948" w:hanging="453"/>
      </w:pPr>
      <w:rPr>
        <w:rFonts w:ascii="Symbol" w:hAnsi="Symbol"/>
      </w:rPr>
    </w:lvl>
  </w:abstractNum>
  <w:abstractNum w:abstractNumId="4" w15:restartNumberingAfterBreak="0">
    <w:nsid w:val="00000004"/>
    <w:multiLevelType w:val="multilevel"/>
    <w:tmpl w:val="00000004"/>
    <w:name w:val="WW8Num23"/>
    <w:lvl w:ilvl="0">
      <w:start w:val="1"/>
      <w:numFmt w:val="decimal"/>
      <w:pStyle w:val="Sheading1"/>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1531"/>
        </w:tabs>
        <w:ind w:left="1531" w:hanging="851"/>
      </w:pPr>
      <w:rPr>
        <w:rFonts w:cs="Times New Roman"/>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778"/>
        </w:tabs>
        <w:ind w:left="2778" w:hanging="1247"/>
      </w:pPr>
    </w:lvl>
    <w:lvl w:ilvl="4">
      <w:start w:val="1"/>
      <w:numFmt w:val="decimal"/>
      <w:lvlText w:val="%1.%2.%3.%4.%5"/>
      <w:lvlJc w:val="left"/>
      <w:pPr>
        <w:tabs>
          <w:tab w:val="num" w:pos="2778"/>
        </w:tabs>
        <w:ind w:left="2778" w:hanging="1247"/>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5" w15:restartNumberingAfterBreak="0">
    <w:nsid w:val="090B1958"/>
    <w:multiLevelType w:val="hybridMultilevel"/>
    <w:tmpl w:val="15362A8E"/>
    <w:lvl w:ilvl="0" w:tplc="6D086B12">
      <w:start w:val="1"/>
      <w:numFmt w:val="decimal"/>
      <w:lvlText w:val="%1."/>
      <w:lvlJc w:val="left"/>
      <w:pPr>
        <w:ind w:left="1065" w:hanging="705"/>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131C0B"/>
    <w:multiLevelType w:val="hybridMultilevel"/>
    <w:tmpl w:val="06D2E846"/>
    <w:lvl w:ilvl="0" w:tplc="04050001">
      <w:start w:val="1"/>
      <w:numFmt w:val="bullet"/>
      <w:lvlText w:val=""/>
      <w:lvlJc w:val="left"/>
      <w:pPr>
        <w:ind w:left="762" w:hanging="360"/>
      </w:pPr>
      <w:rPr>
        <w:rFonts w:ascii="Symbol" w:hAnsi="Symbol" w:hint="default"/>
      </w:rPr>
    </w:lvl>
    <w:lvl w:ilvl="1" w:tplc="04050003" w:tentative="1">
      <w:start w:val="1"/>
      <w:numFmt w:val="bullet"/>
      <w:lvlText w:val="o"/>
      <w:lvlJc w:val="left"/>
      <w:pPr>
        <w:ind w:left="1482" w:hanging="360"/>
      </w:pPr>
      <w:rPr>
        <w:rFonts w:ascii="Courier New" w:hAnsi="Courier New" w:cs="Courier New" w:hint="default"/>
      </w:rPr>
    </w:lvl>
    <w:lvl w:ilvl="2" w:tplc="04050005" w:tentative="1">
      <w:start w:val="1"/>
      <w:numFmt w:val="bullet"/>
      <w:lvlText w:val=""/>
      <w:lvlJc w:val="left"/>
      <w:pPr>
        <w:ind w:left="2202" w:hanging="360"/>
      </w:pPr>
      <w:rPr>
        <w:rFonts w:ascii="Wingdings" w:hAnsi="Wingdings" w:hint="default"/>
      </w:rPr>
    </w:lvl>
    <w:lvl w:ilvl="3" w:tplc="04050001" w:tentative="1">
      <w:start w:val="1"/>
      <w:numFmt w:val="bullet"/>
      <w:lvlText w:val=""/>
      <w:lvlJc w:val="left"/>
      <w:pPr>
        <w:ind w:left="2922" w:hanging="360"/>
      </w:pPr>
      <w:rPr>
        <w:rFonts w:ascii="Symbol" w:hAnsi="Symbol" w:hint="default"/>
      </w:rPr>
    </w:lvl>
    <w:lvl w:ilvl="4" w:tplc="04050003" w:tentative="1">
      <w:start w:val="1"/>
      <w:numFmt w:val="bullet"/>
      <w:lvlText w:val="o"/>
      <w:lvlJc w:val="left"/>
      <w:pPr>
        <w:ind w:left="3642" w:hanging="360"/>
      </w:pPr>
      <w:rPr>
        <w:rFonts w:ascii="Courier New" w:hAnsi="Courier New" w:cs="Courier New" w:hint="default"/>
      </w:rPr>
    </w:lvl>
    <w:lvl w:ilvl="5" w:tplc="04050005" w:tentative="1">
      <w:start w:val="1"/>
      <w:numFmt w:val="bullet"/>
      <w:lvlText w:val=""/>
      <w:lvlJc w:val="left"/>
      <w:pPr>
        <w:ind w:left="4362" w:hanging="360"/>
      </w:pPr>
      <w:rPr>
        <w:rFonts w:ascii="Wingdings" w:hAnsi="Wingdings" w:hint="default"/>
      </w:rPr>
    </w:lvl>
    <w:lvl w:ilvl="6" w:tplc="04050001" w:tentative="1">
      <w:start w:val="1"/>
      <w:numFmt w:val="bullet"/>
      <w:lvlText w:val=""/>
      <w:lvlJc w:val="left"/>
      <w:pPr>
        <w:ind w:left="5082" w:hanging="360"/>
      </w:pPr>
      <w:rPr>
        <w:rFonts w:ascii="Symbol" w:hAnsi="Symbol" w:hint="default"/>
      </w:rPr>
    </w:lvl>
    <w:lvl w:ilvl="7" w:tplc="04050003" w:tentative="1">
      <w:start w:val="1"/>
      <w:numFmt w:val="bullet"/>
      <w:lvlText w:val="o"/>
      <w:lvlJc w:val="left"/>
      <w:pPr>
        <w:ind w:left="5802" w:hanging="360"/>
      </w:pPr>
      <w:rPr>
        <w:rFonts w:ascii="Courier New" w:hAnsi="Courier New" w:cs="Courier New" w:hint="default"/>
      </w:rPr>
    </w:lvl>
    <w:lvl w:ilvl="8" w:tplc="04050005" w:tentative="1">
      <w:start w:val="1"/>
      <w:numFmt w:val="bullet"/>
      <w:lvlText w:val=""/>
      <w:lvlJc w:val="left"/>
      <w:pPr>
        <w:ind w:left="6522" w:hanging="360"/>
      </w:pPr>
      <w:rPr>
        <w:rFonts w:ascii="Wingdings" w:hAnsi="Wingdings" w:hint="default"/>
      </w:rPr>
    </w:lvl>
  </w:abstractNum>
  <w:abstractNum w:abstractNumId="7" w15:restartNumberingAfterBreak="0">
    <w:nsid w:val="1D4929F8"/>
    <w:multiLevelType w:val="hybridMultilevel"/>
    <w:tmpl w:val="8E664C0E"/>
    <w:lvl w:ilvl="0" w:tplc="153E3B4A">
      <w:start w:val="1"/>
      <w:numFmt w:val="upperRoman"/>
      <w:pStyle w:val="Styl10bTunzarovnnnasted"/>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517C94"/>
    <w:multiLevelType w:val="hybridMultilevel"/>
    <w:tmpl w:val="3C9EE23C"/>
    <w:lvl w:ilvl="0" w:tplc="04050019">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15:restartNumberingAfterBreak="0">
    <w:nsid w:val="2B910A0D"/>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4A2BF5"/>
    <w:multiLevelType w:val="hybridMultilevel"/>
    <w:tmpl w:val="71CC3816"/>
    <w:lvl w:ilvl="0" w:tplc="2F948984">
      <w:start w:val="1"/>
      <w:numFmt w:val="decimal"/>
      <w:lvlText w:val="%1."/>
      <w:lvlJc w:val="left"/>
      <w:pPr>
        <w:ind w:left="1065" w:hanging="705"/>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E7527"/>
    <w:multiLevelType w:val="hybridMultilevel"/>
    <w:tmpl w:val="D49C1E4C"/>
    <w:lvl w:ilvl="0" w:tplc="86EC764C">
      <w:start w:val="2"/>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7E410CF"/>
    <w:multiLevelType w:val="hybridMultilevel"/>
    <w:tmpl w:val="D9DA1314"/>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5A2C0AAC"/>
    <w:multiLevelType w:val="hybridMultilevel"/>
    <w:tmpl w:val="2AC88B32"/>
    <w:lvl w:ilvl="0" w:tplc="D30CEFA8">
      <w:start w:val="1"/>
      <w:numFmt w:val="decimal"/>
      <w:lvlText w:val="%1."/>
      <w:lvlJc w:val="left"/>
      <w:pPr>
        <w:ind w:left="7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5547B0"/>
    <w:multiLevelType w:val="hybridMultilevel"/>
    <w:tmpl w:val="EA08C7FE"/>
    <w:lvl w:ilvl="0" w:tplc="9F4EDADC">
      <w:start w:val="1"/>
      <w:numFmt w:val="decimal"/>
      <w:lvlText w:val="%1."/>
      <w:lvlJc w:val="left"/>
      <w:pPr>
        <w:ind w:left="1065" w:hanging="705"/>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0F43B9"/>
    <w:multiLevelType w:val="multilevel"/>
    <w:tmpl w:val="FF34135E"/>
    <w:lvl w:ilvl="0">
      <w:start w:val="4"/>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6060C1E"/>
    <w:multiLevelType w:val="multilevel"/>
    <w:tmpl w:val="4A922B9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bullet"/>
      <w:lvlText w:val=""/>
      <w:lvlJc w:val="left"/>
      <w:pPr>
        <w:tabs>
          <w:tab w:val="num" w:pos="1667"/>
        </w:tabs>
        <w:ind w:left="1667" w:hanging="567"/>
      </w:pPr>
      <w:rPr>
        <w:rFonts w:ascii="Symbol" w:hAnsi="Symbol" w:hint="default"/>
      </w:rPr>
    </w:lvl>
    <w:lvl w:ilvl="3">
      <w:start w:val="1"/>
      <w:numFmt w:val="lowerLetter"/>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12159073">
    <w:abstractNumId w:val="1"/>
  </w:num>
  <w:num w:numId="2" w16cid:durableId="2102749568">
    <w:abstractNumId w:val="2"/>
  </w:num>
  <w:num w:numId="3" w16cid:durableId="320431973">
    <w:abstractNumId w:val="3"/>
  </w:num>
  <w:num w:numId="4" w16cid:durableId="525216994">
    <w:abstractNumId w:val="4"/>
  </w:num>
  <w:num w:numId="5" w16cid:durableId="1684700286">
    <w:abstractNumId w:val="1"/>
  </w:num>
  <w:num w:numId="6" w16cid:durableId="371730331">
    <w:abstractNumId w:val="1"/>
  </w:num>
  <w:num w:numId="7" w16cid:durableId="976031953">
    <w:abstractNumId w:val="1"/>
  </w:num>
  <w:num w:numId="8" w16cid:durableId="1356035961">
    <w:abstractNumId w:val="1"/>
  </w:num>
  <w:num w:numId="9" w16cid:durableId="483816195">
    <w:abstractNumId w:val="1"/>
  </w:num>
  <w:num w:numId="10" w16cid:durableId="2121021752">
    <w:abstractNumId w:val="1"/>
  </w:num>
  <w:num w:numId="11" w16cid:durableId="1321959232">
    <w:abstractNumId w:val="1"/>
  </w:num>
  <w:num w:numId="12" w16cid:durableId="428895604">
    <w:abstractNumId w:val="7"/>
  </w:num>
  <w:num w:numId="13" w16cid:durableId="874539797">
    <w:abstractNumId w:val="10"/>
  </w:num>
  <w:num w:numId="14" w16cid:durableId="141121158">
    <w:abstractNumId w:val="5"/>
  </w:num>
  <w:num w:numId="15" w16cid:durableId="1765954607">
    <w:abstractNumId w:val="13"/>
  </w:num>
  <w:num w:numId="16" w16cid:durableId="1580285043">
    <w:abstractNumId w:val="14"/>
  </w:num>
  <w:num w:numId="17" w16cid:durableId="1401975252">
    <w:abstractNumId w:val="11"/>
  </w:num>
  <w:num w:numId="18" w16cid:durableId="2111584441">
    <w:abstractNumId w:val="1"/>
  </w:num>
  <w:num w:numId="19" w16cid:durableId="483667100">
    <w:abstractNumId w:val="0"/>
  </w:num>
  <w:num w:numId="20" w16cid:durableId="2118717956">
    <w:abstractNumId w:val="1"/>
  </w:num>
  <w:num w:numId="21" w16cid:durableId="690303285">
    <w:abstractNumId w:val="1"/>
  </w:num>
  <w:num w:numId="22" w16cid:durableId="2088841930">
    <w:abstractNumId w:val="1"/>
  </w:num>
  <w:num w:numId="23" w16cid:durableId="2144541193">
    <w:abstractNumId w:val="1"/>
  </w:num>
  <w:num w:numId="24" w16cid:durableId="1008753464">
    <w:abstractNumId w:val="12"/>
  </w:num>
  <w:num w:numId="25" w16cid:durableId="1574044024">
    <w:abstractNumId w:val="1"/>
  </w:num>
  <w:num w:numId="26" w16cid:durableId="1674451437">
    <w:abstractNumId w:val="1"/>
  </w:num>
  <w:num w:numId="27" w16cid:durableId="474416258">
    <w:abstractNumId w:val="1"/>
  </w:num>
  <w:num w:numId="28" w16cid:durableId="1416904224">
    <w:abstractNumId w:val="1"/>
  </w:num>
  <w:num w:numId="29" w16cid:durableId="1164513468">
    <w:abstractNumId w:val="1"/>
  </w:num>
  <w:num w:numId="30" w16cid:durableId="1074157959">
    <w:abstractNumId w:val="1"/>
  </w:num>
  <w:num w:numId="31" w16cid:durableId="1011688569">
    <w:abstractNumId w:val="1"/>
  </w:num>
  <w:num w:numId="32" w16cid:durableId="1062144867">
    <w:abstractNumId w:val="8"/>
  </w:num>
  <w:num w:numId="33" w16cid:durableId="1249778460">
    <w:abstractNumId w:val="15"/>
  </w:num>
  <w:num w:numId="34" w16cid:durableId="1022365569">
    <w:abstractNumId w:val="1"/>
  </w:num>
  <w:num w:numId="35" w16cid:durableId="1644188585">
    <w:abstractNumId w:val="1"/>
  </w:num>
  <w:num w:numId="36" w16cid:durableId="1512522413">
    <w:abstractNumId w:val="1"/>
  </w:num>
  <w:num w:numId="37" w16cid:durableId="1726636098">
    <w:abstractNumId w:val="9"/>
  </w:num>
  <w:num w:numId="38" w16cid:durableId="2112119972">
    <w:abstractNumId w:val="16"/>
  </w:num>
  <w:num w:numId="39" w16cid:durableId="328170520">
    <w:abstractNumId w:val="1"/>
  </w:num>
  <w:num w:numId="40" w16cid:durableId="2020696346">
    <w:abstractNumId w:val="1"/>
  </w:num>
  <w:num w:numId="41" w16cid:durableId="1080296850">
    <w:abstractNumId w:val="6"/>
  </w:num>
  <w:num w:numId="42" w16cid:durableId="835337578">
    <w:abstractNumId w:val="1"/>
  </w:num>
  <w:num w:numId="43" w16cid:durableId="69331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62"/>
    <w:rsid w:val="000024E5"/>
    <w:rsid w:val="0001024F"/>
    <w:rsid w:val="00020016"/>
    <w:rsid w:val="00021D6F"/>
    <w:rsid w:val="00030B69"/>
    <w:rsid w:val="00032014"/>
    <w:rsid w:val="00042F62"/>
    <w:rsid w:val="0006643B"/>
    <w:rsid w:val="00075A29"/>
    <w:rsid w:val="000850BD"/>
    <w:rsid w:val="000A5B76"/>
    <w:rsid w:val="000B0E35"/>
    <w:rsid w:val="000B44E4"/>
    <w:rsid w:val="000B75D9"/>
    <w:rsid w:val="000C332E"/>
    <w:rsid w:val="000C5AC1"/>
    <w:rsid w:val="000D4F2C"/>
    <w:rsid w:val="000F0E39"/>
    <w:rsid w:val="00115C79"/>
    <w:rsid w:val="00126B1B"/>
    <w:rsid w:val="001847B4"/>
    <w:rsid w:val="001A0206"/>
    <w:rsid w:val="001E22F9"/>
    <w:rsid w:val="001F1993"/>
    <w:rsid w:val="001F4CF5"/>
    <w:rsid w:val="002034E9"/>
    <w:rsid w:val="002153D9"/>
    <w:rsid w:val="00216263"/>
    <w:rsid w:val="00217C90"/>
    <w:rsid w:val="00253962"/>
    <w:rsid w:val="00267642"/>
    <w:rsid w:val="002762FA"/>
    <w:rsid w:val="002773EE"/>
    <w:rsid w:val="00280D31"/>
    <w:rsid w:val="002A3DF7"/>
    <w:rsid w:val="002D5668"/>
    <w:rsid w:val="002D6DB6"/>
    <w:rsid w:val="002F0803"/>
    <w:rsid w:val="002F547F"/>
    <w:rsid w:val="00306983"/>
    <w:rsid w:val="00311604"/>
    <w:rsid w:val="00314E1C"/>
    <w:rsid w:val="003443DB"/>
    <w:rsid w:val="003646CC"/>
    <w:rsid w:val="003A1126"/>
    <w:rsid w:val="003B2A3B"/>
    <w:rsid w:val="003D68BD"/>
    <w:rsid w:val="004044DF"/>
    <w:rsid w:val="00407EA0"/>
    <w:rsid w:val="00453CDA"/>
    <w:rsid w:val="00483C40"/>
    <w:rsid w:val="00494A9C"/>
    <w:rsid w:val="004B760D"/>
    <w:rsid w:val="004D1EEA"/>
    <w:rsid w:val="004E2D5B"/>
    <w:rsid w:val="0050793A"/>
    <w:rsid w:val="00523750"/>
    <w:rsid w:val="00582058"/>
    <w:rsid w:val="00582E66"/>
    <w:rsid w:val="00591FC8"/>
    <w:rsid w:val="005A09AE"/>
    <w:rsid w:val="005A4C36"/>
    <w:rsid w:val="005B7D27"/>
    <w:rsid w:val="005F437D"/>
    <w:rsid w:val="0060120F"/>
    <w:rsid w:val="006201B0"/>
    <w:rsid w:val="00625421"/>
    <w:rsid w:val="00627850"/>
    <w:rsid w:val="00632BA7"/>
    <w:rsid w:val="006843C5"/>
    <w:rsid w:val="00686321"/>
    <w:rsid w:val="0069267C"/>
    <w:rsid w:val="006C4467"/>
    <w:rsid w:val="006D401F"/>
    <w:rsid w:val="006E7EF7"/>
    <w:rsid w:val="007668A6"/>
    <w:rsid w:val="00767663"/>
    <w:rsid w:val="00767EBC"/>
    <w:rsid w:val="00774EE4"/>
    <w:rsid w:val="007928EF"/>
    <w:rsid w:val="00792CA3"/>
    <w:rsid w:val="007934FA"/>
    <w:rsid w:val="007D0C85"/>
    <w:rsid w:val="007D7F34"/>
    <w:rsid w:val="00830178"/>
    <w:rsid w:val="00844978"/>
    <w:rsid w:val="00876FE7"/>
    <w:rsid w:val="0088224A"/>
    <w:rsid w:val="008A56B9"/>
    <w:rsid w:val="008C2991"/>
    <w:rsid w:val="009268A3"/>
    <w:rsid w:val="009507F1"/>
    <w:rsid w:val="009575FB"/>
    <w:rsid w:val="00960975"/>
    <w:rsid w:val="00977157"/>
    <w:rsid w:val="009B45A6"/>
    <w:rsid w:val="009E6F0D"/>
    <w:rsid w:val="009F3AFE"/>
    <w:rsid w:val="00A444BB"/>
    <w:rsid w:val="00A458B2"/>
    <w:rsid w:val="00A464CA"/>
    <w:rsid w:val="00A47440"/>
    <w:rsid w:val="00A70107"/>
    <w:rsid w:val="00A742F4"/>
    <w:rsid w:val="00A811A6"/>
    <w:rsid w:val="00A961D3"/>
    <w:rsid w:val="00A97F58"/>
    <w:rsid w:val="00AA0501"/>
    <w:rsid w:val="00AC0405"/>
    <w:rsid w:val="00AD5751"/>
    <w:rsid w:val="00B073FE"/>
    <w:rsid w:val="00B107A3"/>
    <w:rsid w:val="00B3271F"/>
    <w:rsid w:val="00B32CB2"/>
    <w:rsid w:val="00B42450"/>
    <w:rsid w:val="00B713B8"/>
    <w:rsid w:val="00B71EE9"/>
    <w:rsid w:val="00B82049"/>
    <w:rsid w:val="00B904E3"/>
    <w:rsid w:val="00B974C2"/>
    <w:rsid w:val="00BC406F"/>
    <w:rsid w:val="00BD163D"/>
    <w:rsid w:val="00BF1F7A"/>
    <w:rsid w:val="00C015E6"/>
    <w:rsid w:val="00C3700E"/>
    <w:rsid w:val="00C5531E"/>
    <w:rsid w:val="00C71C88"/>
    <w:rsid w:val="00CA0703"/>
    <w:rsid w:val="00CC648A"/>
    <w:rsid w:val="00CF62F1"/>
    <w:rsid w:val="00D16151"/>
    <w:rsid w:val="00D17F10"/>
    <w:rsid w:val="00D237EE"/>
    <w:rsid w:val="00D46FF3"/>
    <w:rsid w:val="00D605CB"/>
    <w:rsid w:val="00D76DC0"/>
    <w:rsid w:val="00D77A88"/>
    <w:rsid w:val="00D957FB"/>
    <w:rsid w:val="00D97FA0"/>
    <w:rsid w:val="00DD7EC3"/>
    <w:rsid w:val="00DE130A"/>
    <w:rsid w:val="00E05470"/>
    <w:rsid w:val="00E325F8"/>
    <w:rsid w:val="00E33E40"/>
    <w:rsid w:val="00E423D2"/>
    <w:rsid w:val="00E464C0"/>
    <w:rsid w:val="00E54807"/>
    <w:rsid w:val="00E83102"/>
    <w:rsid w:val="00EA32AB"/>
    <w:rsid w:val="00EC192F"/>
    <w:rsid w:val="00EC2D82"/>
    <w:rsid w:val="00EC4503"/>
    <w:rsid w:val="00EE2D27"/>
    <w:rsid w:val="00EF2224"/>
    <w:rsid w:val="00F13BE5"/>
    <w:rsid w:val="00F230FF"/>
    <w:rsid w:val="00F44C36"/>
    <w:rsid w:val="00F56C72"/>
    <w:rsid w:val="00FA39C5"/>
    <w:rsid w:val="00FA7FE8"/>
    <w:rsid w:val="00FB3D94"/>
    <w:rsid w:val="00FB64AF"/>
    <w:rsid w:val="00FC514A"/>
    <w:rsid w:val="00FE27C8"/>
    <w:rsid w:val="00FE3A57"/>
    <w:rsid w:val="00FF472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6CA62F"/>
  <w15:docId w15:val="{CD97EB59-AB94-CC44-99BB-9A027C89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2"/>
      <w:lang w:val="en-GB" w:eastAsia="ar-SA"/>
    </w:rPr>
  </w:style>
  <w:style w:type="paragraph" w:styleId="Nadpis1">
    <w:name w:val="heading 1"/>
    <w:basedOn w:val="Normln"/>
    <w:next w:val="Nadpis2"/>
    <w:qFormat/>
    <w:pPr>
      <w:keepNext/>
      <w:numPr>
        <w:numId w:val="1"/>
      </w:numPr>
      <w:spacing w:before="240" w:after="60"/>
      <w:outlineLvl w:val="0"/>
    </w:pPr>
    <w:rPr>
      <w:b/>
      <w:i/>
      <w:kern w:val="1"/>
    </w:rPr>
  </w:style>
  <w:style w:type="paragraph" w:styleId="Nadpis2">
    <w:name w:val="heading 2"/>
    <w:aliases w:val="Lev 2"/>
    <w:basedOn w:val="Normln"/>
    <w:next w:val="Zkladntext"/>
    <w:qFormat/>
    <w:pPr>
      <w:numPr>
        <w:ilvl w:val="1"/>
        <w:numId w:val="1"/>
      </w:numPr>
      <w:spacing w:before="240" w:after="60"/>
      <w:outlineLvl w:val="1"/>
    </w:pPr>
  </w:style>
  <w:style w:type="paragraph" w:styleId="Nadpis3">
    <w:name w:val="heading 3"/>
    <w:basedOn w:val="Normln"/>
    <w:next w:val="Zkladntext"/>
    <w:qFormat/>
    <w:pPr>
      <w:numPr>
        <w:ilvl w:val="2"/>
        <w:numId w:val="1"/>
      </w:numPr>
      <w:spacing w:before="240" w:after="60"/>
      <w:outlineLvl w:val="2"/>
    </w:pPr>
  </w:style>
  <w:style w:type="paragraph" w:styleId="Nadpis4">
    <w:name w:val="heading 4"/>
    <w:basedOn w:val="Normln"/>
    <w:next w:val="Zkladntext"/>
    <w:qFormat/>
    <w:pPr>
      <w:numPr>
        <w:ilvl w:val="3"/>
        <w:numId w:val="1"/>
      </w:numPr>
      <w:spacing w:before="240" w:after="60"/>
      <w:outlineLvl w:val="3"/>
    </w:pPr>
  </w:style>
  <w:style w:type="paragraph" w:styleId="Nadpis5">
    <w:name w:val="heading 5"/>
    <w:basedOn w:val="Normln"/>
    <w:next w:val="Zkladntext"/>
    <w:qFormat/>
    <w:pPr>
      <w:numPr>
        <w:numId w:val="3"/>
      </w:numPr>
      <w:spacing w:before="240" w:after="60"/>
      <w:outlineLvl w:val="4"/>
    </w:pPr>
  </w:style>
  <w:style w:type="paragraph" w:styleId="Nadpis6">
    <w:name w:val="heading 6"/>
    <w:basedOn w:val="Normln"/>
    <w:next w:val="Normln"/>
    <w:qFormat/>
    <w:pPr>
      <w:numPr>
        <w:ilvl w:val="5"/>
        <w:numId w:val="1"/>
      </w:numPr>
      <w:spacing w:before="240" w:after="240"/>
      <w:ind w:left="1151" w:hanging="1151"/>
      <w:outlineLvl w:val="5"/>
    </w:p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Pr>
      <w:rFonts w:ascii="Symbol" w:hAnsi="Symbol"/>
    </w:rPr>
  </w:style>
  <w:style w:type="character" w:customStyle="1" w:styleId="WW8Num9z0">
    <w:name w:val="WW8Num9z0"/>
    <w:rPr>
      <w:rFonts w:ascii="Symbol" w:hAnsi="Symbol"/>
    </w:rPr>
  </w:style>
  <w:style w:type="character" w:customStyle="1" w:styleId="WW8Num13z0">
    <w:name w:val="WW8Num13z0"/>
    <w:rPr>
      <w:b w:val="0"/>
      <w:u w:val="none"/>
    </w:rPr>
  </w:style>
  <w:style w:type="character" w:customStyle="1" w:styleId="WW8Num19z0">
    <w:name w:val="WW8Num19z0"/>
    <w:rPr>
      <w:b/>
    </w:rPr>
  </w:style>
  <w:style w:type="character" w:customStyle="1" w:styleId="WW8Num23z2">
    <w:name w:val="WW8Num23z2"/>
    <w:rPr>
      <w:rFonts w:cs="Times New Roman"/>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andardnpsmoodstavce1">
    <w:name w:val="Standardní písmo odstavce1"/>
  </w:style>
  <w:style w:type="character" w:styleId="slostrnky">
    <w:name w:val="page number"/>
    <w:basedOn w:val="Standardnpsmoodstavce1"/>
  </w:style>
  <w:style w:type="character" w:customStyle="1" w:styleId="platne1">
    <w:name w:val="platne1"/>
    <w:basedOn w:val="Standardnpsmoodstavce1"/>
  </w:style>
  <w:style w:type="character" w:styleId="Siln">
    <w:name w:val="Strong"/>
    <w:basedOn w:val="Standardnpsmoodstavce1"/>
    <w:qFormat/>
    <w:rPr>
      <w:b/>
      <w:bCs/>
    </w:rPr>
  </w:style>
  <w:style w:type="character" w:customStyle="1" w:styleId="Odkaznakoment1">
    <w:name w:val="Odkaz na komentář1"/>
    <w:basedOn w:val="Standardnpsmoodstavce1"/>
    <w:rPr>
      <w:sz w:val="16"/>
      <w:szCs w:val="16"/>
    </w:rPr>
  </w:style>
  <w:style w:type="character" w:customStyle="1" w:styleId="TextkomenteChar">
    <w:name w:val="Text komentáře Char"/>
    <w:basedOn w:val="Standardnpsmoodstavce1"/>
    <w:rPr>
      <w:lang w:val="en-GB"/>
    </w:rPr>
  </w:style>
  <w:style w:type="character" w:customStyle="1" w:styleId="PedmtkomenteChar">
    <w:name w:val="Předmět komentáře Char"/>
    <w:basedOn w:val="TextkomenteChar"/>
    <w:rPr>
      <w:b/>
      <w:bCs/>
      <w:lang w:val="en-GB"/>
    </w:rPr>
  </w:style>
  <w:style w:type="character" w:customStyle="1" w:styleId="TextbublinyChar">
    <w:name w:val="Text bubliny Char"/>
    <w:basedOn w:val="Standardnpsmoodstavce1"/>
    <w:rPr>
      <w:rFonts w:ascii="Tahoma" w:hAnsi="Tahoma" w:cs="Tahoma"/>
      <w:sz w:val="16"/>
      <w:szCs w:val="16"/>
      <w:lang w:val="en-GB"/>
    </w:rPr>
  </w:style>
  <w:style w:type="character" w:customStyle="1" w:styleId="Nadpis1Char">
    <w:name w:val="Nadpis 1 Char"/>
    <w:basedOn w:val="Standardnpsmoodstavce1"/>
    <w:rPr>
      <w:b/>
      <w:i/>
      <w:kern w:val="1"/>
      <w:sz w:val="22"/>
      <w:lang w:val="en-GB"/>
    </w:rPr>
  </w:style>
  <w:style w:type="character" w:customStyle="1" w:styleId="Nadpis2Char">
    <w:name w:val="Nadpis 2 Char"/>
    <w:basedOn w:val="Standardnpsmoodstavce1"/>
    <w:rPr>
      <w:sz w:val="22"/>
      <w:lang w:val="en-GB"/>
    </w:rPr>
  </w:style>
  <w:style w:type="character" w:customStyle="1" w:styleId="ZhlavChar">
    <w:name w:val="Záhlaví Char"/>
    <w:basedOn w:val="Standardnpsmoodstavce1"/>
    <w:rPr>
      <w:sz w:val="24"/>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ptenadresanaoblku">
    <w:name w:val="envelope return"/>
    <w:basedOn w:val="Normln"/>
  </w:style>
  <w:style w:type="paragraph" w:customStyle="1" w:styleId="Normlnodsazen1">
    <w:name w:val="Normální odsazený1"/>
    <w:basedOn w:val="Normln"/>
    <w:pPr>
      <w:spacing w:after="240"/>
      <w:ind w:left="1134"/>
    </w:pPr>
  </w:style>
  <w:style w:type="paragraph" w:styleId="Zpat">
    <w:name w:val="footer"/>
    <w:basedOn w:val="Normln"/>
    <w:pPr>
      <w:tabs>
        <w:tab w:val="center" w:pos="4536"/>
        <w:tab w:val="right" w:pos="9072"/>
      </w:tabs>
    </w:pPr>
  </w:style>
  <w:style w:type="paragraph" w:styleId="Obsah2">
    <w:name w:val="toc 2"/>
    <w:basedOn w:val="Normln"/>
    <w:next w:val="Normln"/>
    <w:pPr>
      <w:spacing w:before="120"/>
      <w:ind w:left="220"/>
    </w:pPr>
    <w:rPr>
      <w:b/>
    </w:rPr>
  </w:style>
  <w:style w:type="paragraph" w:styleId="Obsah1">
    <w:name w:val="toc 1"/>
    <w:basedOn w:val="Normln"/>
    <w:next w:val="Normln"/>
    <w:pPr>
      <w:spacing w:before="120"/>
    </w:pPr>
    <w:rPr>
      <w:b/>
      <w:i/>
      <w:sz w:val="24"/>
    </w:rPr>
  </w:style>
  <w:style w:type="paragraph" w:styleId="Obsah9">
    <w:name w:val="toc 9"/>
    <w:basedOn w:val="Normln"/>
    <w:next w:val="Normln"/>
  </w:style>
  <w:style w:type="paragraph" w:styleId="Obsah3">
    <w:name w:val="toc 3"/>
    <w:basedOn w:val="Normln"/>
    <w:next w:val="Normln"/>
    <w:pPr>
      <w:ind w:left="440"/>
    </w:pPr>
    <w:rPr>
      <w:sz w:val="20"/>
    </w:rPr>
  </w:style>
  <w:style w:type="paragraph" w:styleId="Obsah4">
    <w:name w:val="toc 4"/>
    <w:basedOn w:val="Normln"/>
    <w:next w:val="Normln"/>
    <w:pPr>
      <w:ind w:left="660"/>
    </w:pPr>
    <w:rPr>
      <w:sz w:val="20"/>
    </w:rPr>
  </w:style>
  <w:style w:type="paragraph" w:styleId="Obsah5">
    <w:name w:val="toc 5"/>
    <w:basedOn w:val="Normln"/>
    <w:next w:val="Normln"/>
    <w:pPr>
      <w:ind w:left="880"/>
    </w:pPr>
    <w:rPr>
      <w:sz w:val="20"/>
    </w:rPr>
  </w:style>
  <w:style w:type="paragraph" w:styleId="Obsah6">
    <w:name w:val="toc 6"/>
    <w:basedOn w:val="Normln"/>
    <w:next w:val="Normln"/>
    <w:pPr>
      <w:ind w:left="1100"/>
    </w:pPr>
    <w:rPr>
      <w:sz w:val="20"/>
    </w:rPr>
  </w:style>
  <w:style w:type="paragraph" w:styleId="Obsah7">
    <w:name w:val="toc 7"/>
    <w:basedOn w:val="Normln"/>
    <w:next w:val="Normln"/>
    <w:pPr>
      <w:ind w:left="1320"/>
    </w:pPr>
    <w:rPr>
      <w:sz w:val="20"/>
    </w:rPr>
  </w:style>
  <w:style w:type="paragraph" w:styleId="Obsah8">
    <w:name w:val="toc 8"/>
    <w:basedOn w:val="Normln"/>
    <w:next w:val="Normln"/>
    <w:pPr>
      <w:ind w:left="1540"/>
    </w:pPr>
    <w:rPr>
      <w:sz w:val="20"/>
    </w:rPr>
  </w:style>
  <w:style w:type="paragraph" w:customStyle="1" w:styleId="slovanseznam51">
    <w:name w:val="Číslovaný seznam 51"/>
    <w:basedOn w:val="Normln"/>
    <w:pPr>
      <w:numPr>
        <w:numId w:val="2"/>
      </w:numPr>
    </w:pPr>
  </w:style>
  <w:style w:type="paragraph" w:customStyle="1" w:styleId="Rozvrendokumentu1">
    <w:name w:val="Rozvržení dokumentu1"/>
    <w:basedOn w:val="Normln"/>
    <w:pPr>
      <w:shd w:val="clear" w:color="auto" w:fill="000080"/>
    </w:pPr>
    <w:rPr>
      <w:rFonts w:ascii="Tahoma" w:hAnsi="Tahoma"/>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5103"/>
        <w:tab w:val="right" w:pos="9639"/>
      </w:tabs>
      <w:ind w:left="567"/>
      <w:jc w:val="both"/>
    </w:pPr>
    <w:rPr>
      <w:sz w:val="24"/>
      <w:lang w:val="cs-CZ"/>
    </w:rPr>
  </w:style>
  <w:style w:type="paragraph" w:customStyle="1" w:styleId="Sheading1">
    <w:name w:val="S_heading 1"/>
    <w:next w:val="Normln"/>
    <w:pPr>
      <w:numPr>
        <w:numId w:val="4"/>
      </w:numPr>
      <w:suppressAutoHyphens/>
      <w:spacing w:before="120" w:after="60" w:line="280" w:lineRule="atLeast"/>
    </w:pPr>
    <w:rPr>
      <w:rFonts w:ascii="Verdana" w:eastAsia="Arial" w:hAnsi="Verdana"/>
      <w:b/>
      <w:lang w:val="de-AT" w:eastAsia="ar-SA"/>
    </w:rPr>
  </w:style>
  <w:style w:type="paragraph" w:customStyle="1" w:styleId="Sheading2">
    <w:name w:val="S_heading 2"/>
    <w:next w:val="Stext2"/>
    <w:pPr>
      <w:tabs>
        <w:tab w:val="num" w:pos="680"/>
      </w:tabs>
      <w:suppressAutoHyphens/>
      <w:spacing w:before="120" w:after="60" w:line="280" w:lineRule="atLeast"/>
      <w:ind w:left="680" w:hanging="680"/>
    </w:pPr>
    <w:rPr>
      <w:rFonts w:ascii="Verdana" w:eastAsia="Arial" w:hAnsi="Verdana"/>
      <w:lang w:val="de-AT" w:eastAsia="ar-SA"/>
    </w:rPr>
  </w:style>
  <w:style w:type="paragraph" w:customStyle="1" w:styleId="Sheading3">
    <w:name w:val="S_heading 3"/>
    <w:next w:val="Normln"/>
    <w:pPr>
      <w:tabs>
        <w:tab w:val="num" w:pos="680"/>
      </w:tabs>
      <w:suppressAutoHyphens/>
      <w:spacing w:before="120" w:after="60" w:line="280" w:lineRule="atLeast"/>
      <w:ind w:left="680" w:hanging="680"/>
    </w:pPr>
    <w:rPr>
      <w:rFonts w:ascii="Verdana" w:eastAsia="Arial" w:hAnsi="Verdana"/>
      <w:lang w:val="de-AT" w:eastAsia="ar-SA"/>
    </w:rPr>
  </w:style>
  <w:style w:type="paragraph" w:customStyle="1" w:styleId="Sheading4">
    <w:name w:val="S_heading 4"/>
    <w:next w:val="Normln"/>
    <w:pPr>
      <w:tabs>
        <w:tab w:val="num" w:pos="680"/>
      </w:tabs>
      <w:suppressAutoHyphens/>
      <w:spacing w:before="120" w:after="60" w:line="280" w:lineRule="atLeast"/>
      <w:ind w:left="680" w:hanging="680"/>
    </w:pPr>
    <w:rPr>
      <w:rFonts w:ascii="Verdana" w:eastAsia="Arial" w:hAnsi="Verdana"/>
      <w:lang w:val="de-AT" w:eastAsia="ar-SA"/>
    </w:rPr>
  </w:style>
  <w:style w:type="paragraph" w:customStyle="1" w:styleId="Sheading5">
    <w:name w:val="S_heading 5"/>
    <w:next w:val="Normln"/>
    <w:pPr>
      <w:tabs>
        <w:tab w:val="num" w:pos="680"/>
      </w:tabs>
      <w:suppressAutoHyphens/>
      <w:spacing w:before="120" w:after="60" w:line="280" w:lineRule="atLeast"/>
      <w:ind w:left="680" w:hanging="680"/>
    </w:pPr>
    <w:rPr>
      <w:rFonts w:ascii="Verdana" w:eastAsia="Arial" w:hAnsi="Verdana"/>
      <w:lang w:val="de-AT" w:eastAsia="ar-SA"/>
    </w:rPr>
  </w:style>
  <w:style w:type="paragraph" w:customStyle="1" w:styleId="Stext2">
    <w:name w:val="S_text 2"/>
    <w:basedOn w:val="Normln"/>
    <w:pPr>
      <w:tabs>
        <w:tab w:val="left" w:pos="1360"/>
      </w:tabs>
      <w:spacing w:before="120" w:after="60" w:line="280" w:lineRule="atLeast"/>
      <w:ind w:left="680"/>
      <w:jc w:val="both"/>
    </w:pPr>
    <w:rPr>
      <w:rFonts w:ascii="Verdana" w:hAnsi="Verdana"/>
      <w:sz w:val="20"/>
      <w:lang w:val="de-AT"/>
    </w:rPr>
  </w:style>
  <w:style w:type="paragraph" w:customStyle="1" w:styleId="Obsahrmce">
    <w:name w:val="Obsah rámce"/>
    <w:basedOn w:val="Zkladntext"/>
  </w:style>
  <w:style w:type="paragraph" w:customStyle="1" w:styleId="Styl10bTunzarovnnnasted">
    <w:name w:val="Styl 10 b. Tučné zarovnání na střed"/>
    <w:basedOn w:val="Normln"/>
    <w:rsid w:val="007934FA"/>
    <w:pPr>
      <w:numPr>
        <w:numId w:val="12"/>
      </w:numPr>
      <w:suppressAutoHyphens w:val="0"/>
    </w:pPr>
    <w:rPr>
      <w:rFonts w:ascii="Arial" w:hAnsi="Arial"/>
      <w:b/>
      <w:bCs/>
      <w:sz w:val="20"/>
      <w:lang w:val="cs-CZ" w:eastAsia="cs-CZ"/>
    </w:rPr>
  </w:style>
  <w:style w:type="paragraph" w:customStyle="1" w:styleId="StylStyl10bTunzarovnnnastedDoleva">
    <w:name w:val="Styl Styl 10 b. Tučné zarovnání na střed + Doleva"/>
    <w:basedOn w:val="Styl10bTunzarovnnnasted"/>
    <w:rsid w:val="007934FA"/>
  </w:style>
  <w:style w:type="paragraph" w:styleId="Zkladntextodsazen">
    <w:name w:val="Body Text Indent"/>
    <w:basedOn w:val="Normln"/>
    <w:link w:val="ZkladntextodsazenChar"/>
    <w:uiPriority w:val="99"/>
    <w:semiHidden/>
    <w:unhideWhenUsed/>
    <w:rsid w:val="006C4467"/>
    <w:pPr>
      <w:spacing w:after="120"/>
      <w:ind w:left="283"/>
    </w:pPr>
  </w:style>
  <w:style w:type="character" w:customStyle="1" w:styleId="ZkladntextodsazenChar">
    <w:name w:val="Základní text odsazený Char"/>
    <w:basedOn w:val="Standardnpsmoodstavce"/>
    <w:link w:val="Zkladntextodsazen"/>
    <w:uiPriority w:val="99"/>
    <w:semiHidden/>
    <w:rsid w:val="006C4467"/>
    <w:rPr>
      <w:sz w:val="22"/>
      <w:lang w:val="en-GB" w:eastAsia="ar-SA"/>
    </w:rPr>
  </w:style>
  <w:style w:type="paragraph" w:styleId="Textpoznpodarou">
    <w:name w:val="footnote text"/>
    <w:basedOn w:val="Normln"/>
    <w:link w:val="TextpoznpodarouChar"/>
    <w:uiPriority w:val="99"/>
    <w:unhideWhenUsed/>
    <w:rsid w:val="005A09AE"/>
    <w:pPr>
      <w:suppressAutoHyphens w:val="0"/>
    </w:pPr>
    <w:rPr>
      <w:sz w:val="20"/>
      <w:lang w:val="cs-CZ" w:eastAsia="cs-CZ"/>
    </w:rPr>
  </w:style>
  <w:style w:type="character" w:customStyle="1" w:styleId="TextpoznpodarouChar">
    <w:name w:val="Text pozn. pod čarou Char"/>
    <w:basedOn w:val="Standardnpsmoodstavce"/>
    <w:link w:val="Textpoznpodarou"/>
    <w:uiPriority w:val="99"/>
    <w:rsid w:val="005A09AE"/>
  </w:style>
  <w:style w:type="character" w:styleId="Znakapoznpodarou">
    <w:name w:val="footnote reference"/>
    <w:basedOn w:val="Standardnpsmoodstavce"/>
    <w:uiPriority w:val="99"/>
    <w:semiHidden/>
    <w:unhideWhenUsed/>
    <w:rsid w:val="005A09AE"/>
    <w:rPr>
      <w:vertAlign w:val="superscript"/>
    </w:rPr>
  </w:style>
  <w:style w:type="character" w:styleId="Odkaznakoment">
    <w:name w:val="annotation reference"/>
    <w:basedOn w:val="Standardnpsmoodstavce"/>
    <w:uiPriority w:val="99"/>
    <w:semiHidden/>
    <w:unhideWhenUsed/>
    <w:rsid w:val="005A09AE"/>
    <w:rPr>
      <w:sz w:val="16"/>
      <w:szCs w:val="16"/>
    </w:rPr>
  </w:style>
  <w:style w:type="paragraph" w:styleId="Textkomente">
    <w:name w:val="annotation text"/>
    <w:basedOn w:val="Normln"/>
    <w:link w:val="TextkomenteChar1"/>
    <w:uiPriority w:val="99"/>
    <w:semiHidden/>
    <w:unhideWhenUsed/>
    <w:rsid w:val="005A09AE"/>
    <w:rPr>
      <w:sz w:val="20"/>
    </w:rPr>
  </w:style>
  <w:style w:type="character" w:customStyle="1" w:styleId="TextkomenteChar1">
    <w:name w:val="Text komentáře Char1"/>
    <w:basedOn w:val="Standardnpsmoodstavce"/>
    <w:link w:val="Textkomente"/>
    <w:uiPriority w:val="99"/>
    <w:semiHidden/>
    <w:rsid w:val="005A09AE"/>
    <w:rPr>
      <w:lang w:val="en-GB" w:eastAsia="ar-SA"/>
    </w:rPr>
  </w:style>
  <w:style w:type="paragraph" w:styleId="Revize">
    <w:name w:val="Revision"/>
    <w:hidden/>
    <w:uiPriority w:val="99"/>
    <w:semiHidden/>
    <w:rsid w:val="005A09AE"/>
    <w:rPr>
      <w:sz w:val="22"/>
      <w:lang w:val="en-GB" w:eastAsia="ar-SA"/>
    </w:rPr>
  </w:style>
  <w:style w:type="character" w:styleId="Hypertextovodkaz">
    <w:name w:val="Hyperlink"/>
    <w:basedOn w:val="Standardnpsmoodstavce"/>
    <w:uiPriority w:val="99"/>
    <w:unhideWhenUsed/>
    <w:rsid w:val="00B71EE9"/>
    <w:rPr>
      <w:color w:val="0000FF" w:themeColor="hyperlink"/>
      <w:u w:val="single"/>
    </w:rPr>
  </w:style>
  <w:style w:type="character" w:styleId="PsacstrojHTML">
    <w:name w:val="HTML Typewriter"/>
    <w:basedOn w:val="Standardnpsmoodstavce"/>
    <w:uiPriority w:val="99"/>
    <w:rsid w:val="00B974C2"/>
    <w:rPr>
      <w:rFonts w:ascii="Courier New" w:hAnsi="Courier Ne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39377">
      <w:bodyDiv w:val="1"/>
      <w:marLeft w:val="0"/>
      <w:marRight w:val="0"/>
      <w:marTop w:val="0"/>
      <w:marBottom w:val="0"/>
      <w:divBdr>
        <w:top w:val="none" w:sz="0" w:space="0" w:color="auto"/>
        <w:left w:val="none" w:sz="0" w:space="0" w:color="auto"/>
        <w:bottom w:val="none" w:sz="0" w:space="0" w:color="auto"/>
        <w:right w:val="none" w:sz="0" w:space="0" w:color="auto"/>
      </w:divBdr>
    </w:div>
    <w:div w:id="518203260">
      <w:bodyDiv w:val="1"/>
      <w:marLeft w:val="0"/>
      <w:marRight w:val="0"/>
      <w:marTop w:val="0"/>
      <w:marBottom w:val="0"/>
      <w:divBdr>
        <w:top w:val="none" w:sz="0" w:space="0" w:color="auto"/>
        <w:left w:val="none" w:sz="0" w:space="0" w:color="auto"/>
        <w:bottom w:val="none" w:sz="0" w:space="0" w:color="auto"/>
        <w:right w:val="none" w:sz="0" w:space="0" w:color="auto"/>
      </w:divBdr>
    </w:div>
    <w:div w:id="902300806">
      <w:bodyDiv w:val="1"/>
      <w:marLeft w:val="0"/>
      <w:marRight w:val="0"/>
      <w:marTop w:val="0"/>
      <w:marBottom w:val="0"/>
      <w:divBdr>
        <w:top w:val="none" w:sz="0" w:space="0" w:color="auto"/>
        <w:left w:val="none" w:sz="0" w:space="0" w:color="auto"/>
        <w:bottom w:val="none" w:sz="0" w:space="0" w:color="auto"/>
        <w:right w:val="none" w:sz="0" w:space="0" w:color="auto"/>
      </w:divBdr>
    </w:div>
    <w:div w:id="1350447607">
      <w:bodyDiv w:val="1"/>
      <w:marLeft w:val="0"/>
      <w:marRight w:val="0"/>
      <w:marTop w:val="0"/>
      <w:marBottom w:val="0"/>
      <w:divBdr>
        <w:top w:val="none" w:sz="0" w:space="0" w:color="auto"/>
        <w:left w:val="none" w:sz="0" w:space="0" w:color="auto"/>
        <w:bottom w:val="none" w:sz="0" w:space="0" w:color="auto"/>
        <w:right w:val="none" w:sz="0" w:space="0" w:color="auto"/>
      </w:divBdr>
    </w:div>
    <w:div w:id="1518740112">
      <w:bodyDiv w:val="1"/>
      <w:marLeft w:val="0"/>
      <w:marRight w:val="0"/>
      <w:marTop w:val="0"/>
      <w:marBottom w:val="0"/>
      <w:divBdr>
        <w:top w:val="none" w:sz="0" w:space="0" w:color="auto"/>
        <w:left w:val="none" w:sz="0" w:space="0" w:color="auto"/>
        <w:bottom w:val="none" w:sz="0" w:space="0" w:color="auto"/>
        <w:right w:val="none" w:sz="0" w:space="0" w:color="auto"/>
      </w:divBdr>
    </w:div>
    <w:div w:id="1660427198">
      <w:bodyDiv w:val="1"/>
      <w:marLeft w:val="0"/>
      <w:marRight w:val="0"/>
      <w:marTop w:val="0"/>
      <w:marBottom w:val="0"/>
      <w:divBdr>
        <w:top w:val="none" w:sz="0" w:space="0" w:color="auto"/>
        <w:left w:val="none" w:sz="0" w:space="0" w:color="auto"/>
        <w:bottom w:val="none" w:sz="0" w:space="0" w:color="auto"/>
        <w:right w:val="none" w:sz="0" w:space="0" w:color="auto"/>
      </w:divBdr>
      <w:divsChild>
        <w:div w:id="1861117735">
          <w:marLeft w:val="0"/>
          <w:marRight w:val="0"/>
          <w:marTop w:val="0"/>
          <w:marBottom w:val="0"/>
          <w:divBdr>
            <w:top w:val="none" w:sz="0" w:space="0" w:color="auto"/>
            <w:left w:val="none" w:sz="0" w:space="0" w:color="auto"/>
            <w:bottom w:val="none" w:sz="0" w:space="0" w:color="auto"/>
            <w:right w:val="none" w:sz="0" w:space="0" w:color="auto"/>
          </w:divBdr>
        </w:div>
      </w:divsChild>
    </w:div>
    <w:div w:id="18658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6218-EC3E-4078-AA3B-A47BEA38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1976</Words>
  <Characters>11661</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 O SPOLUPRÁCI</vt:lpstr>
      <vt:lpstr>RÁMCOVÁ SMLOUVA O SPOLUPRÁCI</vt:lpstr>
    </vt:vector>
  </TitlesOfParts>
  <Company>Microsoft</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SPOLUPRÁCI</dc:title>
  <dc:creator>Daniel Kaplan</dc:creator>
  <cp:lastModifiedBy>Elektro tsnj</cp:lastModifiedBy>
  <cp:revision>2</cp:revision>
  <cp:lastPrinted>2024-12-06T09:56:00Z</cp:lastPrinted>
  <dcterms:created xsi:type="dcterms:W3CDTF">2024-12-20T09:06:00Z</dcterms:created>
  <dcterms:modified xsi:type="dcterms:W3CDTF">2024-12-20T09:06:00Z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477347</vt:i4>
  </property>
  <property fmtid="{D5CDD505-2E9C-101B-9397-08002B2CF9AE}" pid="3" name="Spis">
    <vt:bool>true</vt:bool>
  </property>
</Properties>
</file>