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0A" w:rsidRDefault="00D30B0A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Dodatek č. 1 ke </w:t>
      </w:r>
    </w:p>
    <w:p w:rsidR="00C86A2B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</w:t>
      </w:r>
      <w:r w:rsidR="00D30B0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Ě</w:t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O DÍLO</w:t>
      </w:r>
      <w:r w:rsidR="00D30B0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D30B0A" w:rsidRDefault="00C86A2B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z</w:t>
      </w:r>
      <w:r w:rsidR="00D30B0A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e 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13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.11.2024</w:t>
      </w:r>
    </w:p>
    <w:p w:rsidR="00B85BDC" w:rsidRPr="00B85BDC" w:rsidRDefault="00D30B0A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="002810D8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12F5B">
        <w:rPr>
          <w:rFonts w:ascii="Helvetica" w:eastAsia="Times New Roman" w:hAnsi="Helvetica" w:cs="Times New Roman"/>
          <w:sz w:val="20"/>
          <w:szCs w:val="20"/>
          <w:lang w:eastAsia="cs-CZ"/>
        </w:rPr>
        <w:t>xxxxxxxxxxxx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12F5B">
        <w:rPr>
          <w:rFonts w:ascii="Helvetica" w:eastAsia="Times New Roman" w:hAnsi="Helvetica" w:cs="Times New Roman"/>
          <w:sz w:val="20"/>
          <w:szCs w:val="20"/>
          <w:lang w:eastAsia="cs-CZ"/>
        </w:rPr>
        <w:t>xxxxxxxxxxxxxx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r w:rsidR="00B12F5B">
        <w:rPr>
          <w:rFonts w:ascii="Helvetica" w:eastAsia="Times New Roman" w:hAnsi="Helvetica" w:cs="Times New Roman"/>
          <w:sz w:val="20"/>
          <w:szCs w:val="20"/>
          <w:lang w:eastAsia="cs-CZ"/>
        </w:rPr>
        <w:t>xxxxxxxxxxxxxx</w:t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DRACO Praha s.r.o.</w:t>
      </w:r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Odlehlá 790/31, 190 00 Praha 9</w:t>
      </w:r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>Ing. Jolana Neradová Bydžovská</w:t>
      </w:r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618 56 789</w:t>
      </w:r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CZ61856789</w:t>
      </w:r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12F5B">
        <w:rPr>
          <w:rFonts w:ascii="Helvetica" w:eastAsia="Times New Roman" w:hAnsi="Helvetica" w:cs="Times New Roman"/>
          <w:sz w:val="20"/>
          <w:szCs w:val="20"/>
          <w:lang w:eastAsia="cs-CZ"/>
        </w:rPr>
        <w:t>xxxx</w:t>
      </w:r>
      <w:proofErr w:type="spellEnd"/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12F5B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12F5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proofErr w:type="spellStart"/>
      <w:r w:rsidR="00B12F5B">
        <w:rPr>
          <w:rFonts w:ascii="Helvetica" w:eastAsia="Times New Roman" w:hAnsi="Helvetica" w:cs="Times New Roman"/>
          <w:sz w:val="20"/>
          <w:szCs w:val="20"/>
          <w:lang w:eastAsia="cs-CZ"/>
        </w:rPr>
        <w:t>xxxxxxxxxxxxx</w:t>
      </w:r>
      <w:proofErr w:type="spellEnd"/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C86A2B" w:rsidRPr="00C86A2B" w:rsidRDefault="00C86A2B" w:rsidP="00C86A2B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C86A2B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12F5B">
        <w:rPr>
          <w:rFonts w:ascii="Helvetica" w:eastAsia="Times New Roman" w:hAnsi="Helvetica" w:cs="Times New Roman"/>
          <w:sz w:val="20"/>
          <w:szCs w:val="20"/>
          <w:lang w:eastAsia="cs-CZ"/>
        </w:rPr>
        <w:t>xxxxxxxxxxxx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uzavírají následující </w:t>
      </w:r>
      <w:r w:rsidR="002F1EC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Dodatek č. 1 ke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Smlouv</w:t>
      </w:r>
      <w:r w:rsidR="002F1EC7">
        <w:rPr>
          <w:rFonts w:ascii="Helvetica" w:eastAsia="Times New Roman" w:hAnsi="Helvetica" w:cs="Times New Roman"/>
          <w:sz w:val="20"/>
          <w:szCs w:val="20"/>
          <w:lang w:eastAsia="cs-CZ"/>
        </w:rPr>
        <w:t>ě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 dílo</w:t>
      </w:r>
      <w:r w:rsidR="002F1EC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ze dne </w:t>
      </w:r>
      <w:r w:rsidR="00C86A2B">
        <w:rPr>
          <w:rFonts w:ascii="Helvetica" w:eastAsia="Times New Roman" w:hAnsi="Helvetica" w:cs="Times New Roman"/>
          <w:sz w:val="20"/>
          <w:szCs w:val="20"/>
          <w:lang w:eastAsia="cs-CZ"/>
        </w:rPr>
        <w:t>13.</w:t>
      </w:r>
      <w:r w:rsidR="002F1EC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11.2024 s předmětem plnění </w:t>
      </w:r>
      <w:r w:rsidR="00C86A2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Výměna a doplnění podhledů </w:t>
      </w:r>
      <w:r w:rsidR="002F1EC7">
        <w:rPr>
          <w:rFonts w:ascii="Helvetica" w:eastAsia="Times New Roman" w:hAnsi="Helvetica" w:cs="Times New Roman"/>
          <w:sz w:val="20"/>
          <w:szCs w:val="20"/>
          <w:lang w:eastAsia="cs-CZ"/>
        </w:rPr>
        <w:t>(dále také jen „Smlouva“)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193667" w:rsidRDefault="00193667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93667" w:rsidRPr="00193667" w:rsidRDefault="00193667" w:rsidP="00193667">
      <w:pPr>
        <w:pStyle w:val="Odstavecseseznamem"/>
        <w:numPr>
          <w:ilvl w:val="0"/>
          <w:numId w:val="5"/>
        </w:num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936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dodatku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2F1EC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strany se dohodly na změně znění čl. IV 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Smlouvy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 důvodu skutečností zjištěných po zahájení plnění díla. Po </w:t>
      </w:r>
      <w:r w:rsidR="00C86A2B">
        <w:rPr>
          <w:rFonts w:ascii="Helvetica" w:eastAsia="Times New Roman" w:hAnsi="Helvetica" w:cs="Times New Roman"/>
          <w:sz w:val="20"/>
          <w:szCs w:val="20"/>
          <w:lang w:eastAsia="cs-CZ"/>
        </w:rPr>
        <w:t>zahájení montáže byla provedena kontrola stávajícího systému EPS jeho zhotovitelem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C86A2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 proměření podhledů je nutné zpracovat odborné stanovisko PBŘ autorizovanou osobou, jelikož pozice podhledů je v kolizi se stávajícím systémem EPS</w:t>
      </w:r>
    </w:p>
    <w:p w:rsidR="002F1EC7" w:rsidRDefault="002F1EC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2F1EC7" w:rsidRPr="00193667" w:rsidRDefault="002F1EC7" w:rsidP="00193667">
      <w:pPr>
        <w:pStyle w:val="Odstavecseseznamem"/>
        <w:numPr>
          <w:ilvl w:val="1"/>
          <w:numId w:val="5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1936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strany se dohodly, že čl. IV. Smlouvy nově zní takto: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C9373F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C86A2B">
        <w:rPr>
          <w:rFonts w:ascii="Helvetica" w:eastAsia="Times New Roman" w:hAnsi="Helvetica" w:cs="Times New Roman"/>
          <w:sz w:val="20"/>
          <w:szCs w:val="20"/>
          <w:lang w:eastAsia="cs-CZ"/>
        </w:rPr>
        <w:t>8</w:t>
      </w:r>
      <w:r w:rsidR="00C9373F">
        <w:rPr>
          <w:rFonts w:ascii="Helvetica" w:eastAsia="Times New Roman" w:hAnsi="Helvetica" w:cs="Times New Roman"/>
          <w:sz w:val="20"/>
          <w:szCs w:val="20"/>
          <w:lang w:eastAsia="cs-CZ"/>
        </w:rPr>
        <w:t>.11.2024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75242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28</w:t>
      </w:r>
      <w:r w:rsidR="00CE1D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2.</w:t>
      </w:r>
      <w:r w:rsidR="00CE1D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202</w:t>
      </w:r>
      <w:r w:rsidR="002F1EC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</w:t>
      </w:r>
      <w:r w:rsidR="0075242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93667" w:rsidRPr="00193667" w:rsidRDefault="00193667" w:rsidP="00193667">
      <w:pPr>
        <w:pStyle w:val="Odstavecseseznamem"/>
        <w:numPr>
          <w:ilvl w:val="1"/>
          <w:numId w:val="5"/>
        </w:numPr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1936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Vyjma ujednání dle předchozích odstavců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se ostatní ustanovení Smlouvy nemění</w:t>
      </w:r>
      <w:r w:rsidRPr="00193667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193667" w:rsidRDefault="00B85BDC" w:rsidP="00193667">
      <w:pPr>
        <w:pStyle w:val="Odstavecseseznamem"/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193667" w:rsidRDefault="00B85BDC" w:rsidP="00193667">
      <w:pPr>
        <w:pStyle w:val="Odstavecseseznamem"/>
        <w:keepNext/>
        <w:numPr>
          <w:ilvl w:val="0"/>
          <w:numId w:val="5"/>
        </w:numPr>
        <w:spacing w:before="0" w:line="240" w:lineRule="auto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19366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>Tento Dodatek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sepsán ve 2 vyhotoveních s platností originálu, z nichž zhotovitel obdrží 1 a objednate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l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1 výtisk.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>12.12.2024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6B7EB4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193667">
        <w:rPr>
          <w:rFonts w:ascii="Helvetica" w:eastAsia="Times New Roman" w:hAnsi="Helvetica" w:cs="Times New Roman"/>
          <w:sz w:val="20"/>
          <w:szCs w:val="20"/>
          <w:lang w:eastAsia="cs-CZ"/>
        </w:rPr>
        <w:t>12.12.2024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408F8" w:rsidRPr="00B85BDC" w:rsidRDefault="008408F8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93667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</w:t>
      </w:r>
    </w:p>
    <w:p w:rsidR="00193667" w:rsidRDefault="00193667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193667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Mgr. Dagmar Zavadilová                                                                    </w:t>
      </w:r>
      <w:r w:rsidR="00C86A2B">
        <w:rPr>
          <w:rFonts w:ascii="Helvetica" w:eastAsia="Times New Roman" w:hAnsi="Helvetica" w:cs="Times New Roman"/>
          <w:sz w:val="20"/>
          <w:szCs w:val="20"/>
          <w:lang w:eastAsia="cs-CZ"/>
        </w:rPr>
        <w:t>DRACO Praha s.r.o.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Domov pro seniory Háje</w:t>
      </w:r>
    </w:p>
    <w:sectPr w:rsidR="00B85BDC" w:rsidRPr="00B85BDC" w:rsidSect="00AE2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A1" w:rsidRDefault="00941CA1" w:rsidP="003D2616">
      <w:pPr>
        <w:spacing w:before="0" w:line="240" w:lineRule="auto"/>
      </w:pPr>
      <w:r>
        <w:separator/>
      </w:r>
    </w:p>
  </w:endnote>
  <w:endnote w:type="continuationSeparator" w:id="0">
    <w:p w:rsidR="00941CA1" w:rsidRDefault="00941CA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A1" w:rsidRDefault="00941CA1" w:rsidP="003D2616">
      <w:pPr>
        <w:spacing w:before="0" w:line="240" w:lineRule="auto"/>
      </w:pPr>
      <w:r>
        <w:separator/>
      </w:r>
    </w:p>
  </w:footnote>
  <w:footnote w:type="continuationSeparator" w:id="0">
    <w:p w:rsidR="00941CA1" w:rsidRDefault="00941CA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AC4ED5"/>
    <w:multiLevelType w:val="multilevel"/>
    <w:tmpl w:val="CFF2F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DC"/>
    <w:rsid w:val="00053E19"/>
    <w:rsid w:val="00070C88"/>
    <w:rsid w:val="00072AB7"/>
    <w:rsid w:val="000736D5"/>
    <w:rsid w:val="000838BF"/>
    <w:rsid w:val="000D1C00"/>
    <w:rsid w:val="000E42FE"/>
    <w:rsid w:val="001836B3"/>
    <w:rsid w:val="00193667"/>
    <w:rsid w:val="001C0753"/>
    <w:rsid w:val="001E0BA3"/>
    <w:rsid w:val="00207DDB"/>
    <w:rsid w:val="00227ED2"/>
    <w:rsid w:val="00232C66"/>
    <w:rsid w:val="00267732"/>
    <w:rsid w:val="00270EFD"/>
    <w:rsid w:val="002810D8"/>
    <w:rsid w:val="002A44D3"/>
    <w:rsid w:val="002A7B32"/>
    <w:rsid w:val="002F080D"/>
    <w:rsid w:val="002F1EC7"/>
    <w:rsid w:val="00303406"/>
    <w:rsid w:val="00307424"/>
    <w:rsid w:val="0031258B"/>
    <w:rsid w:val="003174BD"/>
    <w:rsid w:val="003D2616"/>
    <w:rsid w:val="00461468"/>
    <w:rsid w:val="004927DC"/>
    <w:rsid w:val="004948B1"/>
    <w:rsid w:val="004B5276"/>
    <w:rsid w:val="004E7730"/>
    <w:rsid w:val="004F32BD"/>
    <w:rsid w:val="00504DA5"/>
    <w:rsid w:val="00544EA0"/>
    <w:rsid w:val="00566117"/>
    <w:rsid w:val="0057482C"/>
    <w:rsid w:val="005B7C6C"/>
    <w:rsid w:val="005E41EE"/>
    <w:rsid w:val="005F711D"/>
    <w:rsid w:val="00637BD8"/>
    <w:rsid w:val="00647B7C"/>
    <w:rsid w:val="0067192F"/>
    <w:rsid w:val="006B7EB4"/>
    <w:rsid w:val="0075242F"/>
    <w:rsid w:val="00762AFF"/>
    <w:rsid w:val="00763CCD"/>
    <w:rsid w:val="007756A5"/>
    <w:rsid w:val="0079502F"/>
    <w:rsid w:val="007A0A91"/>
    <w:rsid w:val="00816017"/>
    <w:rsid w:val="00825DB0"/>
    <w:rsid w:val="0083167B"/>
    <w:rsid w:val="008408F8"/>
    <w:rsid w:val="0084335D"/>
    <w:rsid w:val="00873642"/>
    <w:rsid w:val="00877F67"/>
    <w:rsid w:val="00883CA3"/>
    <w:rsid w:val="008B70C5"/>
    <w:rsid w:val="008D3936"/>
    <w:rsid w:val="008E79B6"/>
    <w:rsid w:val="0091174B"/>
    <w:rsid w:val="009314ED"/>
    <w:rsid w:val="00941CA1"/>
    <w:rsid w:val="0097548A"/>
    <w:rsid w:val="00980732"/>
    <w:rsid w:val="00996B93"/>
    <w:rsid w:val="00997F99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12F5B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86A2B"/>
    <w:rsid w:val="00C9373F"/>
    <w:rsid w:val="00CE1D45"/>
    <w:rsid w:val="00CF00B3"/>
    <w:rsid w:val="00D30B0A"/>
    <w:rsid w:val="00D85AC7"/>
    <w:rsid w:val="00D87642"/>
    <w:rsid w:val="00DC2C8A"/>
    <w:rsid w:val="00E040B2"/>
    <w:rsid w:val="00E121E1"/>
    <w:rsid w:val="00E4721D"/>
    <w:rsid w:val="00EB3C42"/>
    <w:rsid w:val="00EB62F3"/>
    <w:rsid w:val="00F20833"/>
    <w:rsid w:val="00F509CC"/>
    <w:rsid w:val="00F61A8A"/>
    <w:rsid w:val="00F6227F"/>
    <w:rsid w:val="00FC2116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485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1228-8491-41D5-A03D-84C7C9A4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2024-12-27T13:18:00Z</dcterms:created>
  <dcterms:modified xsi:type="dcterms:W3CDTF">2024-12-27T13:18:00Z</dcterms:modified>
</cp:coreProperties>
</file>