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7221300281</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Doubravice</w:t>
      </w:r>
    </w:p>
    <w:p>
      <w:pPr>
        <w:pStyle w:val="BodyText"/>
        <w:tabs>
          <w:tab w:pos="2982" w:val="left" w:leader="none"/>
        </w:tabs>
        <w:ind w:left="102"/>
      </w:pPr>
      <w:r>
        <w:rPr/>
        <w:t>kontaktní</w:t>
      </w:r>
      <w:r>
        <w:rPr>
          <w:spacing w:val="-11"/>
        </w:rPr>
        <w:t> </w:t>
      </w:r>
      <w:r>
        <w:rPr>
          <w:spacing w:val="-2"/>
        </w:rPr>
        <w:t>adresa:</w:t>
      </w:r>
      <w:r>
        <w:rPr/>
        <w:tab/>
        <w:t>Obecní</w:t>
      </w:r>
      <w:r>
        <w:rPr>
          <w:spacing w:val="-8"/>
        </w:rPr>
        <w:t> </w:t>
      </w:r>
      <w:r>
        <w:rPr/>
        <w:t>úřad</w:t>
      </w:r>
      <w:r>
        <w:rPr>
          <w:spacing w:val="-7"/>
        </w:rPr>
        <w:t> </w:t>
      </w:r>
      <w:r>
        <w:rPr/>
        <w:t>Doubravice,</w:t>
      </w:r>
      <w:r>
        <w:rPr>
          <w:spacing w:val="-8"/>
        </w:rPr>
        <w:t> </w:t>
      </w:r>
      <w:r>
        <w:rPr/>
        <w:t>Doubravice</w:t>
      </w:r>
      <w:r>
        <w:rPr>
          <w:spacing w:val="-5"/>
        </w:rPr>
        <w:t> </w:t>
      </w:r>
      <w:r>
        <w:rPr>
          <w:spacing w:val="-4"/>
        </w:rPr>
        <w:t>155,</w:t>
      </w:r>
    </w:p>
    <w:p>
      <w:pPr>
        <w:pStyle w:val="BodyText"/>
        <w:spacing w:line="265" w:lineRule="exact"/>
        <w:ind w:left="3006"/>
      </w:pPr>
      <w:r>
        <w:rPr/>
        <w:t>544</w:t>
      </w:r>
      <w:r>
        <w:rPr>
          <w:spacing w:val="-5"/>
        </w:rPr>
        <w:t> </w:t>
      </w:r>
      <w:r>
        <w:rPr/>
        <w:t>51</w:t>
      </w:r>
      <w:r>
        <w:rPr>
          <w:spacing w:val="-5"/>
        </w:rPr>
        <w:t> </w:t>
      </w:r>
      <w:r>
        <w:rPr/>
        <w:t>Doubravice</w:t>
      </w:r>
      <w:r>
        <w:rPr>
          <w:spacing w:val="-7"/>
        </w:rPr>
        <w:t> </w:t>
      </w:r>
      <w:r>
        <w:rPr/>
        <w:t>u</w:t>
      </w:r>
      <w:r>
        <w:rPr>
          <w:spacing w:val="-3"/>
        </w:rPr>
        <w:t> </w:t>
      </w:r>
      <w:r>
        <w:rPr/>
        <w:t>Dvora</w:t>
      </w:r>
      <w:r>
        <w:rPr>
          <w:spacing w:val="-7"/>
        </w:rPr>
        <w:t> </w:t>
      </w:r>
      <w:r>
        <w:rPr/>
        <w:t>Králové</w:t>
      </w:r>
      <w:r>
        <w:rPr>
          <w:spacing w:val="-7"/>
        </w:rPr>
        <w:t> </w:t>
      </w:r>
      <w:r>
        <w:rPr/>
        <w:t>nad</w:t>
      </w:r>
      <w:r>
        <w:rPr>
          <w:spacing w:val="-6"/>
        </w:rPr>
        <w:t> </w:t>
      </w:r>
      <w:r>
        <w:rPr>
          <w:spacing w:val="-4"/>
        </w:rPr>
        <w:t>Labem</w:t>
      </w:r>
    </w:p>
    <w:p>
      <w:pPr>
        <w:pStyle w:val="BodyText"/>
        <w:tabs>
          <w:tab w:pos="2982" w:val="left" w:leader="none"/>
        </w:tabs>
        <w:spacing w:line="265" w:lineRule="exact"/>
        <w:ind w:left="102"/>
      </w:pPr>
      <w:r>
        <w:rPr>
          <w:spacing w:val="-4"/>
        </w:rPr>
        <w:t>IČO:</w:t>
      </w:r>
      <w:r>
        <w:rPr/>
        <w:tab/>
      </w:r>
      <w:r>
        <w:rPr>
          <w:spacing w:val="-2"/>
        </w:rPr>
        <w:t>00580759</w:t>
      </w:r>
    </w:p>
    <w:p>
      <w:pPr>
        <w:pStyle w:val="BodyText"/>
        <w:tabs>
          <w:tab w:pos="2982" w:val="left" w:leader="none"/>
        </w:tabs>
        <w:spacing w:before="1"/>
        <w:ind w:left="102"/>
      </w:pPr>
      <w:r>
        <w:rPr>
          <w:spacing w:val="-2"/>
        </w:rPr>
        <w:t>zastoupená:</w:t>
      </w:r>
      <w:r>
        <w:rPr/>
        <w:tab/>
        <w:t>Milošem</w:t>
      </w:r>
      <w:r>
        <w:rPr>
          <w:spacing w:val="-2"/>
        </w:rPr>
        <w:t> </w:t>
      </w:r>
      <w:r>
        <w:rPr/>
        <w:t>V a</w:t>
      </w:r>
      <w:r>
        <w:rPr>
          <w:spacing w:val="-4"/>
        </w:rPr>
        <w:t> </w:t>
      </w:r>
      <w:r>
        <w:rPr/>
        <w:t>l</w:t>
      </w:r>
      <w:r>
        <w:rPr>
          <w:spacing w:val="-2"/>
        </w:rPr>
        <w:t> </w:t>
      </w:r>
      <w:r>
        <w:rPr/>
        <w:t>á</w:t>
      </w:r>
      <w:r>
        <w:rPr>
          <w:spacing w:val="-3"/>
        </w:rPr>
        <w:t> </w:t>
      </w:r>
      <w:r>
        <w:rPr/>
        <w:t>š</w:t>
      </w:r>
      <w:r>
        <w:rPr>
          <w:spacing w:val="-4"/>
        </w:rPr>
        <w:t> </w:t>
      </w:r>
      <w:r>
        <w:rPr/>
        <w:t>k e</w:t>
      </w:r>
      <w:r>
        <w:rPr>
          <w:spacing w:val="-4"/>
        </w:rPr>
        <w:t> </w:t>
      </w:r>
      <w:r>
        <w:rPr/>
        <w:t>m,</w:t>
      </w:r>
      <w:r>
        <w:rPr>
          <w:spacing w:val="-3"/>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2015601/0710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rPr>
          <w:sz w:val="26"/>
        </w:rPr>
      </w:pPr>
    </w:p>
    <w:p>
      <w:pPr>
        <w:pStyle w:val="BodyText"/>
        <w:spacing w:before="185"/>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0"/>
        <w:jc w:val="both"/>
      </w:pPr>
      <w:r>
        <w:rPr/>
        <w:t>„Smlouva“) se uzavírá na základě Rozhodnutí ministra životního prostředí č. 7221300281 o poskytnutí finančních</w:t>
      </w:r>
      <w:r>
        <w:rPr>
          <w:spacing w:val="-5"/>
        </w:rPr>
        <w:t> </w:t>
      </w:r>
      <w:r>
        <w:rPr/>
        <w:t>prostředků</w:t>
      </w:r>
      <w:r>
        <w:rPr>
          <w:spacing w:val="-3"/>
        </w:rPr>
        <w:t> </w:t>
      </w:r>
      <w:r>
        <w:rPr/>
        <w:t>ze</w:t>
      </w:r>
      <w:r>
        <w:rPr>
          <w:spacing w:val="-6"/>
        </w:rPr>
        <w:t> </w:t>
      </w:r>
      <w:r>
        <w:rPr/>
        <w:t>Státního</w:t>
      </w:r>
      <w:r>
        <w:rPr>
          <w:spacing w:val="-5"/>
        </w:rPr>
        <w:t> </w:t>
      </w:r>
      <w:r>
        <w:rPr/>
        <w:t>fondu</w:t>
      </w:r>
      <w:r>
        <w:rPr>
          <w:spacing w:val="-5"/>
        </w:rPr>
        <w:t> </w:t>
      </w:r>
      <w:r>
        <w:rPr/>
        <w:t>životního</w:t>
      </w:r>
      <w:r>
        <w:rPr>
          <w:spacing w:val="-5"/>
        </w:rPr>
        <w:t> </w:t>
      </w:r>
      <w:r>
        <w:rPr/>
        <w:t>prostředí</w:t>
      </w:r>
      <w:r>
        <w:rPr>
          <w:spacing w:val="-3"/>
        </w:rPr>
        <w:t> </w:t>
      </w:r>
      <w:r>
        <w:rPr/>
        <w:t>ČR</w:t>
      </w:r>
      <w:r>
        <w:rPr>
          <w:spacing w:val="-5"/>
        </w:rPr>
        <w:t> </w:t>
      </w:r>
      <w:r>
        <w:rPr/>
        <w:t>ze</w:t>
      </w:r>
      <w:r>
        <w:rPr>
          <w:spacing w:val="-4"/>
        </w:rPr>
        <w:t> </w:t>
      </w:r>
      <w:r>
        <w:rPr/>
        <w:t>dne 4.</w:t>
      </w:r>
      <w:r>
        <w:rPr>
          <w:spacing w:val="-5"/>
        </w:rPr>
        <w:t> </w:t>
      </w:r>
      <w:r>
        <w:rPr/>
        <w:t>8.</w:t>
      </w:r>
      <w:r>
        <w:rPr>
          <w:spacing w:val="-5"/>
        </w:rPr>
        <w:t> </w:t>
      </w:r>
      <w:r>
        <w:rPr/>
        <w:t>2023,</w:t>
      </w:r>
      <w:r>
        <w:rPr>
          <w:spacing w:val="-5"/>
        </w:rPr>
        <w:t> </w:t>
      </w:r>
      <w:r>
        <w:rPr/>
        <w:t>ve</w:t>
      </w:r>
      <w:r>
        <w:rPr>
          <w:spacing w:val="-6"/>
        </w:rPr>
        <w:t> </w:t>
      </w:r>
      <w:r>
        <w:rPr/>
        <w:t>znění</w:t>
      </w:r>
      <w:r>
        <w:rPr>
          <w:spacing w:val="-6"/>
        </w:rPr>
        <w:t> </w:t>
      </w:r>
      <w:r>
        <w:rPr/>
        <w:t>změny</w:t>
      </w:r>
      <w:r>
        <w:rPr>
          <w:spacing w:val="-4"/>
        </w:rPr>
        <w:t> </w:t>
      </w:r>
      <w:r>
        <w:rPr/>
        <w:t>č.</w:t>
      </w:r>
      <w:r>
        <w:rPr>
          <w:spacing w:val="-5"/>
        </w:rPr>
        <w:t> </w:t>
      </w:r>
      <w:r>
        <w:rPr/>
        <w:t>1</w:t>
      </w:r>
      <w:r>
        <w:rPr>
          <w:spacing w:val="-3"/>
        </w:rPr>
        <w:t> </w:t>
      </w:r>
      <w:r>
        <w:rPr/>
        <w:t>ze dne</w:t>
      </w:r>
      <w:r>
        <w:rPr>
          <w:spacing w:val="63"/>
        </w:rPr>
        <w:t> </w:t>
      </w:r>
      <w:r>
        <w:rPr/>
        <w:t>30.</w:t>
      </w:r>
      <w:r>
        <w:rPr>
          <w:spacing w:val="65"/>
        </w:rPr>
        <w:t> </w:t>
      </w:r>
      <w:r>
        <w:rPr/>
        <w:t>7.</w:t>
      </w:r>
      <w:r>
        <w:rPr>
          <w:spacing w:val="65"/>
        </w:rPr>
        <w:t> </w:t>
      </w:r>
      <w:r>
        <w:rPr/>
        <w:t>2024</w:t>
      </w:r>
      <w:r>
        <w:rPr>
          <w:spacing w:val="64"/>
        </w:rPr>
        <w:t> </w:t>
      </w:r>
      <w:r>
        <w:rPr/>
        <w:t>v</w:t>
      </w:r>
      <w:r>
        <w:rPr>
          <w:spacing w:val="-1"/>
        </w:rPr>
        <w:t> </w:t>
      </w:r>
      <w:r>
        <w:rPr/>
        <w:t>rámci</w:t>
      </w:r>
      <w:r>
        <w:rPr>
          <w:spacing w:val="62"/>
        </w:rPr>
        <w:t> </w:t>
      </w:r>
      <w:r>
        <w:rPr/>
        <w:t>Programu</w:t>
      </w:r>
      <w:r>
        <w:rPr>
          <w:spacing w:val="64"/>
        </w:rPr>
        <w:t> </w:t>
      </w:r>
      <w:r>
        <w:rPr/>
        <w:t>financovaného</w:t>
      </w:r>
      <w:r>
        <w:rPr>
          <w:spacing w:val="66"/>
        </w:rPr>
        <w:t> </w:t>
      </w:r>
      <w:r>
        <w:rPr/>
        <w:t>z</w:t>
      </w:r>
      <w:r>
        <w:rPr>
          <w:spacing w:val="1"/>
        </w:rPr>
        <w:t> </w:t>
      </w:r>
      <w:r>
        <w:rPr/>
        <w:t>prostředků</w:t>
      </w:r>
      <w:r>
        <w:rPr>
          <w:spacing w:val="65"/>
        </w:rPr>
        <w:t> </w:t>
      </w:r>
      <w:r>
        <w:rPr/>
        <w:t>Modernizačního</w:t>
      </w:r>
      <w:r>
        <w:rPr>
          <w:spacing w:val="65"/>
        </w:rPr>
        <w:t> </w:t>
      </w:r>
      <w:r>
        <w:rPr/>
        <w:t>fondu</w:t>
      </w:r>
      <w:r>
        <w:rPr>
          <w:spacing w:val="65"/>
        </w:rPr>
        <w:t> </w:t>
      </w:r>
      <w:r>
        <w:rPr/>
        <w:t>(dále</w:t>
      </w:r>
      <w:r>
        <w:rPr>
          <w:spacing w:val="64"/>
        </w:rPr>
        <w:t> </w:t>
      </w:r>
      <w:r>
        <w:rPr>
          <w:spacing w:val="-5"/>
        </w:rPr>
        <w:t>jen</w:t>
      </w:r>
    </w:p>
    <w:p>
      <w:pPr>
        <w:pStyle w:val="BodyText"/>
        <w:ind w:left="385"/>
      </w:pPr>
      <w:r>
        <w:rPr>
          <w:spacing w:val="-2"/>
        </w:rPr>
        <w:t>„Rozhodnutí“).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366"/>
        <w:jc w:val="left"/>
      </w:pPr>
      <w:r>
        <w:rPr/>
        <w:t>„Komunální</w:t>
      </w:r>
      <w:r>
        <w:rPr>
          <w:spacing w:val="-7"/>
        </w:rPr>
        <w:t> </w:t>
      </w:r>
      <w:r>
        <w:rPr/>
        <w:t>FVE</w:t>
      </w:r>
      <w:r>
        <w:rPr>
          <w:spacing w:val="-6"/>
        </w:rPr>
        <w:t> </w:t>
      </w:r>
      <w:r>
        <w:rPr/>
        <w:t>-</w:t>
      </w:r>
      <w:r>
        <w:rPr>
          <w:spacing w:val="-6"/>
        </w:rPr>
        <w:t> </w:t>
      </w:r>
      <w:r>
        <w:rPr>
          <w:spacing w:val="-2"/>
        </w:rPr>
        <w:t>Doubravice“</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Heading1"/>
        <w:spacing w:before="1"/>
        <w:ind w:right="703"/>
      </w:pPr>
      <w:r>
        <w:rPr>
          <w:spacing w:val="-5"/>
        </w:rPr>
        <w:t>II.</w:t>
      </w:r>
    </w:p>
    <w:p>
      <w:pPr>
        <w:pStyle w:val="Heading2"/>
        <w:ind w:right="702"/>
      </w:pPr>
      <w:r>
        <w:rPr/>
        <w:t>Výše</w:t>
      </w:r>
      <w:r>
        <w:rPr>
          <w:spacing w:val="-6"/>
        </w:rPr>
        <w:t> </w:t>
      </w:r>
      <w:r>
        <w:rPr>
          <w:spacing w:val="-2"/>
        </w:rPr>
        <w:t>dotace</w:t>
      </w:r>
    </w:p>
    <w:p>
      <w:pPr>
        <w:pStyle w:val="BodyText"/>
        <w:spacing w:before="8"/>
        <w:rPr>
          <w:b/>
          <w:sz w:val="12"/>
        </w:rPr>
      </w:pPr>
    </w:p>
    <w:p>
      <w:pPr>
        <w:pStyle w:val="ListParagraph"/>
        <w:numPr>
          <w:ilvl w:val="0"/>
          <w:numId w:val="2"/>
        </w:numPr>
        <w:tabs>
          <w:tab w:pos="386" w:val="left" w:leader="none"/>
        </w:tabs>
        <w:spacing w:line="240" w:lineRule="auto" w:before="99"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945 165,62 Kč </w:t>
      </w:r>
      <w:r>
        <w:rPr>
          <w:sz w:val="20"/>
        </w:rPr>
        <w:t>(slovy: devět set čtyřicet pět tisíc jedno sto šedesát pět korun českých, šedesát dva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1 492 711,60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spacing w:before="1"/>
      </w:pPr>
    </w:p>
    <w:p>
      <w:pPr>
        <w:pStyle w:val="Heading1"/>
        <w:ind w:right="1060"/>
      </w:pPr>
      <w:r>
        <w:rPr>
          <w:spacing w:val="-4"/>
        </w:rPr>
        <w:t>III.</w:t>
      </w:r>
    </w:p>
    <w:p>
      <w:pPr>
        <w:pStyle w:val="Heading2"/>
        <w:spacing w:before="1"/>
        <w:ind w:right="1060"/>
      </w:pPr>
      <w:r>
        <w:rPr/>
        <w:t>Platební</w:t>
      </w:r>
      <w:r>
        <w:rPr>
          <w:spacing w:val="-9"/>
        </w:rPr>
        <w:t> </w:t>
      </w:r>
      <w:r>
        <w:rPr>
          <w:spacing w:val="-2"/>
        </w:rPr>
        <w:t>podmínky</w:t>
      </w:r>
    </w:p>
    <w:p>
      <w:pPr>
        <w:pStyle w:val="BodyText"/>
        <w:spacing w:before="11"/>
        <w:rPr>
          <w:b/>
          <w:sz w:val="19"/>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1"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9"/>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w:t>
      </w:r>
      <w:r>
        <w:rPr>
          <w:spacing w:val="27"/>
          <w:sz w:val="20"/>
        </w:rPr>
        <w:t> </w:t>
      </w:r>
      <w:r>
        <w:rPr>
          <w:sz w:val="20"/>
        </w:rPr>
        <w:t>účel</w:t>
      </w:r>
      <w:r>
        <w:rPr>
          <w:spacing w:val="27"/>
          <w:sz w:val="20"/>
        </w:rPr>
        <w:t> </w:t>
      </w:r>
      <w:r>
        <w:rPr>
          <w:sz w:val="20"/>
        </w:rPr>
        <w:t>akce</w:t>
      </w:r>
      <w:r>
        <w:rPr>
          <w:spacing w:val="26"/>
          <w:sz w:val="20"/>
        </w:rPr>
        <w:t> </w:t>
      </w:r>
      <w:r>
        <w:rPr>
          <w:sz w:val="20"/>
        </w:rPr>
        <w:t>„Komunální</w:t>
      </w:r>
      <w:r>
        <w:rPr>
          <w:spacing w:val="29"/>
          <w:sz w:val="20"/>
        </w:rPr>
        <w:t> </w:t>
      </w:r>
      <w:r>
        <w:rPr>
          <w:sz w:val="20"/>
        </w:rPr>
        <w:t>FVE</w:t>
      </w:r>
      <w:r>
        <w:rPr>
          <w:spacing w:val="30"/>
          <w:sz w:val="20"/>
        </w:rPr>
        <w:t> </w:t>
      </w:r>
      <w:r>
        <w:rPr>
          <w:sz w:val="20"/>
        </w:rPr>
        <w:t>-</w:t>
      </w:r>
      <w:r>
        <w:rPr>
          <w:spacing w:val="24"/>
          <w:sz w:val="20"/>
        </w:rPr>
        <w:t> </w:t>
      </w:r>
      <w:r>
        <w:rPr>
          <w:sz w:val="20"/>
        </w:rPr>
        <w:t>Doubravice“</w:t>
      </w:r>
      <w:r>
        <w:rPr>
          <w:spacing w:val="26"/>
          <w:sz w:val="20"/>
        </w:rPr>
        <w:t> </w:t>
      </w:r>
      <w:r>
        <w:rPr>
          <w:sz w:val="20"/>
        </w:rPr>
        <w:t>tím,</w:t>
      </w:r>
      <w:r>
        <w:rPr>
          <w:spacing w:val="27"/>
          <w:sz w:val="20"/>
        </w:rPr>
        <w:t> </w:t>
      </w:r>
      <w:r>
        <w:rPr>
          <w:sz w:val="20"/>
        </w:rPr>
        <w:t>že</w:t>
      </w:r>
      <w:r>
        <w:rPr>
          <w:spacing w:val="26"/>
          <w:sz w:val="20"/>
        </w:rPr>
        <w:t> </w:t>
      </w:r>
      <w:r>
        <w:rPr>
          <w:sz w:val="20"/>
        </w:rPr>
        <w:t>akce</w:t>
      </w:r>
      <w:r>
        <w:rPr>
          <w:spacing w:val="26"/>
          <w:sz w:val="20"/>
        </w:rPr>
        <w:t> </w:t>
      </w:r>
      <w:r>
        <w:rPr>
          <w:sz w:val="20"/>
        </w:rPr>
        <w:t>bude</w:t>
      </w:r>
      <w:r>
        <w:rPr>
          <w:spacing w:val="26"/>
          <w:sz w:val="20"/>
        </w:rPr>
        <w:t> </w:t>
      </w:r>
      <w:r>
        <w:rPr>
          <w:sz w:val="20"/>
        </w:rPr>
        <w:t>provedena</w:t>
      </w:r>
      <w:r>
        <w:rPr>
          <w:spacing w:val="27"/>
          <w:sz w:val="20"/>
        </w:rPr>
        <w:t> </w:t>
      </w:r>
      <w:r>
        <w:rPr>
          <w:sz w:val="20"/>
        </w:rPr>
        <w:t>v souladu</w:t>
      </w:r>
      <w:r>
        <w:rPr>
          <w:spacing w:val="27"/>
          <w:sz w:val="20"/>
        </w:rPr>
        <w:t> </w:t>
      </w:r>
      <w:r>
        <w:rPr>
          <w:sz w:val="20"/>
        </w:rPr>
        <w:t>s</w:t>
      </w:r>
      <w:r>
        <w:rPr>
          <w:spacing w:val="-2"/>
          <w:sz w:val="20"/>
        </w:rPr>
        <w:t> </w:t>
      </w:r>
      <w:r>
        <w:rPr>
          <w:sz w:val="20"/>
        </w:rPr>
        <w:t>Výzvou, žádostí o podporu a jejími přílohami a touto Smlouvou,</w:t>
      </w:r>
    </w:p>
    <w:p>
      <w:pPr>
        <w:pStyle w:val="ListParagraph"/>
        <w:numPr>
          <w:ilvl w:val="1"/>
          <w:numId w:val="4"/>
        </w:numPr>
        <w:tabs>
          <w:tab w:pos="746" w:val="left" w:leader="none"/>
          <w:tab w:pos="1668" w:val="left" w:leader="none"/>
          <w:tab w:pos="2625" w:val="left" w:leader="none"/>
          <w:tab w:pos="3351" w:val="left" w:leader="none"/>
          <w:tab w:pos="4489" w:val="left" w:leader="none"/>
          <w:tab w:pos="5139" w:val="left" w:leader="none"/>
          <w:tab w:pos="6499" w:val="left" w:leader="none"/>
          <w:tab w:pos="7595" w:val="left" w:leader="none"/>
          <w:tab w:pos="8005" w:val="left" w:leader="none"/>
          <w:tab w:pos="8794" w:val="left" w:leader="none"/>
        </w:tabs>
        <w:spacing w:line="240" w:lineRule="auto" w:before="121"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w:t>
      </w:r>
      <w:r>
        <w:rPr>
          <w:spacing w:val="1"/>
          <w:sz w:val="20"/>
        </w:rPr>
        <w:t> </w:t>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ind w:left="745"/>
      </w:pPr>
      <w:r>
        <w:rPr/>
        <w:t>s</w:t>
      </w:r>
      <w:r>
        <w:rPr>
          <w:spacing w:val="-7"/>
        </w:rPr>
        <w:t> </w:t>
      </w:r>
      <w:r>
        <w:rPr/>
        <w:t>předpokládaným</w:t>
      </w:r>
      <w:r>
        <w:rPr>
          <w:spacing w:val="-7"/>
        </w:rPr>
        <w:t> </w:t>
      </w:r>
      <w:r>
        <w:rPr/>
        <w:t>výkonem</w:t>
      </w:r>
      <w:r>
        <w:rPr>
          <w:spacing w:val="-5"/>
        </w:rPr>
        <w:t> </w:t>
      </w:r>
      <w:r>
        <w:rPr/>
        <w:t>29,70</w:t>
      </w:r>
      <w:r>
        <w:rPr>
          <w:spacing w:val="-6"/>
        </w:rPr>
        <w:t> </w:t>
      </w:r>
      <w:r>
        <w:rPr/>
        <w:t>kWp</w:t>
      </w:r>
      <w:r>
        <w:rPr>
          <w:spacing w:val="-6"/>
        </w:rPr>
        <w:t> </w:t>
      </w:r>
      <w:r>
        <w:rPr/>
        <w:t>a</w:t>
      </w:r>
      <w:r>
        <w:rPr>
          <w:spacing w:val="-7"/>
        </w:rPr>
        <w:t> </w:t>
      </w:r>
      <w:r>
        <w:rPr/>
        <w:t>instalací</w:t>
      </w:r>
      <w:r>
        <w:rPr>
          <w:spacing w:val="-7"/>
        </w:rPr>
        <w:t> </w:t>
      </w:r>
      <w:r>
        <w:rPr/>
        <w:t>akumulace</w:t>
      </w:r>
      <w:r>
        <w:rPr>
          <w:spacing w:val="-7"/>
        </w:rPr>
        <w:t> </w:t>
      </w:r>
      <w:r>
        <w:rPr/>
        <w:t>o</w:t>
      </w:r>
      <w:r>
        <w:rPr>
          <w:spacing w:val="-6"/>
        </w:rPr>
        <w:t> </w:t>
      </w:r>
      <w:r>
        <w:rPr/>
        <w:t>kapacitě</w:t>
      </w:r>
      <w:r>
        <w:rPr>
          <w:spacing w:val="-7"/>
        </w:rPr>
        <w:t> </w:t>
      </w:r>
      <w:r>
        <w:rPr/>
        <w:t>23,2</w:t>
      </w:r>
      <w:r>
        <w:rPr>
          <w:spacing w:val="-6"/>
        </w:rPr>
        <w:t> </w:t>
      </w:r>
      <w:r>
        <w:rPr>
          <w:spacing w:val="-4"/>
        </w:rPr>
        <w:t>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2"/>
              <w:ind w:left="105"/>
              <w:rPr>
                <w:b/>
                <w:sz w:val="20"/>
              </w:rPr>
            </w:pPr>
            <w:r>
              <w:rPr>
                <w:b/>
                <w:spacing w:val="-2"/>
                <w:sz w:val="20"/>
              </w:rPr>
              <w:t>Indikátor</w:t>
            </w:r>
          </w:p>
        </w:tc>
        <w:tc>
          <w:tcPr>
            <w:tcW w:w="1647" w:type="dxa"/>
          </w:tcPr>
          <w:p>
            <w:pPr>
              <w:pStyle w:val="TableParagraph"/>
              <w:spacing w:before="122"/>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2" w:hRule="atLeast"/>
        </w:trPr>
        <w:tc>
          <w:tcPr>
            <w:tcW w:w="3975"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23.20</w:t>
            </w:r>
          </w:p>
        </w:tc>
      </w:tr>
      <w:tr>
        <w:trPr>
          <w:trHeight w:val="506"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29.70</w:t>
            </w:r>
          </w:p>
        </w:tc>
      </w:tr>
      <w:tr>
        <w:trPr>
          <w:trHeight w:val="506"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21.74</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65.70</w:t>
            </w:r>
          </w:p>
        </w:tc>
      </w:tr>
      <w:tr>
        <w:trPr>
          <w:trHeight w:val="505" w:hRule="atLeast"/>
        </w:trPr>
        <w:tc>
          <w:tcPr>
            <w:tcW w:w="3975"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30.74</w:t>
            </w:r>
          </w:p>
        </w:tc>
      </w:tr>
    </w:tbl>
    <w:p>
      <w:pPr>
        <w:pStyle w:val="BodyText"/>
        <w:spacing w:before="3"/>
        <w:rPr>
          <w:sz w:val="38"/>
        </w:rPr>
      </w:pPr>
    </w:p>
    <w:p>
      <w:pPr>
        <w:pStyle w:val="ListParagraph"/>
        <w:numPr>
          <w:ilvl w:val="1"/>
          <w:numId w:val="4"/>
        </w:numPr>
        <w:tabs>
          <w:tab w:pos="746" w:val="left" w:leader="none"/>
        </w:tabs>
        <w:spacing w:line="276" w:lineRule="auto" w:before="1"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40"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11"/>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5" w:right="112"/>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35" w:lineRule="auto" w:before="124" w:after="0"/>
        <w:ind w:left="745" w:right="119" w:hanging="360"/>
        <w:jc w:val="both"/>
        <w:rPr>
          <w:sz w:val="24"/>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w:t>
      </w:r>
      <w:r>
        <w:rPr>
          <w:spacing w:val="-2"/>
          <w:sz w:val="20"/>
        </w:rPr>
        <w:t> </w:t>
      </w:r>
      <w:r>
        <w:rPr>
          <w:sz w:val="20"/>
        </w:rPr>
        <w:t>14.4</w:t>
      </w:r>
      <w:r>
        <w:rPr>
          <w:spacing w:val="-1"/>
          <w:sz w:val="20"/>
        </w:rPr>
        <w:t> </w:t>
      </w:r>
      <w:r>
        <w:rPr>
          <w:sz w:val="20"/>
        </w:rPr>
        <w:t>Výzvy,</w:t>
      </w:r>
      <w:r>
        <w:rPr>
          <w:spacing w:val="-2"/>
          <w:sz w:val="20"/>
        </w:rPr>
        <w:t> </w:t>
      </w:r>
      <w:r>
        <w:rPr>
          <w:sz w:val="20"/>
        </w:rPr>
        <w:t>a</w:t>
      </w:r>
      <w:r>
        <w:rPr>
          <w:spacing w:val="-4"/>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3"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4"/>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7"/>
      </w:pPr>
      <w:r>
        <w:rPr/>
        <w:t>Porušení</w:t>
      </w:r>
      <w:r>
        <w:rPr>
          <w:spacing w:val="-7"/>
        </w:rPr>
        <w:t> </w:t>
      </w:r>
      <w:r>
        <w:rPr/>
        <w:t>smluvních</w:t>
      </w:r>
      <w:r>
        <w:rPr>
          <w:spacing w:val="-6"/>
        </w:rPr>
        <w:t> </w:t>
      </w:r>
      <w:r>
        <w:rPr/>
        <w:t>podmínek</w:t>
      </w:r>
      <w:r>
        <w:rPr>
          <w:spacing w:val="-8"/>
        </w:rPr>
        <w:t> </w:t>
      </w:r>
      <w:r>
        <w:rPr/>
        <w:t>a</w:t>
      </w:r>
      <w:r>
        <w:rPr>
          <w:spacing w:val="-4"/>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before="1"/>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8"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rPr>
          <w:sz w:val="26"/>
        </w:rPr>
      </w:pPr>
    </w:p>
    <w:p>
      <w:pPr>
        <w:pStyle w:val="BodyText"/>
        <w:rPr>
          <w:sz w:val="37"/>
        </w:rPr>
      </w:pPr>
    </w:p>
    <w:p>
      <w:pPr>
        <w:pStyle w:val="BodyText"/>
        <w:ind w:left="102"/>
      </w:pPr>
      <w:r>
        <w:rPr/>
        <w:t>Příloha</w:t>
      </w:r>
      <w:r>
        <w:rPr>
          <w:spacing w:val="65"/>
        </w:rPr>
        <w:t> </w:t>
      </w:r>
      <w:r>
        <w:rPr/>
        <w:t>č.</w:t>
      </w:r>
      <w:r>
        <w:rPr>
          <w:spacing w:val="66"/>
        </w:rPr>
        <w:t> </w:t>
      </w:r>
      <w:r>
        <w:rPr/>
        <w:t>1</w:t>
      </w:r>
      <w:r>
        <w:rPr>
          <w:spacing w:val="67"/>
        </w:rPr>
        <w:t> </w:t>
      </w:r>
      <w:r>
        <w:rPr/>
        <w:t>–</w:t>
      </w:r>
      <w:r>
        <w:rPr>
          <w:spacing w:val="67"/>
        </w:rPr>
        <w:t> </w:t>
      </w:r>
      <w:r>
        <w:rPr/>
        <w:t>Stanovení</w:t>
      </w:r>
      <w:r>
        <w:rPr>
          <w:spacing w:val="66"/>
        </w:rPr>
        <w:t> </w:t>
      </w:r>
      <w:r>
        <w:rPr/>
        <w:t>výše</w:t>
      </w:r>
      <w:r>
        <w:rPr>
          <w:spacing w:val="64"/>
        </w:rPr>
        <w:t> </w:t>
      </w:r>
      <w:r>
        <w:rPr/>
        <w:t>odvodů,</w:t>
      </w:r>
      <w:r>
        <w:rPr>
          <w:spacing w:val="66"/>
        </w:rPr>
        <w:t> </w:t>
      </w:r>
      <w:r>
        <w:rPr/>
        <w:t>které</w:t>
      </w:r>
      <w:r>
        <w:rPr>
          <w:spacing w:val="65"/>
        </w:rPr>
        <w:t> </w:t>
      </w:r>
      <w:r>
        <w:rPr/>
        <w:t>se</w:t>
      </w:r>
      <w:r>
        <w:rPr>
          <w:spacing w:val="65"/>
        </w:rPr>
        <w:t> </w:t>
      </w:r>
      <w:r>
        <w:rPr/>
        <w:t>použijí</w:t>
      </w:r>
      <w:r>
        <w:rPr>
          <w:spacing w:val="65"/>
        </w:rPr>
        <w:t> </w:t>
      </w:r>
      <w:r>
        <w:rPr/>
        <w:t>v případě</w:t>
      </w:r>
      <w:r>
        <w:rPr>
          <w:spacing w:val="65"/>
        </w:rPr>
        <w:t> </w:t>
      </w:r>
      <w:r>
        <w:rPr/>
        <w:t>porušení</w:t>
      </w:r>
      <w:r>
        <w:rPr>
          <w:spacing w:val="65"/>
        </w:rPr>
        <w:t> </w:t>
      </w:r>
      <w:r>
        <w:rPr/>
        <w:t>povinností</w:t>
      </w:r>
      <w:r>
        <w:rPr>
          <w:spacing w:val="65"/>
        </w:rPr>
        <w:t> </w:t>
      </w:r>
      <w:r>
        <w:rPr/>
        <w:t>při</w:t>
      </w:r>
      <w:r>
        <w:rPr>
          <w:spacing w:val="65"/>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10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
        <w:rPr>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286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310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668" w:hanging="284"/>
        <w:jc w:val="left"/>
      </w:pPr>
      <w:rPr>
        <w:rFonts w:hint="default"/>
        <w:spacing w:val="-1"/>
        <w:w w:val="99"/>
        <w:lang w:val="cs-CZ" w:eastAsia="en-US" w:bidi="ar-SA"/>
      </w:rPr>
    </w:lvl>
    <w:lvl w:ilvl="2">
      <w:start w:val="0"/>
      <w:numFmt w:val="bullet"/>
      <w:lvlText w:val="•"/>
      <w:lvlJc w:val="left"/>
      <w:pPr>
        <w:ind w:left="740" w:hanging="284"/>
      </w:pPr>
      <w:rPr>
        <w:rFonts w:hint="default"/>
        <w:lang w:val="cs-CZ" w:eastAsia="en-US" w:bidi="ar-SA"/>
      </w:rPr>
    </w:lvl>
    <w:lvl w:ilvl="3">
      <w:start w:val="0"/>
      <w:numFmt w:val="bullet"/>
      <w:lvlText w:val="•"/>
      <w:lvlJc w:val="left"/>
      <w:pPr>
        <w:ind w:left="900" w:hanging="284"/>
      </w:pPr>
      <w:rPr>
        <w:rFonts w:hint="default"/>
        <w:lang w:val="cs-CZ" w:eastAsia="en-US" w:bidi="ar-SA"/>
      </w:rPr>
    </w:lvl>
    <w:lvl w:ilvl="4">
      <w:start w:val="0"/>
      <w:numFmt w:val="bullet"/>
      <w:lvlText w:val="•"/>
      <w:lvlJc w:val="left"/>
      <w:pPr>
        <w:ind w:left="2145" w:hanging="284"/>
      </w:pPr>
      <w:rPr>
        <w:rFonts w:hint="default"/>
        <w:lang w:val="cs-CZ" w:eastAsia="en-US" w:bidi="ar-SA"/>
      </w:rPr>
    </w:lvl>
    <w:lvl w:ilvl="5">
      <w:start w:val="0"/>
      <w:numFmt w:val="bullet"/>
      <w:lvlText w:val="•"/>
      <w:lvlJc w:val="left"/>
      <w:pPr>
        <w:ind w:left="3391" w:hanging="284"/>
      </w:pPr>
      <w:rPr>
        <w:rFonts w:hint="default"/>
        <w:lang w:val="cs-CZ" w:eastAsia="en-US" w:bidi="ar-SA"/>
      </w:rPr>
    </w:lvl>
    <w:lvl w:ilvl="6">
      <w:start w:val="0"/>
      <w:numFmt w:val="bullet"/>
      <w:lvlText w:val="•"/>
      <w:lvlJc w:val="left"/>
      <w:pPr>
        <w:ind w:left="4637" w:hanging="284"/>
      </w:pPr>
      <w:rPr>
        <w:rFonts w:hint="default"/>
        <w:lang w:val="cs-CZ" w:eastAsia="en-US" w:bidi="ar-SA"/>
      </w:rPr>
    </w:lvl>
    <w:lvl w:ilvl="7">
      <w:start w:val="0"/>
      <w:numFmt w:val="bullet"/>
      <w:lvlText w:val="•"/>
      <w:lvlJc w:val="left"/>
      <w:pPr>
        <w:ind w:left="5882" w:hanging="284"/>
      </w:pPr>
      <w:rPr>
        <w:rFonts w:hint="default"/>
        <w:lang w:val="cs-CZ" w:eastAsia="en-US" w:bidi="ar-SA"/>
      </w:rPr>
    </w:lvl>
    <w:lvl w:ilvl="8">
      <w:start w:val="0"/>
      <w:numFmt w:val="bullet"/>
      <w:lvlText w:val="•"/>
      <w:lvlJc w:val="left"/>
      <w:pPr>
        <w:ind w:left="7128"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2024-12-18T09:55:04Z</dcterms:created>
  <dcterms:modified xsi:type="dcterms:W3CDTF">2024-12-18T09:55:04Z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Microsoft® Word pro Microsoft 365</vt:lpwstr>
  </property>
  <property fmtid="{D5CDD505-2E9C-101B-9397-08002B2CF9AE}" pid="4" name="LastSaved">
    <vt:filetime>2024-12-18T00:00:00Z</vt:filetime>
  </property>
</Properties>
</file>