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C6BA8" w14:textId="77777777" w:rsidR="00EC38BE" w:rsidRPr="00CF6914" w:rsidRDefault="005E6F10" w:rsidP="001201C4">
      <w:pPr>
        <w:jc w:val="center"/>
        <w:rPr>
          <w:b/>
        </w:rPr>
      </w:pPr>
      <w:r w:rsidRPr="00CF6914">
        <w:rPr>
          <w:b/>
        </w:rPr>
        <w:t>Dohoda o narovnání</w:t>
      </w:r>
    </w:p>
    <w:p w14:paraId="586AB8FD" w14:textId="77777777" w:rsidR="00914A6B" w:rsidRPr="00CF6914" w:rsidRDefault="00B81A9D" w:rsidP="009D24D0">
      <w:pPr>
        <w:spacing w:after="0"/>
        <w:jc w:val="center"/>
        <w:rPr>
          <w:rFonts w:cstheme="minorHAnsi"/>
          <w:b/>
        </w:rPr>
      </w:pPr>
      <w:r w:rsidRPr="00CF6914">
        <w:rPr>
          <w:rFonts w:cstheme="minorHAnsi"/>
          <w:b/>
        </w:rPr>
        <w:t>u</w:t>
      </w:r>
      <w:r w:rsidR="001201C4" w:rsidRPr="00CF6914">
        <w:rPr>
          <w:rFonts w:cstheme="minorHAnsi"/>
          <w:b/>
        </w:rPr>
        <w:t>zavřená</w:t>
      </w:r>
      <w:r w:rsidRPr="00CF6914">
        <w:rPr>
          <w:rFonts w:cstheme="minorHAnsi"/>
          <w:b/>
        </w:rPr>
        <w:t xml:space="preserve"> ve smyslu ust. § </w:t>
      </w:r>
      <w:r w:rsidR="005E6F10" w:rsidRPr="00CF6914">
        <w:rPr>
          <w:rFonts w:cstheme="minorHAnsi"/>
          <w:b/>
        </w:rPr>
        <w:t>1903 a násl.</w:t>
      </w:r>
      <w:r w:rsidRPr="00CF6914">
        <w:rPr>
          <w:rFonts w:cstheme="minorHAnsi"/>
          <w:b/>
        </w:rPr>
        <w:t xml:space="preserve"> zákona č. 89/2012 Sb., občanského zákoníku, ve znění pozdějších předpisů</w:t>
      </w:r>
      <w:r w:rsidR="008373FD" w:rsidRPr="00CF6914">
        <w:rPr>
          <w:rFonts w:cstheme="minorHAnsi"/>
          <w:b/>
        </w:rPr>
        <w:t xml:space="preserve"> (dále jen „občanský zákoník“)</w:t>
      </w:r>
      <w:r w:rsidRPr="00CF6914">
        <w:rPr>
          <w:rFonts w:cstheme="minorHAnsi"/>
          <w:b/>
        </w:rPr>
        <w:t>,</w:t>
      </w:r>
      <w:r w:rsidR="001201C4" w:rsidRPr="00CF6914">
        <w:rPr>
          <w:rFonts w:cstheme="minorHAnsi"/>
          <w:b/>
        </w:rPr>
        <w:t xml:space="preserve"> </w:t>
      </w:r>
    </w:p>
    <w:p w14:paraId="13B28BCC" w14:textId="655DDE93" w:rsidR="009D24D0" w:rsidRPr="00CF6914" w:rsidRDefault="009D24D0" w:rsidP="009D24D0">
      <w:pPr>
        <w:spacing w:after="0"/>
        <w:jc w:val="center"/>
        <w:rPr>
          <w:rFonts w:cstheme="minorHAnsi"/>
          <w:b/>
        </w:rPr>
      </w:pPr>
      <w:r w:rsidRPr="00CF6914">
        <w:rPr>
          <w:rFonts w:cstheme="minorHAnsi"/>
          <w:b/>
        </w:rPr>
        <w:t>(dále jen „Dohoda“)</w:t>
      </w:r>
    </w:p>
    <w:p w14:paraId="31AA84FA" w14:textId="77777777" w:rsidR="009D24D0" w:rsidRPr="00CF6914" w:rsidRDefault="009D24D0" w:rsidP="001201C4">
      <w:pPr>
        <w:jc w:val="center"/>
        <w:rPr>
          <w:rFonts w:cstheme="minorHAnsi"/>
          <w:b/>
        </w:rPr>
      </w:pPr>
    </w:p>
    <w:p w14:paraId="11479B27" w14:textId="453587E0" w:rsidR="001201C4" w:rsidRPr="00CF6914" w:rsidRDefault="001201C4" w:rsidP="001201C4">
      <w:pPr>
        <w:jc w:val="center"/>
        <w:rPr>
          <w:rFonts w:cstheme="minorHAnsi"/>
          <w:b/>
        </w:rPr>
      </w:pPr>
      <w:r w:rsidRPr="00CF6914">
        <w:rPr>
          <w:rFonts w:cstheme="minorHAnsi"/>
          <w:b/>
        </w:rPr>
        <w:t>mezi smluvními stranami</w:t>
      </w:r>
    </w:p>
    <w:p w14:paraId="0317E776" w14:textId="77777777" w:rsidR="001201C4" w:rsidRPr="00CF6914" w:rsidRDefault="001201C4" w:rsidP="001201C4">
      <w:pPr>
        <w:jc w:val="center"/>
        <w:rPr>
          <w:rFonts w:cstheme="minorHAnsi"/>
        </w:rPr>
      </w:pPr>
    </w:p>
    <w:p w14:paraId="47174780" w14:textId="77777777" w:rsidR="001201C4" w:rsidRPr="00CF6914" w:rsidRDefault="005E6F10" w:rsidP="00EB096B">
      <w:pPr>
        <w:pStyle w:val="Nadpis5"/>
        <w:tabs>
          <w:tab w:val="left" w:pos="0"/>
          <w:tab w:val="left" w:pos="2268"/>
          <w:tab w:val="left" w:pos="2552"/>
        </w:tabs>
        <w:spacing w:before="120"/>
        <w:rPr>
          <w:rFonts w:asciiTheme="minorHAnsi" w:eastAsia="Arial Unicode MS" w:hAnsiTheme="minorHAnsi" w:cstheme="minorHAnsi"/>
          <w:sz w:val="22"/>
          <w:szCs w:val="22"/>
        </w:rPr>
      </w:pPr>
      <w:r w:rsidRPr="00CF6914">
        <w:rPr>
          <w:rFonts w:asciiTheme="minorHAnsi" w:hAnsiTheme="minorHAnsi" w:cstheme="minorHAnsi"/>
          <w:sz w:val="22"/>
          <w:szCs w:val="22"/>
        </w:rPr>
        <w:t>Česká průmyslová zdravotní pojišťovna</w:t>
      </w:r>
    </w:p>
    <w:p w14:paraId="631EC4BB" w14:textId="77777777" w:rsidR="001201C4" w:rsidRPr="00CF6914" w:rsidRDefault="001201C4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se sídlem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>: Jeremenkova 161/11, Ostrava – Vítkovice, PSČ 703 00</w:t>
      </w:r>
    </w:p>
    <w:p w14:paraId="2E6E1280" w14:textId="5610A812" w:rsidR="001201C4" w:rsidRPr="00CF6914" w:rsidRDefault="001201C4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zastoupena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 xml:space="preserve">: </w:t>
      </w:r>
      <w:r w:rsidR="005E6F10" w:rsidRPr="00CF6914">
        <w:rPr>
          <w:rFonts w:eastAsia="Arial Unicode MS" w:cstheme="minorHAnsi"/>
        </w:rPr>
        <w:t>Ing. Vladimírem Mattou</w:t>
      </w:r>
      <w:r w:rsidR="004651EA" w:rsidRPr="00CF6914">
        <w:rPr>
          <w:rFonts w:eastAsia="Arial Unicode MS" w:cstheme="minorHAnsi"/>
        </w:rPr>
        <w:t>,</w:t>
      </w:r>
    </w:p>
    <w:p w14:paraId="4FC886CD" w14:textId="77777777" w:rsidR="001201C4" w:rsidRPr="00CF6914" w:rsidRDefault="001201C4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 xml:space="preserve">  generálním ředitelem České průmyslové zdravotní pojišťovny </w:t>
      </w:r>
    </w:p>
    <w:p w14:paraId="5AE83931" w14:textId="2EB50612" w:rsidR="001201C4" w:rsidRPr="00CF6914" w:rsidRDefault="001201C4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 xml:space="preserve">zápis ve veř. rejstříku     </w:t>
      </w:r>
      <w:r w:rsidR="00914A6B"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>: vedeném Krajským soudem v Ostravě, oddíl AXIV, vložka 545</w:t>
      </w:r>
    </w:p>
    <w:p w14:paraId="19E6FB06" w14:textId="77777777" w:rsidR="001201C4" w:rsidRPr="00CF6914" w:rsidRDefault="001201C4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cstheme="minorHAnsi"/>
        </w:rPr>
        <w:t>IČO</w:t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  <w:t>: 476 72 234</w:t>
      </w:r>
    </w:p>
    <w:p w14:paraId="4D38D013" w14:textId="44FE3441" w:rsidR="001201C4" w:rsidRPr="00CF6914" w:rsidRDefault="001201C4" w:rsidP="00E06AE0">
      <w:pPr>
        <w:spacing w:line="240" w:lineRule="auto"/>
        <w:rPr>
          <w:rFonts w:eastAsia="Times New Roman" w:cstheme="minorHAnsi"/>
        </w:rPr>
      </w:pPr>
      <w:r w:rsidRPr="00CF6914">
        <w:rPr>
          <w:rFonts w:cstheme="minorHAnsi"/>
        </w:rPr>
        <w:t>telefon</w:t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  <w:t xml:space="preserve">: </w:t>
      </w:r>
      <w:r w:rsidR="00A45673">
        <w:rPr>
          <w:rFonts w:cstheme="minorHAnsi"/>
        </w:rPr>
        <w:t>xxx</w:t>
      </w:r>
    </w:p>
    <w:p w14:paraId="179339E7" w14:textId="77777777" w:rsidR="001201C4" w:rsidRPr="00CF6914" w:rsidRDefault="001201C4" w:rsidP="00E06AE0">
      <w:pPr>
        <w:spacing w:line="240" w:lineRule="auto"/>
        <w:rPr>
          <w:rFonts w:cstheme="minorHAnsi"/>
        </w:rPr>
      </w:pPr>
      <w:r w:rsidRPr="00CF6914">
        <w:rPr>
          <w:rFonts w:cstheme="minorHAnsi"/>
        </w:rPr>
        <w:t>e-mail</w:t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  <w:t>: smlouvy@cpzp.cz</w:t>
      </w:r>
    </w:p>
    <w:p w14:paraId="062113F6" w14:textId="71645B0D" w:rsidR="001201C4" w:rsidRPr="00CF6914" w:rsidRDefault="001201C4" w:rsidP="00E06AE0">
      <w:pPr>
        <w:spacing w:line="240" w:lineRule="auto"/>
        <w:rPr>
          <w:rFonts w:cstheme="minorHAnsi"/>
        </w:rPr>
      </w:pPr>
      <w:r w:rsidRPr="00CF6914">
        <w:rPr>
          <w:rFonts w:cstheme="minorHAnsi"/>
        </w:rPr>
        <w:t>bankovní spojení</w:t>
      </w:r>
      <w:r w:rsidRPr="00CF6914">
        <w:rPr>
          <w:rFonts w:cstheme="minorHAnsi"/>
        </w:rPr>
        <w:tab/>
      </w:r>
      <w:r w:rsidRPr="00CF6914">
        <w:rPr>
          <w:rFonts w:cstheme="minorHAnsi"/>
        </w:rPr>
        <w:tab/>
        <w:t xml:space="preserve">: </w:t>
      </w:r>
      <w:r w:rsidRPr="00CF6914">
        <w:rPr>
          <w:rFonts w:eastAsia="Arial Unicode MS" w:cstheme="minorHAnsi"/>
        </w:rPr>
        <w:t xml:space="preserve">ČESKÁ NÁRODNÍ BANKA, č.ú.: </w:t>
      </w:r>
      <w:r w:rsidR="00A45673">
        <w:rPr>
          <w:rFonts w:eastAsia="Arial Unicode MS" w:cstheme="minorHAnsi"/>
        </w:rPr>
        <w:t>xx</w:t>
      </w:r>
    </w:p>
    <w:p w14:paraId="3E076AF5" w14:textId="77777777" w:rsidR="001201C4" w:rsidRPr="00CF6914" w:rsidRDefault="001201C4" w:rsidP="00E06AE0">
      <w:pPr>
        <w:spacing w:line="240" w:lineRule="auto"/>
        <w:rPr>
          <w:rFonts w:cstheme="minorHAnsi"/>
        </w:rPr>
      </w:pPr>
      <w:r w:rsidRPr="00CF6914">
        <w:rPr>
          <w:rFonts w:cstheme="minorHAnsi"/>
        </w:rPr>
        <w:t>(dále jen „</w:t>
      </w:r>
      <w:r w:rsidRPr="00CF6914">
        <w:rPr>
          <w:rFonts w:cstheme="minorHAnsi"/>
          <w:b/>
        </w:rPr>
        <w:t>ČPZP“</w:t>
      </w:r>
      <w:r w:rsidRPr="00CF6914">
        <w:rPr>
          <w:rFonts w:cstheme="minorHAnsi"/>
        </w:rPr>
        <w:t>)</w:t>
      </w:r>
    </w:p>
    <w:p w14:paraId="3D9F0163" w14:textId="77777777" w:rsidR="001201C4" w:rsidRPr="00CF6914" w:rsidRDefault="001201C4" w:rsidP="00E06AE0">
      <w:pPr>
        <w:spacing w:line="240" w:lineRule="auto"/>
        <w:jc w:val="center"/>
        <w:rPr>
          <w:rFonts w:cstheme="minorHAnsi"/>
          <w:b/>
        </w:rPr>
      </w:pPr>
      <w:r w:rsidRPr="00CF6914">
        <w:rPr>
          <w:rFonts w:cstheme="minorHAnsi"/>
          <w:b/>
        </w:rPr>
        <w:t>a</w:t>
      </w:r>
    </w:p>
    <w:p w14:paraId="1804F847" w14:textId="77777777" w:rsidR="001201C4" w:rsidRPr="00CF6914" w:rsidRDefault="001201C4" w:rsidP="00E06AE0">
      <w:pPr>
        <w:spacing w:line="240" w:lineRule="auto"/>
        <w:jc w:val="center"/>
        <w:rPr>
          <w:rFonts w:cstheme="minorHAnsi"/>
          <w:b/>
        </w:rPr>
      </w:pPr>
    </w:p>
    <w:p w14:paraId="11B56FF2" w14:textId="77777777" w:rsidR="001201C4" w:rsidRPr="00CF6914" w:rsidRDefault="005E6F10" w:rsidP="00E06AE0">
      <w:pPr>
        <w:spacing w:line="240" w:lineRule="auto"/>
        <w:rPr>
          <w:rFonts w:cstheme="minorHAnsi"/>
        </w:rPr>
      </w:pPr>
      <w:r w:rsidRPr="00CF6914">
        <w:rPr>
          <w:rFonts w:cstheme="minorHAnsi"/>
          <w:b/>
          <w:i/>
        </w:rPr>
        <w:t>Františkovy Lázně SAVOY a.s. v likvidaci</w:t>
      </w:r>
    </w:p>
    <w:p w14:paraId="78945A92" w14:textId="77777777" w:rsidR="001201C4" w:rsidRPr="00CF6914" w:rsidRDefault="001201C4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se sídlem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 xml:space="preserve">: </w:t>
      </w:r>
      <w:r w:rsidR="005E6F10" w:rsidRPr="00CF6914">
        <w:rPr>
          <w:rFonts w:eastAsia="Arial Unicode MS" w:cstheme="minorHAnsi"/>
        </w:rPr>
        <w:t>V celnici 1031/4, Nové Město, 110 00 Praha 1</w:t>
      </w:r>
    </w:p>
    <w:p w14:paraId="6E639410" w14:textId="77777777" w:rsidR="001201C4" w:rsidRPr="00CF6914" w:rsidRDefault="001201C4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zastoupena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 xml:space="preserve">: </w:t>
      </w:r>
      <w:r w:rsidR="005E6F10" w:rsidRPr="00CF6914">
        <w:rPr>
          <w:rFonts w:eastAsia="Arial Unicode MS" w:cstheme="minorHAnsi"/>
        </w:rPr>
        <w:t>Ing. Davidem Jánošíkem, likvidátorem</w:t>
      </w:r>
    </w:p>
    <w:p w14:paraId="7D3421EB" w14:textId="2DC026BF" w:rsidR="001201C4" w:rsidRPr="00CF6914" w:rsidRDefault="001201C4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 xml:space="preserve">zápis ve veř. rejstříku       </w:t>
      </w:r>
      <w:r w:rsidR="00914A6B"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 xml:space="preserve">: vedeném u Městského soudu v Praze, sp. zn. </w:t>
      </w:r>
      <w:r w:rsidR="005E6F10" w:rsidRPr="00CF6914">
        <w:rPr>
          <w:rFonts w:eastAsia="Arial Unicode MS" w:cstheme="minorHAnsi"/>
        </w:rPr>
        <w:t>B</w:t>
      </w:r>
      <w:r w:rsidRPr="00CF6914">
        <w:rPr>
          <w:rFonts w:eastAsia="Arial Unicode MS" w:cstheme="minorHAnsi"/>
        </w:rPr>
        <w:t xml:space="preserve"> </w:t>
      </w:r>
      <w:r w:rsidR="005E6F10" w:rsidRPr="00CF6914">
        <w:rPr>
          <w:rFonts w:eastAsia="Arial Unicode MS" w:cstheme="minorHAnsi"/>
        </w:rPr>
        <w:t>24838</w:t>
      </w:r>
    </w:p>
    <w:p w14:paraId="54063B2B" w14:textId="77777777" w:rsidR="001201C4" w:rsidRPr="00CF6914" w:rsidRDefault="001201C4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IČO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 xml:space="preserve">: </w:t>
      </w:r>
      <w:r w:rsidR="005E6F10" w:rsidRPr="00CF6914">
        <w:rPr>
          <w:rFonts w:eastAsia="Arial Unicode MS" w:cstheme="minorHAnsi"/>
        </w:rPr>
        <w:t>041 88 080</w:t>
      </w:r>
    </w:p>
    <w:p w14:paraId="0E18B1C6" w14:textId="77777777" w:rsidR="005E6F10" w:rsidRPr="00CF6914" w:rsidRDefault="001201C4" w:rsidP="00E06AE0">
      <w:pPr>
        <w:spacing w:line="240" w:lineRule="auto"/>
        <w:rPr>
          <w:rFonts w:cstheme="minorHAnsi"/>
          <w:b/>
          <w:bCs/>
        </w:rPr>
      </w:pPr>
      <w:r w:rsidRPr="00CF6914">
        <w:rPr>
          <w:rFonts w:cstheme="minorHAnsi"/>
        </w:rPr>
        <w:t>(dále jen „</w:t>
      </w:r>
      <w:r w:rsidR="005E6F10" w:rsidRPr="00CF6914">
        <w:rPr>
          <w:rFonts w:cstheme="minorHAnsi"/>
          <w:b/>
          <w:bCs/>
        </w:rPr>
        <w:t>FLS</w:t>
      </w:r>
      <w:r w:rsidRPr="00CF6914">
        <w:rPr>
          <w:rFonts w:cstheme="minorHAnsi"/>
          <w:bCs/>
        </w:rPr>
        <w:t>“</w:t>
      </w:r>
      <w:r w:rsidR="005E6F10" w:rsidRPr="00CF6914">
        <w:rPr>
          <w:rFonts w:cstheme="minorHAnsi"/>
          <w:bCs/>
        </w:rPr>
        <w:t>)</w:t>
      </w:r>
    </w:p>
    <w:p w14:paraId="6468A18A" w14:textId="77777777" w:rsidR="005E6F10" w:rsidRPr="00CF6914" w:rsidRDefault="005E6F10" w:rsidP="00E06AE0">
      <w:pPr>
        <w:spacing w:line="240" w:lineRule="auto"/>
        <w:jc w:val="center"/>
        <w:rPr>
          <w:rFonts w:cstheme="minorHAnsi"/>
          <w:b/>
        </w:rPr>
      </w:pPr>
      <w:r w:rsidRPr="00CF6914">
        <w:rPr>
          <w:rFonts w:cstheme="minorHAnsi"/>
          <w:b/>
        </w:rPr>
        <w:t>a</w:t>
      </w:r>
    </w:p>
    <w:p w14:paraId="1D0A1635" w14:textId="77777777" w:rsidR="005E6F10" w:rsidRPr="00CF6914" w:rsidRDefault="005E6F10" w:rsidP="00E06AE0">
      <w:pPr>
        <w:spacing w:line="240" w:lineRule="auto"/>
        <w:jc w:val="center"/>
        <w:rPr>
          <w:rFonts w:cstheme="minorHAnsi"/>
          <w:b/>
        </w:rPr>
      </w:pPr>
    </w:p>
    <w:p w14:paraId="2702B863" w14:textId="77777777" w:rsidR="005E6F10" w:rsidRPr="00CF6914" w:rsidRDefault="005E6F10" w:rsidP="00E06AE0">
      <w:pPr>
        <w:spacing w:line="240" w:lineRule="auto"/>
        <w:rPr>
          <w:rFonts w:cstheme="minorHAnsi"/>
          <w:b/>
          <w:bCs/>
          <w:i/>
        </w:rPr>
      </w:pPr>
      <w:r w:rsidRPr="00CF6914">
        <w:rPr>
          <w:rFonts w:cstheme="minorHAnsi"/>
          <w:b/>
          <w:bCs/>
          <w:i/>
        </w:rPr>
        <w:t>Česká hotelová, a.s.</w:t>
      </w:r>
    </w:p>
    <w:p w14:paraId="2E686C3B" w14:textId="77777777" w:rsidR="005E6F10" w:rsidRPr="00CF6914" w:rsidRDefault="005E6F10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se sídlem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>: Pečárková 177/8, Pitkovice, 104 00 Praha 10</w:t>
      </w:r>
    </w:p>
    <w:p w14:paraId="770CEB19" w14:textId="77777777" w:rsidR="005E6F10" w:rsidRPr="00CF6914" w:rsidRDefault="005E6F10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zastoupena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>: panem Gulali Mirzayev, členem správní rady</w:t>
      </w:r>
    </w:p>
    <w:p w14:paraId="45A40BDA" w14:textId="663D436F" w:rsidR="005E6F10" w:rsidRPr="00CF6914" w:rsidRDefault="005E6F10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 xml:space="preserve">zápis ve veř. rejstříku       </w:t>
      </w:r>
      <w:r w:rsidRPr="00CF6914">
        <w:rPr>
          <w:rFonts w:eastAsia="Arial Unicode MS" w:cstheme="minorHAnsi"/>
        </w:rPr>
        <w:tab/>
        <w:t xml:space="preserve">: vedeném u Městského soudu v Praze, sp. zn. B </w:t>
      </w:r>
      <w:r w:rsidR="00887747" w:rsidRPr="00CF6914">
        <w:rPr>
          <w:rFonts w:eastAsia="Arial Unicode MS" w:cstheme="minorHAnsi"/>
        </w:rPr>
        <w:t>10662</w:t>
      </w:r>
    </w:p>
    <w:p w14:paraId="41678815" w14:textId="77777777" w:rsidR="005E6F10" w:rsidRPr="00CF6914" w:rsidRDefault="005E6F10" w:rsidP="00E06AE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IČO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 xml:space="preserve">: </w:t>
      </w:r>
      <w:r w:rsidR="00887747" w:rsidRPr="00CF6914">
        <w:rPr>
          <w:rFonts w:eastAsia="Arial Unicode MS" w:cstheme="minorHAnsi"/>
        </w:rPr>
        <w:t>269 68 851</w:t>
      </w:r>
    </w:p>
    <w:p w14:paraId="3BDC57F5" w14:textId="77777777" w:rsidR="005E6F10" w:rsidRPr="00CF6914" w:rsidRDefault="005E6F10" w:rsidP="00E06AE0">
      <w:pPr>
        <w:spacing w:line="240" w:lineRule="auto"/>
        <w:rPr>
          <w:rFonts w:cstheme="minorHAnsi"/>
          <w:b/>
          <w:bCs/>
        </w:rPr>
      </w:pPr>
      <w:r w:rsidRPr="00CF6914">
        <w:rPr>
          <w:rFonts w:cstheme="minorHAnsi"/>
        </w:rPr>
        <w:t>(dále jen „</w:t>
      </w:r>
      <w:r w:rsidRPr="00CF6914">
        <w:rPr>
          <w:rFonts w:cstheme="minorHAnsi"/>
          <w:b/>
          <w:bCs/>
        </w:rPr>
        <w:t>ČH</w:t>
      </w:r>
      <w:r w:rsidRPr="00CF6914">
        <w:rPr>
          <w:rFonts w:cstheme="minorHAnsi"/>
          <w:bCs/>
        </w:rPr>
        <w:t>“)</w:t>
      </w:r>
    </w:p>
    <w:p w14:paraId="0F27330A" w14:textId="77777777" w:rsidR="005E6F10" w:rsidRPr="00CF6914" w:rsidRDefault="005E6F10" w:rsidP="00E06AE0">
      <w:pPr>
        <w:spacing w:line="240" w:lineRule="auto"/>
        <w:rPr>
          <w:rFonts w:cstheme="minorHAnsi"/>
          <w:b/>
          <w:bCs/>
        </w:rPr>
      </w:pPr>
    </w:p>
    <w:p w14:paraId="37DF0A9F" w14:textId="77777777" w:rsidR="00EB096B" w:rsidRPr="00CF6914" w:rsidRDefault="00EB096B" w:rsidP="00E06AE0">
      <w:pPr>
        <w:spacing w:line="240" w:lineRule="auto"/>
        <w:jc w:val="center"/>
        <w:rPr>
          <w:rFonts w:cstheme="minorHAnsi"/>
          <w:b/>
        </w:rPr>
      </w:pPr>
      <w:r w:rsidRPr="00CF6914">
        <w:rPr>
          <w:rFonts w:cstheme="minorHAnsi"/>
          <w:b/>
        </w:rPr>
        <w:lastRenderedPageBreak/>
        <w:t>a</w:t>
      </w:r>
    </w:p>
    <w:p w14:paraId="02A7505B" w14:textId="77777777" w:rsidR="00EB096B" w:rsidRPr="00CF6914" w:rsidRDefault="00EB096B" w:rsidP="00E06AE0">
      <w:pPr>
        <w:spacing w:line="240" w:lineRule="auto"/>
        <w:jc w:val="center"/>
        <w:rPr>
          <w:rFonts w:cstheme="minorHAnsi"/>
          <w:b/>
        </w:rPr>
      </w:pPr>
    </w:p>
    <w:p w14:paraId="67C25752" w14:textId="075A5FF2" w:rsidR="00EB096B" w:rsidRPr="00CF6914" w:rsidRDefault="00EB096B" w:rsidP="00A77A90">
      <w:pPr>
        <w:keepNext/>
        <w:spacing w:line="240" w:lineRule="auto"/>
        <w:rPr>
          <w:rFonts w:cstheme="minorHAnsi"/>
          <w:b/>
          <w:bCs/>
          <w:i/>
        </w:rPr>
      </w:pPr>
      <w:r w:rsidRPr="00CF6914">
        <w:rPr>
          <w:rFonts w:cstheme="minorHAnsi"/>
          <w:b/>
          <w:bCs/>
          <w:i/>
        </w:rPr>
        <w:t>HOTELIS s.r.o.</w:t>
      </w:r>
    </w:p>
    <w:p w14:paraId="259CE1B3" w14:textId="245F815A" w:rsidR="00EB096B" w:rsidRPr="00CF6914" w:rsidRDefault="00EB096B" w:rsidP="00A77A9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se sídlem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>: Zahradní 803/27, 360 01 Karlovy Vary</w:t>
      </w:r>
    </w:p>
    <w:p w14:paraId="0E8B52A4" w14:textId="60CDD50E" w:rsidR="00EB096B" w:rsidRPr="00CF6914" w:rsidRDefault="00EB096B" w:rsidP="00591BC3">
      <w:pPr>
        <w:spacing w:line="240" w:lineRule="auto"/>
        <w:ind w:left="2835" w:hanging="2835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zastoupena</w:t>
      </w:r>
      <w:r w:rsidRPr="00CF6914">
        <w:rPr>
          <w:rFonts w:eastAsia="Arial Unicode MS" w:cstheme="minorHAnsi"/>
        </w:rPr>
        <w:tab/>
        <w:t xml:space="preserve">: </w:t>
      </w:r>
      <w:r w:rsidR="00591BC3" w:rsidRPr="00CF6914">
        <w:rPr>
          <w:rFonts w:eastAsia="Arial Unicode MS" w:cstheme="minorHAnsi"/>
        </w:rPr>
        <w:t>paní</w:t>
      </w:r>
      <w:r w:rsidR="00A45673">
        <w:rPr>
          <w:rFonts w:eastAsia="Arial Unicode MS" w:cstheme="minorHAnsi"/>
        </w:rPr>
        <w:t xml:space="preserve">  X</w:t>
      </w:r>
      <w:bookmarkStart w:id="0" w:name="_GoBack"/>
      <w:bookmarkEnd w:id="0"/>
      <w:r w:rsidR="00A45673">
        <w:rPr>
          <w:rFonts w:eastAsia="Arial Unicode MS" w:cstheme="minorHAnsi"/>
        </w:rPr>
        <w:t>X</w:t>
      </w:r>
      <w:r w:rsidRPr="00CF6914">
        <w:rPr>
          <w:rFonts w:eastAsia="Arial Unicode MS" w:cstheme="minorHAnsi"/>
        </w:rPr>
        <w:t xml:space="preserve">, </w:t>
      </w:r>
      <w:r w:rsidR="00591BC3" w:rsidRPr="00CF6914">
        <w:rPr>
          <w:rFonts w:eastAsia="Arial Unicode MS" w:cstheme="minorHAnsi"/>
        </w:rPr>
        <w:t>jednající na základě plné moci ze</w:t>
      </w:r>
      <w:r w:rsidR="00A0731D">
        <w:rPr>
          <w:rFonts w:eastAsia="Arial Unicode MS" w:cstheme="minorHAnsi"/>
        </w:rPr>
        <w:t> </w:t>
      </w:r>
      <w:r w:rsidR="00591BC3" w:rsidRPr="00CF6914">
        <w:rPr>
          <w:rFonts w:eastAsia="Arial Unicode MS" w:cstheme="minorHAnsi"/>
        </w:rPr>
        <w:t>dne</w:t>
      </w:r>
      <w:r w:rsidR="00A0731D">
        <w:rPr>
          <w:rFonts w:eastAsia="Arial Unicode MS" w:cstheme="minorHAnsi"/>
        </w:rPr>
        <w:t> </w:t>
      </w:r>
      <w:r w:rsidR="00591BC3" w:rsidRPr="00CF6914">
        <w:rPr>
          <w:rFonts w:eastAsia="Arial Unicode MS" w:cstheme="minorHAnsi"/>
        </w:rPr>
        <w:t>11.</w:t>
      </w:r>
      <w:r w:rsidR="00A0731D">
        <w:rPr>
          <w:rFonts w:eastAsia="Arial Unicode MS" w:cstheme="minorHAnsi"/>
        </w:rPr>
        <w:t> </w:t>
      </w:r>
      <w:r w:rsidR="00591BC3" w:rsidRPr="00CF6914">
        <w:rPr>
          <w:rFonts w:eastAsia="Arial Unicode MS" w:cstheme="minorHAnsi"/>
        </w:rPr>
        <w:t>10.</w:t>
      </w:r>
      <w:r w:rsidR="00A0731D">
        <w:rPr>
          <w:rFonts w:eastAsia="Arial Unicode MS" w:cstheme="minorHAnsi"/>
        </w:rPr>
        <w:t> </w:t>
      </w:r>
      <w:r w:rsidR="00591BC3" w:rsidRPr="00CF6914">
        <w:rPr>
          <w:rFonts w:eastAsia="Arial Unicode MS" w:cstheme="minorHAnsi"/>
        </w:rPr>
        <w:t>2024</w:t>
      </w:r>
    </w:p>
    <w:p w14:paraId="11EE236A" w14:textId="648D0064" w:rsidR="00EB096B" w:rsidRPr="00CF6914" w:rsidRDefault="00EB096B" w:rsidP="00A77A9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 xml:space="preserve">zápis ve veř. rejstříku       </w:t>
      </w:r>
      <w:r w:rsidRPr="00CF6914">
        <w:rPr>
          <w:rFonts w:eastAsia="Arial Unicode MS" w:cstheme="minorHAnsi"/>
        </w:rPr>
        <w:tab/>
        <w:t>: vedeném u Městského soudu v Praze, sp. zn. C 39608</w:t>
      </w:r>
    </w:p>
    <w:p w14:paraId="77D15812" w14:textId="62E57439" w:rsidR="00EB096B" w:rsidRPr="00CF6914" w:rsidRDefault="00EB096B" w:rsidP="00A77A90">
      <w:pPr>
        <w:spacing w:line="240" w:lineRule="auto"/>
        <w:rPr>
          <w:rFonts w:eastAsia="Arial Unicode MS" w:cstheme="minorHAnsi"/>
        </w:rPr>
      </w:pPr>
      <w:r w:rsidRPr="00CF6914">
        <w:rPr>
          <w:rFonts w:eastAsia="Arial Unicode MS" w:cstheme="minorHAnsi"/>
        </w:rPr>
        <w:t>IČO</w:t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</w:r>
      <w:r w:rsidRPr="00CF6914">
        <w:rPr>
          <w:rFonts w:eastAsia="Arial Unicode MS" w:cstheme="minorHAnsi"/>
        </w:rPr>
        <w:tab/>
        <w:t>: 093 65 508</w:t>
      </w:r>
    </w:p>
    <w:p w14:paraId="352C9E14" w14:textId="48F51AAD" w:rsidR="00EB096B" w:rsidRPr="00CF6914" w:rsidRDefault="00EB096B" w:rsidP="00A77A90">
      <w:pPr>
        <w:spacing w:line="240" w:lineRule="auto"/>
        <w:rPr>
          <w:rFonts w:cstheme="minorHAnsi"/>
          <w:b/>
          <w:bCs/>
        </w:rPr>
      </w:pPr>
      <w:r w:rsidRPr="00CF6914">
        <w:rPr>
          <w:rFonts w:cstheme="minorHAnsi"/>
        </w:rPr>
        <w:t>(dále jen „</w:t>
      </w:r>
      <w:r w:rsidRPr="00CF6914">
        <w:rPr>
          <w:rFonts w:cstheme="minorHAnsi"/>
          <w:b/>
          <w:bCs/>
        </w:rPr>
        <w:t>HTL</w:t>
      </w:r>
      <w:r w:rsidRPr="00CF6914">
        <w:rPr>
          <w:rFonts w:cstheme="minorHAnsi"/>
          <w:bCs/>
        </w:rPr>
        <w:t>“)</w:t>
      </w:r>
    </w:p>
    <w:p w14:paraId="6DDDC2B9" w14:textId="77777777" w:rsidR="005E6F10" w:rsidRPr="00CF6914" w:rsidRDefault="005E6F10" w:rsidP="00A77A90">
      <w:pPr>
        <w:spacing w:line="240" w:lineRule="auto"/>
        <w:rPr>
          <w:rFonts w:cstheme="minorHAnsi"/>
          <w:b/>
          <w:bCs/>
        </w:rPr>
      </w:pPr>
    </w:p>
    <w:p w14:paraId="6F8426F8" w14:textId="663C3AC1" w:rsidR="001201C4" w:rsidRPr="00CF6914" w:rsidRDefault="005E6F10" w:rsidP="00A77A90">
      <w:pPr>
        <w:spacing w:line="240" w:lineRule="auto"/>
        <w:rPr>
          <w:rFonts w:eastAsia="Times New Roman" w:cstheme="minorHAnsi"/>
          <w:b/>
          <w:bCs/>
        </w:rPr>
      </w:pPr>
      <w:r w:rsidRPr="00CF6914">
        <w:rPr>
          <w:rFonts w:cstheme="minorHAnsi"/>
          <w:bCs/>
        </w:rPr>
        <w:t>(</w:t>
      </w:r>
      <w:r w:rsidR="00625B4E" w:rsidRPr="00CF6914">
        <w:rPr>
          <w:rFonts w:cstheme="minorHAnsi"/>
          <w:bCs/>
        </w:rPr>
        <w:t>ČPZP</w:t>
      </w:r>
      <w:r w:rsidRPr="00CF6914">
        <w:rPr>
          <w:rFonts w:cstheme="minorHAnsi"/>
          <w:bCs/>
        </w:rPr>
        <w:t>, FLS</w:t>
      </w:r>
      <w:r w:rsidR="00EB096B" w:rsidRPr="00CF6914">
        <w:rPr>
          <w:rFonts w:cstheme="minorHAnsi"/>
          <w:bCs/>
        </w:rPr>
        <w:t>, ČH</w:t>
      </w:r>
      <w:r w:rsidRPr="00CF6914">
        <w:rPr>
          <w:rFonts w:cstheme="minorHAnsi"/>
          <w:bCs/>
        </w:rPr>
        <w:t xml:space="preserve"> a </w:t>
      </w:r>
      <w:r w:rsidR="00EB096B" w:rsidRPr="00CF6914">
        <w:rPr>
          <w:rFonts w:cstheme="minorHAnsi"/>
          <w:bCs/>
        </w:rPr>
        <w:t xml:space="preserve">HTL </w:t>
      </w:r>
      <w:r w:rsidR="00625B4E" w:rsidRPr="00CF6914">
        <w:rPr>
          <w:rFonts w:cstheme="minorHAnsi"/>
          <w:bCs/>
        </w:rPr>
        <w:t>dále společně také „</w:t>
      </w:r>
      <w:r w:rsidR="00625B4E" w:rsidRPr="00CF6914">
        <w:rPr>
          <w:rFonts w:cstheme="minorHAnsi"/>
          <w:b/>
          <w:bCs/>
        </w:rPr>
        <w:t>smluvní strany</w:t>
      </w:r>
      <w:r w:rsidR="00625B4E" w:rsidRPr="00CF6914">
        <w:rPr>
          <w:rFonts w:cstheme="minorHAnsi"/>
          <w:bCs/>
        </w:rPr>
        <w:t>“ a jednotlivě „</w:t>
      </w:r>
      <w:r w:rsidR="00625B4E" w:rsidRPr="00CF6914">
        <w:rPr>
          <w:rFonts w:cstheme="minorHAnsi"/>
          <w:b/>
          <w:bCs/>
        </w:rPr>
        <w:t>smluvní strana</w:t>
      </w:r>
      <w:r w:rsidR="00625B4E" w:rsidRPr="00CF6914">
        <w:rPr>
          <w:rFonts w:cstheme="minorHAnsi"/>
          <w:bCs/>
        </w:rPr>
        <w:t>“</w:t>
      </w:r>
      <w:r w:rsidR="001201C4" w:rsidRPr="00CF6914">
        <w:rPr>
          <w:rFonts w:cstheme="minorHAnsi"/>
          <w:bCs/>
        </w:rPr>
        <w:t>)</w:t>
      </w:r>
    </w:p>
    <w:p w14:paraId="3BD7EA5C" w14:textId="77777777" w:rsidR="001201C4" w:rsidRPr="00317386" w:rsidRDefault="001201C4" w:rsidP="001201C4">
      <w:pPr>
        <w:spacing w:before="360"/>
        <w:jc w:val="center"/>
        <w:rPr>
          <w:rFonts w:cstheme="minorHAnsi"/>
          <w:b/>
          <w:bCs/>
        </w:rPr>
      </w:pPr>
      <w:r w:rsidRPr="00317386">
        <w:rPr>
          <w:rFonts w:cstheme="minorHAnsi"/>
          <w:b/>
          <w:bCs/>
        </w:rPr>
        <w:t>Článek I.</w:t>
      </w:r>
    </w:p>
    <w:p w14:paraId="6546A569" w14:textId="77777777" w:rsidR="001201C4" w:rsidRPr="00317386" w:rsidRDefault="00FA19BE" w:rsidP="001201C4">
      <w:pPr>
        <w:pStyle w:val="Styl12bTunzarovnnnastedPed6b"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Úvodní</w:t>
      </w:r>
      <w:r w:rsidR="001201C4" w:rsidRPr="00317386">
        <w:rPr>
          <w:rFonts w:asciiTheme="minorHAnsi" w:hAnsiTheme="minorHAnsi" w:cstheme="minorHAnsi"/>
          <w:sz w:val="22"/>
          <w:szCs w:val="22"/>
        </w:rPr>
        <w:t xml:space="preserve"> ustanovení</w:t>
      </w:r>
    </w:p>
    <w:p w14:paraId="62448CC0" w14:textId="77777777" w:rsidR="00887747" w:rsidRPr="00317386" w:rsidRDefault="006800B4" w:rsidP="004961D2">
      <w:pPr>
        <w:pStyle w:val="Stylpravidel"/>
        <w:widowControl/>
        <w:numPr>
          <w:ilvl w:val="0"/>
          <w:numId w:val="3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 xml:space="preserve">ČPZP a </w:t>
      </w:r>
      <w:r w:rsidR="00887747" w:rsidRPr="00317386">
        <w:rPr>
          <w:rFonts w:asciiTheme="minorHAnsi" w:hAnsiTheme="minorHAnsi" w:cstheme="minorHAnsi"/>
          <w:sz w:val="22"/>
          <w:szCs w:val="22"/>
        </w:rPr>
        <w:t xml:space="preserve">FLS </w:t>
      </w:r>
      <w:r w:rsidR="004961D2" w:rsidRPr="00317386">
        <w:rPr>
          <w:rFonts w:asciiTheme="minorHAnsi" w:hAnsiTheme="minorHAnsi" w:cstheme="minorHAnsi"/>
          <w:sz w:val="22"/>
          <w:szCs w:val="22"/>
        </w:rPr>
        <w:t>spolupracovali na základě Smlouvy o poskytování a úhradě léčebné rehabilitační péče č. 939207 ze dne 31. 1. 2017, ve znění pozdějších dodatků, uzavřené mezi ČPZP a FLS (dále jen „</w:t>
      </w:r>
      <w:r w:rsidR="004961D2" w:rsidRPr="00317386">
        <w:rPr>
          <w:rFonts w:asciiTheme="minorHAnsi" w:hAnsiTheme="minorHAnsi" w:cstheme="minorHAnsi"/>
          <w:b/>
          <w:sz w:val="22"/>
          <w:szCs w:val="22"/>
        </w:rPr>
        <w:t>Rámcová smlouva</w:t>
      </w:r>
      <w:r w:rsidR="004961D2" w:rsidRPr="00317386">
        <w:rPr>
          <w:rFonts w:asciiTheme="minorHAnsi" w:hAnsiTheme="minorHAnsi" w:cstheme="minorHAnsi"/>
          <w:sz w:val="22"/>
          <w:szCs w:val="22"/>
        </w:rPr>
        <w:t>“). S FLS jako s dlužníkem bylo následně u Městského soudu v Praze pod sp. zn. MSPH 59 INS 24899/2020 vedeno insolvenční řízení, v jehož rámci insolvenční správce FLS (dnes její likvidátor) prodal kupní smlouvou závod FLS z majetkové podstaty (dále jen „</w:t>
      </w:r>
      <w:r w:rsidR="004961D2" w:rsidRPr="00317386">
        <w:rPr>
          <w:rFonts w:asciiTheme="minorHAnsi" w:hAnsiTheme="minorHAnsi" w:cstheme="minorHAnsi"/>
          <w:b/>
          <w:sz w:val="22"/>
          <w:szCs w:val="22"/>
        </w:rPr>
        <w:t>Kupní smlouva</w:t>
      </w:r>
      <w:r w:rsidR="004961D2" w:rsidRPr="00317386">
        <w:rPr>
          <w:rFonts w:asciiTheme="minorHAnsi" w:hAnsiTheme="minorHAnsi" w:cstheme="minorHAnsi"/>
          <w:sz w:val="22"/>
          <w:szCs w:val="22"/>
        </w:rPr>
        <w:t>“) společnosti ČH.</w:t>
      </w:r>
      <w:r w:rsidR="009104B8">
        <w:rPr>
          <w:rFonts w:asciiTheme="minorHAnsi" w:hAnsiTheme="minorHAnsi" w:cstheme="minorHAnsi"/>
          <w:sz w:val="22"/>
          <w:szCs w:val="22"/>
        </w:rPr>
        <w:t xml:space="preserve"> Uvedená Kupní smlouva byla zveřejněna v insolvenčním rejstříku dne 7. 9. 2022 (část B – 357 insolvenčního rejstříku uvedeného insolvenčního řízení). Doklad o koupi byl do sbírky listin vedené pro společnost ČH založen dne 8. 9. 2022.</w:t>
      </w:r>
    </w:p>
    <w:p w14:paraId="7AD89942" w14:textId="3113E1E8" w:rsidR="004961D2" w:rsidRPr="00317386" w:rsidRDefault="004961D2" w:rsidP="004961D2">
      <w:pPr>
        <w:pStyle w:val="Stylpravidel"/>
        <w:widowControl/>
        <w:numPr>
          <w:ilvl w:val="0"/>
          <w:numId w:val="3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Dle čl. 4.2.1 Kupní smlouvy předal insolvenční správce FLS závod ČH spolu s uzavřením Kupní smlouvy, tedy 31.</w:t>
      </w:r>
      <w:r w:rsidR="00F9700A">
        <w:rPr>
          <w:rFonts w:asciiTheme="minorHAnsi" w:hAnsiTheme="minorHAnsi" w:cstheme="minorHAnsi"/>
          <w:sz w:val="22"/>
          <w:szCs w:val="22"/>
        </w:rPr>
        <w:t xml:space="preserve"> </w:t>
      </w:r>
      <w:r w:rsidRPr="00317386">
        <w:rPr>
          <w:rFonts w:asciiTheme="minorHAnsi" w:hAnsiTheme="minorHAnsi" w:cstheme="minorHAnsi"/>
          <w:sz w:val="22"/>
          <w:szCs w:val="22"/>
        </w:rPr>
        <w:t>8.</w:t>
      </w:r>
      <w:r w:rsidR="00F9700A">
        <w:rPr>
          <w:rFonts w:asciiTheme="minorHAnsi" w:hAnsiTheme="minorHAnsi" w:cstheme="minorHAnsi"/>
          <w:sz w:val="22"/>
          <w:szCs w:val="22"/>
        </w:rPr>
        <w:t xml:space="preserve"> </w:t>
      </w:r>
      <w:r w:rsidRPr="00317386">
        <w:rPr>
          <w:rFonts w:asciiTheme="minorHAnsi" w:hAnsiTheme="minorHAnsi" w:cstheme="minorHAnsi"/>
          <w:sz w:val="22"/>
          <w:szCs w:val="22"/>
        </w:rPr>
        <w:t xml:space="preserve">2022. V důsledku tohoto právního jednání pozbyla FLS fakticky věcné, technické a personální předpoklady pro poskytování hrazených služeb ve smyslu čl. 7 odst. 1 písm. d) Rámcové smlouvy, čímž došlo v souladu s uvedeným ustanovením k zániku Rámcové smlouvy. Přes </w:t>
      </w:r>
      <w:r w:rsidR="009104B8">
        <w:rPr>
          <w:rFonts w:asciiTheme="minorHAnsi" w:hAnsiTheme="minorHAnsi" w:cstheme="minorHAnsi"/>
          <w:sz w:val="22"/>
          <w:szCs w:val="22"/>
        </w:rPr>
        <w:t>výše uvedené skutečnosti</w:t>
      </w:r>
      <w:r w:rsidR="009104B8" w:rsidRPr="00317386">
        <w:rPr>
          <w:rFonts w:asciiTheme="minorHAnsi" w:hAnsiTheme="minorHAnsi" w:cstheme="minorHAnsi"/>
          <w:sz w:val="22"/>
          <w:szCs w:val="22"/>
        </w:rPr>
        <w:t xml:space="preserve"> </w:t>
      </w:r>
      <w:r w:rsidRPr="00317386">
        <w:rPr>
          <w:rFonts w:asciiTheme="minorHAnsi" w:hAnsiTheme="minorHAnsi" w:cstheme="minorHAnsi"/>
          <w:sz w:val="22"/>
          <w:szCs w:val="22"/>
        </w:rPr>
        <w:t xml:space="preserve">FLS dále vykazovala k úhradě a fakturovala zdravotní služby i v období po pozbytí věcných, technických a personálních předpokladů pro poskytování hrazených služeb a po zániku Rámcové smlouvy jako takové. Tyto zdravotní služby byly reálně poskytovány ČH a to do </w:t>
      </w:r>
      <w:r w:rsidR="00B31BB8" w:rsidRPr="00317386">
        <w:rPr>
          <w:rFonts w:asciiTheme="minorHAnsi" w:hAnsiTheme="minorHAnsi" w:cstheme="minorHAnsi"/>
          <w:sz w:val="22"/>
          <w:szCs w:val="22"/>
        </w:rPr>
        <w:t>7. 7. 2023</w:t>
      </w:r>
      <w:r w:rsidRPr="00317386">
        <w:rPr>
          <w:rFonts w:asciiTheme="minorHAnsi" w:hAnsiTheme="minorHAnsi" w:cstheme="minorHAnsi"/>
          <w:sz w:val="22"/>
          <w:szCs w:val="22"/>
        </w:rPr>
        <w:t xml:space="preserve"> na základě oprávnění k poskytování zdravotních služeb FLS v souladu s postupem aprobovaným stanoviskem Krajského úřadu Karlovarského kraje č. </w:t>
      </w:r>
      <w:r w:rsidR="00B31BB8" w:rsidRPr="00317386">
        <w:rPr>
          <w:rFonts w:asciiTheme="minorHAnsi" w:hAnsiTheme="minorHAnsi" w:cstheme="minorHAnsi"/>
          <w:sz w:val="22"/>
          <w:szCs w:val="22"/>
        </w:rPr>
        <w:t>KK/2133/ZD/24-2</w:t>
      </w:r>
      <w:r w:rsidRPr="00317386">
        <w:rPr>
          <w:rFonts w:asciiTheme="minorHAnsi" w:hAnsiTheme="minorHAnsi" w:cstheme="minorHAnsi"/>
          <w:sz w:val="22"/>
          <w:szCs w:val="22"/>
        </w:rPr>
        <w:t xml:space="preserve"> ze dne </w:t>
      </w:r>
      <w:r w:rsidR="00B31BB8" w:rsidRPr="00317386">
        <w:rPr>
          <w:rFonts w:asciiTheme="minorHAnsi" w:hAnsiTheme="minorHAnsi" w:cstheme="minorHAnsi"/>
          <w:sz w:val="22"/>
          <w:szCs w:val="22"/>
        </w:rPr>
        <w:t>14. 10. 2024</w:t>
      </w:r>
      <w:r w:rsidRPr="00317386">
        <w:rPr>
          <w:rFonts w:asciiTheme="minorHAnsi" w:hAnsiTheme="minorHAnsi" w:cstheme="minorHAnsi"/>
          <w:sz w:val="22"/>
          <w:szCs w:val="22"/>
        </w:rPr>
        <w:t xml:space="preserve">. </w:t>
      </w:r>
      <w:r w:rsidR="00D10283">
        <w:rPr>
          <w:rFonts w:asciiTheme="minorHAnsi" w:hAnsiTheme="minorHAnsi" w:cstheme="minorHAnsi"/>
          <w:sz w:val="22"/>
          <w:szCs w:val="22"/>
        </w:rPr>
        <w:t>O</w:t>
      </w:r>
      <w:r w:rsidR="00D10283" w:rsidRPr="00542A23">
        <w:rPr>
          <w:rFonts w:asciiTheme="minorHAnsi" w:hAnsiTheme="minorHAnsi" w:cstheme="minorHAnsi"/>
          <w:sz w:val="22"/>
          <w:szCs w:val="22"/>
        </w:rPr>
        <w:t>d 8. 7. 2023 poskytuje ČH zdravotní služby na základě vlastního oprávnění k poskytování hrazených zdravotních služeb.</w:t>
      </w:r>
    </w:p>
    <w:p w14:paraId="627C6E50" w14:textId="072B3D63" w:rsidR="004961D2" w:rsidRPr="00317386" w:rsidRDefault="004961D2" w:rsidP="004961D2">
      <w:pPr>
        <w:pStyle w:val="Stylpravidel"/>
        <w:widowControl/>
        <w:numPr>
          <w:ilvl w:val="0"/>
          <w:numId w:val="3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Takto vykázané hrazené zdravotní služby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za období od </w:t>
      </w:r>
      <w:r w:rsidR="00103648" w:rsidRPr="00317386">
        <w:rPr>
          <w:rFonts w:asciiTheme="minorHAnsi" w:hAnsiTheme="minorHAnsi" w:cstheme="minorHAnsi"/>
          <w:sz w:val="22"/>
          <w:szCs w:val="22"/>
        </w:rPr>
        <w:t>1. 9. 2022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do </w:t>
      </w:r>
      <w:r w:rsidR="00103648" w:rsidRPr="00317386">
        <w:rPr>
          <w:rFonts w:asciiTheme="minorHAnsi" w:hAnsiTheme="minorHAnsi" w:cstheme="minorHAnsi"/>
          <w:sz w:val="22"/>
          <w:szCs w:val="22"/>
        </w:rPr>
        <w:t>30. 4. 2024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</w:t>
      </w:r>
      <w:r w:rsidRPr="00317386">
        <w:rPr>
          <w:rFonts w:asciiTheme="minorHAnsi" w:hAnsiTheme="minorHAnsi" w:cstheme="minorHAnsi"/>
          <w:sz w:val="22"/>
          <w:szCs w:val="22"/>
        </w:rPr>
        <w:t xml:space="preserve"> byly ze strany ČPZP uhrazeny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FLS v celkovém </w:t>
      </w:r>
      <w:r w:rsidR="001928FF" w:rsidRPr="00A77A90">
        <w:rPr>
          <w:rFonts w:asciiTheme="minorHAnsi" w:hAnsiTheme="minorHAnsi" w:cstheme="minorHAnsi"/>
          <w:sz w:val="22"/>
          <w:szCs w:val="22"/>
        </w:rPr>
        <w:t xml:space="preserve">objemu </w:t>
      </w:r>
      <w:r w:rsidR="00103648" w:rsidRPr="00A77A90">
        <w:rPr>
          <w:rFonts w:asciiTheme="minorHAnsi" w:hAnsiTheme="minorHAnsi" w:cstheme="minorHAnsi"/>
          <w:sz w:val="22"/>
          <w:szCs w:val="22"/>
        </w:rPr>
        <w:t>5 409 255,00</w:t>
      </w:r>
      <w:r w:rsidR="001928FF" w:rsidRPr="00A77A90">
        <w:rPr>
          <w:rFonts w:asciiTheme="minorHAnsi" w:hAnsiTheme="minorHAnsi" w:cstheme="minorHAnsi"/>
          <w:sz w:val="22"/>
          <w:szCs w:val="22"/>
        </w:rPr>
        <w:t xml:space="preserve"> Kč. V části odpovídající </w:t>
      </w:r>
      <w:r w:rsidR="00103648" w:rsidRPr="00A77A90">
        <w:rPr>
          <w:rFonts w:asciiTheme="minorHAnsi" w:hAnsiTheme="minorHAnsi" w:cstheme="minorHAnsi"/>
          <w:sz w:val="22"/>
          <w:szCs w:val="22"/>
        </w:rPr>
        <w:t>5 314 609,00</w:t>
      </w:r>
      <w:r w:rsidR="001928FF" w:rsidRPr="00A77A90">
        <w:rPr>
          <w:rFonts w:asciiTheme="minorHAnsi" w:hAnsiTheme="minorHAnsi" w:cstheme="minorHAnsi"/>
          <w:sz w:val="22"/>
          <w:szCs w:val="22"/>
        </w:rPr>
        <w:t xml:space="preserve"> Kč jsou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předmětem </w:t>
      </w:r>
      <w:r w:rsidR="00103648" w:rsidRPr="00317386">
        <w:rPr>
          <w:rFonts w:asciiTheme="minorHAnsi" w:hAnsiTheme="minorHAnsi" w:cstheme="minorHAnsi"/>
          <w:sz w:val="22"/>
          <w:szCs w:val="22"/>
        </w:rPr>
        <w:t>provedené kontroly poskytovatele zdravotních služeb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č. </w:t>
      </w:r>
      <w:r w:rsidR="00103648" w:rsidRPr="00317386">
        <w:rPr>
          <w:rFonts w:asciiTheme="minorHAnsi" w:hAnsiTheme="minorHAnsi" w:cstheme="minorHAnsi"/>
          <w:sz w:val="22"/>
          <w:szCs w:val="22"/>
        </w:rPr>
        <w:t>02766/24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1928FF" w:rsidRPr="00317386">
        <w:rPr>
          <w:rFonts w:asciiTheme="minorHAnsi" w:hAnsiTheme="minorHAnsi" w:cstheme="minorHAnsi"/>
          <w:b/>
          <w:sz w:val="22"/>
          <w:szCs w:val="22"/>
        </w:rPr>
        <w:t>Revize</w:t>
      </w:r>
      <w:r w:rsidR="00297CE4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“) uplatněné formou návrhu na vydání elektronického platebního rozkazu vedeného u Obvodního soudu pro Prahu 1 pod sp. zn. </w:t>
      </w:r>
      <w:r w:rsidR="00103648" w:rsidRPr="00317386">
        <w:rPr>
          <w:rFonts w:asciiTheme="minorHAnsi" w:hAnsiTheme="minorHAnsi" w:cstheme="minorHAnsi"/>
          <w:sz w:val="22"/>
          <w:szCs w:val="22"/>
        </w:rPr>
        <w:t>EPR 236718/2024,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1928FF" w:rsidRPr="00317386">
        <w:rPr>
          <w:rFonts w:asciiTheme="minorHAnsi" w:hAnsiTheme="minorHAnsi" w:cstheme="minorHAnsi"/>
          <w:b/>
          <w:sz w:val="22"/>
          <w:szCs w:val="22"/>
        </w:rPr>
        <w:t>Návrh na EPR</w:t>
      </w:r>
      <w:r w:rsidR="001928FF" w:rsidRPr="00317386">
        <w:rPr>
          <w:rFonts w:asciiTheme="minorHAnsi" w:hAnsiTheme="minorHAnsi" w:cstheme="minorHAnsi"/>
          <w:sz w:val="22"/>
          <w:szCs w:val="22"/>
        </w:rPr>
        <w:t>“)</w:t>
      </w:r>
      <w:r w:rsidR="00297CE4">
        <w:rPr>
          <w:rFonts w:asciiTheme="minorHAnsi" w:hAnsiTheme="minorHAnsi" w:cstheme="minorHAnsi"/>
          <w:sz w:val="22"/>
          <w:szCs w:val="22"/>
        </w:rPr>
        <w:t xml:space="preserve"> a v části odpovídající </w:t>
      </w:r>
      <w:r w:rsidR="009E3778">
        <w:rPr>
          <w:rFonts w:asciiTheme="minorHAnsi" w:hAnsiTheme="minorHAnsi" w:cstheme="minorHAnsi"/>
          <w:sz w:val="22"/>
          <w:szCs w:val="22"/>
        </w:rPr>
        <w:t>94 646,00</w:t>
      </w:r>
      <w:r w:rsidR="00297CE4">
        <w:rPr>
          <w:rFonts w:asciiTheme="minorHAnsi" w:hAnsiTheme="minorHAnsi" w:cstheme="minorHAnsi"/>
          <w:sz w:val="22"/>
          <w:szCs w:val="22"/>
        </w:rPr>
        <w:t xml:space="preserve"> </w:t>
      </w:r>
      <w:r w:rsidR="00297CE4" w:rsidRPr="00A77A90">
        <w:rPr>
          <w:rFonts w:asciiTheme="minorHAnsi" w:hAnsiTheme="minorHAnsi" w:cstheme="minorHAnsi"/>
          <w:sz w:val="22"/>
          <w:szCs w:val="22"/>
        </w:rPr>
        <w:t>Kč jsou</w:t>
      </w:r>
      <w:r w:rsidR="00297CE4" w:rsidRPr="00317386">
        <w:rPr>
          <w:rFonts w:asciiTheme="minorHAnsi" w:hAnsiTheme="minorHAnsi" w:cstheme="minorHAnsi"/>
          <w:sz w:val="22"/>
          <w:szCs w:val="22"/>
        </w:rPr>
        <w:t xml:space="preserve"> předmětem provedené kontroly poskytovatele zdravotních služeb č. </w:t>
      </w:r>
      <w:r w:rsidR="009E3778">
        <w:rPr>
          <w:rFonts w:asciiTheme="minorHAnsi" w:hAnsiTheme="minorHAnsi" w:cstheme="minorHAnsi"/>
          <w:sz w:val="22"/>
          <w:szCs w:val="22"/>
        </w:rPr>
        <w:t>04182/24</w:t>
      </w:r>
      <w:r w:rsidR="00297CE4" w:rsidRPr="0031738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297CE4" w:rsidRPr="00317386">
        <w:rPr>
          <w:rFonts w:asciiTheme="minorHAnsi" w:hAnsiTheme="minorHAnsi" w:cstheme="minorHAnsi"/>
          <w:b/>
          <w:sz w:val="22"/>
          <w:szCs w:val="22"/>
        </w:rPr>
        <w:t>Revize</w:t>
      </w:r>
      <w:r w:rsidR="00297CE4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297CE4" w:rsidRPr="00317386">
        <w:rPr>
          <w:rFonts w:asciiTheme="minorHAnsi" w:hAnsiTheme="minorHAnsi" w:cstheme="minorHAnsi"/>
          <w:sz w:val="22"/>
          <w:szCs w:val="22"/>
        </w:rPr>
        <w:t>“)</w:t>
      </w:r>
      <w:r w:rsidR="001928FF" w:rsidRPr="00317386">
        <w:rPr>
          <w:rFonts w:asciiTheme="minorHAnsi" w:hAnsiTheme="minorHAnsi" w:cstheme="minorHAnsi"/>
          <w:sz w:val="22"/>
          <w:szCs w:val="22"/>
        </w:rPr>
        <w:t>.</w:t>
      </w:r>
    </w:p>
    <w:p w14:paraId="5AA0DE49" w14:textId="77777777" w:rsidR="00D06290" w:rsidRDefault="00D06290" w:rsidP="004961D2">
      <w:pPr>
        <w:pStyle w:val="Stylpravidel"/>
        <w:widowControl/>
        <w:numPr>
          <w:ilvl w:val="0"/>
          <w:numId w:val="3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Zároveň FLS a ČH zamýšleli postupovat v roce 2022 v souladu s ust. § 17 odst. 8 zákona č. 48/1997 Sb., o veřejném zdravotním pojištění, ve znění pozdějších předpisů, a požádat ČPZP o uzavření navazující rámcové smlouvy.</w:t>
      </w:r>
    </w:p>
    <w:p w14:paraId="687C6D96" w14:textId="72904C5B" w:rsidR="00317386" w:rsidRPr="00317386" w:rsidRDefault="00317386" w:rsidP="004961D2">
      <w:pPr>
        <w:pStyle w:val="Stylpravidel"/>
        <w:widowControl/>
        <w:numPr>
          <w:ilvl w:val="0"/>
          <w:numId w:val="3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Mezi ČPZP a FLS a ČH je sporné, zdali byla FLS oprávněna na základě Rámcové smlouvy v období od 1. 9. 2022 do 30. 4. 2024 vykazovat k úhradě hrazenou zdravotní péči fakticky poskytovanou ČH a obdržet za ni plnění (které bylo následně ze strany FLS předáváno ČH)</w:t>
      </w:r>
      <w:r w:rsidR="009D24D0">
        <w:rPr>
          <w:rFonts w:asciiTheme="minorHAnsi" w:hAnsiTheme="minorHAnsi" w:cstheme="minorHAnsi"/>
          <w:sz w:val="22"/>
          <w:szCs w:val="22"/>
        </w:rPr>
        <w:t xml:space="preserve"> v celkové výši 5 409 255, 00 Kč dle Revize I a Revize II. (dále jen „</w:t>
      </w:r>
      <w:r w:rsidR="009D24D0" w:rsidRPr="009D24D0">
        <w:rPr>
          <w:rFonts w:asciiTheme="minorHAnsi" w:hAnsiTheme="minorHAnsi" w:cstheme="minorHAnsi"/>
          <w:b/>
          <w:bCs/>
          <w:sz w:val="22"/>
          <w:szCs w:val="22"/>
        </w:rPr>
        <w:t>Sporná práva a povinnosti</w:t>
      </w:r>
      <w:r w:rsidR="009D24D0">
        <w:rPr>
          <w:rFonts w:asciiTheme="minorHAnsi" w:hAnsiTheme="minorHAnsi" w:cstheme="minorHAnsi"/>
          <w:sz w:val="22"/>
          <w:szCs w:val="22"/>
        </w:rPr>
        <w:t>“)</w:t>
      </w:r>
    </w:p>
    <w:p w14:paraId="0884EFE2" w14:textId="0571F4EA" w:rsidR="001928FF" w:rsidRPr="00317386" w:rsidRDefault="004B7249" w:rsidP="004B7249">
      <w:pPr>
        <w:pStyle w:val="Stylpravidel"/>
        <w:widowControl/>
        <w:numPr>
          <w:ilvl w:val="0"/>
          <w:numId w:val="3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S</w:t>
      </w:r>
      <w:r w:rsidR="00FA19BE" w:rsidRPr="00317386">
        <w:rPr>
          <w:rFonts w:asciiTheme="minorHAnsi" w:hAnsiTheme="minorHAnsi" w:cstheme="minorHAnsi"/>
          <w:sz w:val="22"/>
          <w:szCs w:val="22"/>
        </w:rPr>
        <w:t>mluvní strany mají zájem řešit výše popsan</w:t>
      </w:r>
      <w:r w:rsidRPr="00317386">
        <w:rPr>
          <w:rFonts w:asciiTheme="minorHAnsi" w:hAnsiTheme="minorHAnsi" w:cstheme="minorHAnsi"/>
          <w:sz w:val="22"/>
          <w:szCs w:val="22"/>
        </w:rPr>
        <w:t>ý nesoulad</w:t>
      </w:r>
      <w:r w:rsidR="00FA19BE" w:rsidRPr="00317386">
        <w:rPr>
          <w:rFonts w:asciiTheme="minorHAnsi" w:hAnsiTheme="minorHAnsi" w:cstheme="minorHAnsi"/>
          <w:sz w:val="22"/>
          <w:szCs w:val="22"/>
        </w:rPr>
        <w:t xml:space="preserve"> </w:t>
      </w:r>
      <w:r w:rsidR="001928FF" w:rsidRPr="00317386">
        <w:rPr>
          <w:rFonts w:asciiTheme="minorHAnsi" w:hAnsiTheme="minorHAnsi" w:cstheme="minorHAnsi"/>
          <w:sz w:val="22"/>
          <w:szCs w:val="22"/>
        </w:rPr>
        <w:t>mezi faktickým a vykázaným stavem smírně</w:t>
      </w:r>
      <w:r w:rsidR="009D24D0">
        <w:rPr>
          <w:rFonts w:asciiTheme="minorHAnsi" w:hAnsiTheme="minorHAnsi" w:cstheme="minorHAnsi"/>
          <w:sz w:val="22"/>
          <w:szCs w:val="22"/>
        </w:rPr>
        <w:t>,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a to za účelem </w:t>
      </w:r>
      <w:r w:rsidR="00317386">
        <w:rPr>
          <w:rFonts w:asciiTheme="minorHAnsi" w:hAnsiTheme="minorHAnsi" w:cstheme="minorHAnsi"/>
          <w:sz w:val="22"/>
          <w:szCs w:val="22"/>
        </w:rPr>
        <w:t xml:space="preserve">kompenzace nákladů na 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zajištění pojištěncům ČPZP skutečně poskytnutých </w:t>
      </w:r>
      <w:r w:rsidR="00317386">
        <w:rPr>
          <w:rFonts w:asciiTheme="minorHAnsi" w:hAnsiTheme="minorHAnsi" w:cstheme="minorHAnsi"/>
          <w:sz w:val="22"/>
          <w:szCs w:val="22"/>
        </w:rPr>
        <w:t xml:space="preserve">zdravotních </w:t>
      </w:r>
      <w:r w:rsidR="001928FF" w:rsidRPr="00317386">
        <w:rPr>
          <w:rFonts w:asciiTheme="minorHAnsi" w:hAnsiTheme="minorHAnsi" w:cstheme="minorHAnsi"/>
          <w:sz w:val="22"/>
          <w:szCs w:val="22"/>
        </w:rPr>
        <w:t>služeb</w:t>
      </w:r>
      <w:r w:rsidR="00317386">
        <w:rPr>
          <w:rFonts w:asciiTheme="minorHAnsi" w:hAnsiTheme="minorHAnsi" w:cstheme="minorHAnsi"/>
          <w:sz w:val="22"/>
          <w:szCs w:val="22"/>
        </w:rPr>
        <w:t xml:space="preserve"> ze strany ČH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a dále</w:t>
      </w:r>
      <w:r w:rsidR="00317386">
        <w:rPr>
          <w:rFonts w:asciiTheme="minorHAnsi" w:hAnsiTheme="minorHAnsi" w:cstheme="minorHAnsi"/>
          <w:sz w:val="22"/>
          <w:szCs w:val="22"/>
        </w:rPr>
        <w:t xml:space="preserve"> za účelem</w:t>
      </w:r>
      <w:r w:rsidR="001928FF" w:rsidRPr="00317386">
        <w:rPr>
          <w:rFonts w:asciiTheme="minorHAnsi" w:hAnsiTheme="minorHAnsi" w:cstheme="minorHAnsi"/>
          <w:sz w:val="22"/>
          <w:szCs w:val="22"/>
        </w:rPr>
        <w:t xml:space="preserve"> zajištění místní a časové dostupnosti hrazených služeb pojištěncům ČPZP dále i do budoucna</w:t>
      </w:r>
      <w:r w:rsidR="00EB096B">
        <w:rPr>
          <w:rFonts w:asciiTheme="minorHAnsi" w:hAnsiTheme="minorHAnsi" w:cstheme="minorHAnsi"/>
          <w:sz w:val="22"/>
          <w:szCs w:val="22"/>
        </w:rPr>
        <w:t xml:space="preserve"> prostřednictvím hrazených zdravotních služeb poskytovaných aktuálně společností HTL na základě pachtovní smlouvy</w:t>
      </w:r>
      <w:r w:rsidR="001928FF" w:rsidRPr="00317386">
        <w:rPr>
          <w:rFonts w:asciiTheme="minorHAnsi" w:hAnsiTheme="minorHAnsi" w:cstheme="minorHAnsi"/>
          <w:sz w:val="22"/>
          <w:szCs w:val="22"/>
        </w:rPr>
        <w:t>.</w:t>
      </w:r>
      <w:r w:rsidR="009D24D0">
        <w:rPr>
          <w:rFonts w:asciiTheme="minorHAnsi" w:hAnsiTheme="minorHAnsi" w:cstheme="minorHAnsi"/>
          <w:sz w:val="22"/>
          <w:szCs w:val="22"/>
        </w:rPr>
        <w:t xml:space="preserve"> Smluvní strany se, a to aniž by kterákoliv ze smluvních stran jakkoliv připouštěla pravdivost tvrzení či oprávněnost nároků další strany, rozhodly uzavřít tuto Dohodu, a to ve snaze předejít soudním sporům, narovnat výše uveden</w:t>
      </w:r>
      <w:r w:rsidR="00DA6731">
        <w:rPr>
          <w:rFonts w:asciiTheme="minorHAnsi" w:hAnsiTheme="minorHAnsi" w:cstheme="minorHAnsi"/>
          <w:sz w:val="22"/>
          <w:szCs w:val="22"/>
        </w:rPr>
        <w:t>á</w:t>
      </w:r>
      <w:r w:rsidR="009D24D0">
        <w:rPr>
          <w:rFonts w:asciiTheme="minorHAnsi" w:hAnsiTheme="minorHAnsi" w:cstheme="minorHAnsi"/>
          <w:sz w:val="22"/>
          <w:szCs w:val="22"/>
        </w:rPr>
        <w:t xml:space="preserve"> Sporná práva a povinnosti v souvislosti s tvrzenými nároky a nahradit je níže uvedeným ujednáním. </w:t>
      </w:r>
      <w:r w:rsidR="00697B8E">
        <w:rPr>
          <w:rFonts w:asciiTheme="minorHAnsi" w:hAnsiTheme="minorHAnsi" w:cstheme="minorHAnsi"/>
          <w:sz w:val="22"/>
          <w:szCs w:val="22"/>
        </w:rPr>
        <w:t>Výše uvedená Sporná práva a povinnosti tak smluvní strany nahrazují touto Dohodou následujícím závazkem.</w:t>
      </w:r>
    </w:p>
    <w:p w14:paraId="6EF36327" w14:textId="77777777" w:rsidR="001201C4" w:rsidRPr="00317386" w:rsidRDefault="001201C4" w:rsidP="001201C4">
      <w:pPr>
        <w:pStyle w:val="Styl12bTunzarovnnnastedPed6b"/>
        <w:spacing w:before="360"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Článek II.</w:t>
      </w:r>
    </w:p>
    <w:p w14:paraId="517BDB69" w14:textId="24CE396B" w:rsidR="009D24D0" w:rsidRPr="009D24D0" w:rsidRDefault="001928FF" w:rsidP="00697B8E">
      <w:pPr>
        <w:pStyle w:val="Styl12bTunzarovnnnastedPed6b"/>
        <w:jc w:val="center"/>
      </w:pPr>
      <w:r w:rsidRPr="00317386">
        <w:rPr>
          <w:rFonts w:asciiTheme="minorHAnsi" w:hAnsiTheme="minorHAnsi" w:cstheme="minorHAnsi"/>
          <w:sz w:val="22"/>
          <w:szCs w:val="22"/>
        </w:rPr>
        <w:t>Vypořádání vykázané péče</w:t>
      </w:r>
    </w:p>
    <w:p w14:paraId="3ED6BE82" w14:textId="427D8241" w:rsidR="00D06290" w:rsidRPr="00A77A90" w:rsidRDefault="00D06290" w:rsidP="00D57581">
      <w:pPr>
        <w:pStyle w:val="Stylpravidel"/>
        <w:widowControl/>
        <w:numPr>
          <w:ilvl w:val="0"/>
          <w:numId w:val="17"/>
        </w:numPr>
        <w:spacing w:before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ČH</w:t>
      </w:r>
      <w:r w:rsidR="00EB096B">
        <w:rPr>
          <w:rFonts w:asciiTheme="minorHAnsi" w:hAnsiTheme="minorHAnsi" w:cstheme="minorHAnsi"/>
          <w:sz w:val="22"/>
          <w:szCs w:val="22"/>
        </w:rPr>
        <w:t xml:space="preserve"> a HTL</w:t>
      </w:r>
      <w:r w:rsidRPr="00317386">
        <w:rPr>
          <w:rFonts w:asciiTheme="minorHAnsi" w:hAnsiTheme="minorHAnsi" w:cstheme="minorHAnsi"/>
          <w:sz w:val="22"/>
          <w:szCs w:val="22"/>
        </w:rPr>
        <w:t xml:space="preserve"> </w:t>
      </w:r>
      <w:r w:rsidR="009D24D0">
        <w:rPr>
          <w:rFonts w:asciiTheme="minorHAnsi" w:hAnsiTheme="minorHAnsi" w:cstheme="minorHAnsi"/>
          <w:sz w:val="22"/>
          <w:szCs w:val="22"/>
        </w:rPr>
        <w:t xml:space="preserve">se </w:t>
      </w:r>
      <w:r w:rsidRPr="00317386">
        <w:rPr>
          <w:rFonts w:asciiTheme="minorHAnsi" w:hAnsiTheme="minorHAnsi" w:cstheme="minorHAnsi"/>
          <w:sz w:val="22"/>
          <w:szCs w:val="22"/>
        </w:rPr>
        <w:t xml:space="preserve">tímto </w:t>
      </w:r>
      <w:r w:rsidR="00EB096B" w:rsidRPr="00317386">
        <w:rPr>
          <w:rFonts w:asciiTheme="minorHAnsi" w:hAnsiTheme="minorHAnsi" w:cstheme="minorHAnsi"/>
          <w:sz w:val="22"/>
          <w:szCs w:val="22"/>
        </w:rPr>
        <w:t>zavazuj</w:t>
      </w:r>
      <w:r w:rsidR="00EB096B">
        <w:rPr>
          <w:rFonts w:asciiTheme="minorHAnsi" w:hAnsiTheme="minorHAnsi" w:cstheme="minorHAnsi"/>
          <w:sz w:val="22"/>
          <w:szCs w:val="22"/>
        </w:rPr>
        <w:t>í</w:t>
      </w:r>
      <w:r w:rsidR="00EB096B" w:rsidRPr="00317386">
        <w:rPr>
          <w:rFonts w:asciiTheme="minorHAnsi" w:hAnsiTheme="minorHAnsi" w:cstheme="minorHAnsi"/>
          <w:sz w:val="22"/>
          <w:szCs w:val="22"/>
        </w:rPr>
        <w:t xml:space="preserve"> </w:t>
      </w:r>
      <w:r w:rsidRPr="00317386">
        <w:rPr>
          <w:rFonts w:asciiTheme="minorHAnsi" w:hAnsiTheme="minorHAnsi" w:cstheme="minorHAnsi"/>
          <w:sz w:val="22"/>
          <w:szCs w:val="22"/>
        </w:rPr>
        <w:t xml:space="preserve">uhradit </w:t>
      </w:r>
      <w:r w:rsidR="00103648" w:rsidRPr="00591BC3">
        <w:rPr>
          <w:rFonts w:asciiTheme="minorHAnsi" w:hAnsiTheme="minorHAnsi" w:cstheme="minorHAnsi"/>
          <w:sz w:val="22"/>
          <w:szCs w:val="22"/>
        </w:rPr>
        <w:t>ČPZP</w:t>
      </w:r>
      <w:r w:rsidR="00DA3AD2" w:rsidRPr="00591BC3">
        <w:rPr>
          <w:rFonts w:asciiTheme="minorHAnsi" w:hAnsiTheme="minorHAnsi" w:cstheme="minorHAnsi"/>
          <w:sz w:val="22"/>
          <w:szCs w:val="22"/>
        </w:rPr>
        <w:t xml:space="preserve"> namísto FLS</w:t>
      </w:r>
      <w:r w:rsidR="00103648" w:rsidRPr="00591BC3">
        <w:rPr>
          <w:rFonts w:asciiTheme="minorHAnsi" w:hAnsiTheme="minorHAnsi" w:cstheme="minorHAnsi"/>
          <w:sz w:val="22"/>
          <w:szCs w:val="22"/>
        </w:rPr>
        <w:t xml:space="preserve"> </w:t>
      </w:r>
      <w:r w:rsidR="009D24D0" w:rsidRPr="00591BC3">
        <w:rPr>
          <w:rFonts w:asciiTheme="minorHAnsi" w:hAnsiTheme="minorHAnsi" w:cstheme="minorHAnsi"/>
          <w:sz w:val="22"/>
          <w:szCs w:val="22"/>
        </w:rPr>
        <w:t>společně</w:t>
      </w:r>
      <w:r w:rsidR="009D24D0">
        <w:rPr>
          <w:rFonts w:asciiTheme="minorHAnsi" w:hAnsiTheme="minorHAnsi" w:cstheme="minorHAnsi"/>
          <w:sz w:val="22"/>
          <w:szCs w:val="22"/>
        </w:rPr>
        <w:t xml:space="preserve"> a nerozdílně částku v celkové výši </w:t>
      </w:r>
      <w:r w:rsidR="00697B8E">
        <w:rPr>
          <w:rFonts w:asciiTheme="minorHAnsi" w:hAnsiTheme="minorHAnsi" w:cstheme="minorHAnsi"/>
          <w:sz w:val="22"/>
          <w:szCs w:val="22"/>
        </w:rPr>
        <w:t>5</w:t>
      </w:r>
      <w:r w:rsidR="009D24D0">
        <w:rPr>
          <w:rFonts w:asciiTheme="minorHAnsi" w:hAnsiTheme="minorHAnsi" w:cstheme="minorHAnsi"/>
          <w:sz w:val="22"/>
          <w:szCs w:val="22"/>
        </w:rPr>
        <w:t> 409 255,00 Kč (dále jen „</w:t>
      </w:r>
      <w:r w:rsidR="009D24D0" w:rsidRPr="00697B8E">
        <w:rPr>
          <w:rFonts w:asciiTheme="minorHAnsi" w:hAnsiTheme="minorHAnsi" w:cstheme="minorHAnsi"/>
          <w:b/>
          <w:bCs/>
          <w:sz w:val="22"/>
          <w:szCs w:val="22"/>
        </w:rPr>
        <w:t>Částka narovnání</w:t>
      </w:r>
      <w:r w:rsidR="009D24D0">
        <w:rPr>
          <w:rFonts w:asciiTheme="minorHAnsi" w:hAnsiTheme="minorHAnsi" w:cstheme="minorHAnsi"/>
          <w:sz w:val="22"/>
          <w:szCs w:val="22"/>
        </w:rPr>
        <w:t xml:space="preserve">“), a to </w:t>
      </w:r>
      <w:r w:rsidRPr="00A77A90">
        <w:rPr>
          <w:rFonts w:asciiTheme="minorHAnsi" w:hAnsiTheme="minorHAnsi" w:cstheme="minorHAnsi"/>
          <w:sz w:val="22"/>
          <w:szCs w:val="22"/>
        </w:rPr>
        <w:t>ve dvou samostatných platbách takto:</w:t>
      </w:r>
    </w:p>
    <w:p w14:paraId="4F576568" w14:textId="519A059D" w:rsidR="00D06290" w:rsidRPr="00A77A90" w:rsidRDefault="00D06290" w:rsidP="009D24D0">
      <w:pPr>
        <w:pStyle w:val="Stylpravidel"/>
        <w:widowControl/>
        <w:numPr>
          <w:ilvl w:val="2"/>
          <w:numId w:val="4"/>
        </w:numPr>
        <w:spacing w:before="120" w:line="24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A77A90">
        <w:rPr>
          <w:rFonts w:asciiTheme="minorHAnsi" w:hAnsiTheme="minorHAnsi" w:cstheme="minorHAnsi"/>
          <w:sz w:val="22"/>
          <w:szCs w:val="22"/>
        </w:rPr>
        <w:t xml:space="preserve">V částce </w:t>
      </w:r>
      <w:r w:rsidR="00103648" w:rsidRPr="00A77A90">
        <w:rPr>
          <w:rFonts w:asciiTheme="minorHAnsi" w:hAnsiTheme="minorHAnsi" w:cstheme="minorHAnsi"/>
          <w:sz w:val="22"/>
          <w:szCs w:val="22"/>
        </w:rPr>
        <w:t>5 314 609,00 Kč</w:t>
      </w:r>
      <w:r w:rsidRPr="00A77A90">
        <w:rPr>
          <w:rFonts w:asciiTheme="minorHAnsi" w:hAnsiTheme="minorHAnsi" w:cstheme="minorHAnsi"/>
          <w:sz w:val="22"/>
          <w:szCs w:val="22"/>
        </w:rPr>
        <w:t xml:space="preserve"> odpovídající Revizi</w:t>
      </w:r>
      <w:r w:rsidR="00297CE4">
        <w:rPr>
          <w:rFonts w:asciiTheme="minorHAnsi" w:hAnsiTheme="minorHAnsi" w:cstheme="minorHAnsi"/>
          <w:sz w:val="22"/>
          <w:szCs w:val="22"/>
        </w:rPr>
        <w:t xml:space="preserve"> I</w:t>
      </w:r>
      <w:r w:rsidRPr="00A77A90">
        <w:rPr>
          <w:rFonts w:asciiTheme="minorHAnsi" w:hAnsiTheme="minorHAnsi" w:cstheme="minorHAnsi"/>
          <w:sz w:val="22"/>
          <w:szCs w:val="22"/>
        </w:rPr>
        <w:t xml:space="preserve"> na bankovní účet</w:t>
      </w:r>
      <w:r w:rsidR="000F36F4">
        <w:rPr>
          <w:rFonts w:asciiTheme="minorHAnsi" w:hAnsiTheme="minorHAnsi" w:cstheme="minorHAnsi"/>
          <w:sz w:val="22"/>
          <w:szCs w:val="22"/>
        </w:rPr>
        <w:t xml:space="preserve"> xx</w:t>
      </w:r>
      <w:r w:rsidRPr="00A77A90">
        <w:rPr>
          <w:rFonts w:asciiTheme="minorHAnsi" w:hAnsiTheme="minorHAnsi" w:cstheme="minorHAnsi"/>
          <w:sz w:val="22"/>
          <w:szCs w:val="22"/>
        </w:rPr>
        <w:t>, variabilní symbol</w:t>
      </w:r>
      <w:r w:rsidR="000F36F4">
        <w:rPr>
          <w:rFonts w:asciiTheme="minorHAnsi" w:hAnsiTheme="minorHAnsi" w:cstheme="minorHAnsi"/>
          <w:sz w:val="22"/>
          <w:szCs w:val="22"/>
        </w:rPr>
        <w:t xml:space="preserve"> xx</w:t>
      </w:r>
      <w:r w:rsidRPr="00A77A90">
        <w:rPr>
          <w:rFonts w:asciiTheme="minorHAnsi" w:hAnsiTheme="minorHAnsi" w:cstheme="minorHAnsi"/>
          <w:sz w:val="22"/>
          <w:szCs w:val="22"/>
        </w:rPr>
        <w:t xml:space="preserve">, ve lhůtě </w:t>
      </w:r>
      <w:r w:rsidR="00D10283">
        <w:rPr>
          <w:rFonts w:asciiTheme="minorHAnsi" w:hAnsiTheme="minorHAnsi" w:cstheme="minorHAnsi"/>
          <w:sz w:val="22"/>
          <w:szCs w:val="22"/>
        </w:rPr>
        <w:t>d</w:t>
      </w:r>
      <w:r w:rsidR="00D10283" w:rsidRPr="00A77A90">
        <w:rPr>
          <w:rFonts w:asciiTheme="minorHAnsi" w:hAnsiTheme="minorHAnsi" w:cstheme="minorHAnsi"/>
          <w:sz w:val="22"/>
          <w:szCs w:val="22"/>
        </w:rPr>
        <w:t xml:space="preserve">o </w:t>
      </w:r>
      <w:r w:rsidR="000966F9" w:rsidRPr="00A77A90">
        <w:rPr>
          <w:rFonts w:asciiTheme="minorHAnsi" w:hAnsiTheme="minorHAnsi" w:cstheme="minorHAnsi"/>
          <w:sz w:val="22"/>
          <w:szCs w:val="22"/>
        </w:rPr>
        <w:t xml:space="preserve">50 </w:t>
      </w:r>
      <w:r w:rsidRPr="00A77A90">
        <w:rPr>
          <w:rFonts w:asciiTheme="minorHAnsi" w:hAnsiTheme="minorHAnsi" w:cstheme="minorHAnsi"/>
          <w:sz w:val="22"/>
          <w:szCs w:val="22"/>
        </w:rPr>
        <w:t>dnů od podpisu této Dohody;</w:t>
      </w:r>
    </w:p>
    <w:p w14:paraId="66DA1B00" w14:textId="12954499" w:rsidR="00D06290" w:rsidRPr="00A77A90" w:rsidRDefault="00D06290" w:rsidP="009D24D0">
      <w:pPr>
        <w:pStyle w:val="Stylpravidel"/>
        <w:widowControl/>
        <w:numPr>
          <w:ilvl w:val="2"/>
          <w:numId w:val="4"/>
        </w:numPr>
        <w:spacing w:before="120" w:line="24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A77A90">
        <w:rPr>
          <w:rFonts w:asciiTheme="minorHAnsi" w:hAnsiTheme="minorHAnsi" w:cstheme="minorHAnsi"/>
          <w:sz w:val="22"/>
          <w:szCs w:val="22"/>
        </w:rPr>
        <w:t xml:space="preserve">V částce </w:t>
      </w:r>
      <w:r w:rsidR="00103648" w:rsidRPr="00A77A90">
        <w:rPr>
          <w:rFonts w:asciiTheme="minorHAnsi" w:hAnsiTheme="minorHAnsi" w:cstheme="minorHAnsi"/>
          <w:sz w:val="22"/>
          <w:szCs w:val="22"/>
        </w:rPr>
        <w:t>94 646,00 Kč</w:t>
      </w:r>
      <w:r w:rsidRPr="00A77A90">
        <w:rPr>
          <w:rFonts w:asciiTheme="minorHAnsi" w:hAnsiTheme="minorHAnsi" w:cstheme="minorHAnsi"/>
          <w:sz w:val="22"/>
          <w:szCs w:val="22"/>
        </w:rPr>
        <w:t xml:space="preserve"> </w:t>
      </w:r>
      <w:r w:rsidR="00297CE4">
        <w:rPr>
          <w:rFonts w:asciiTheme="minorHAnsi" w:hAnsiTheme="minorHAnsi" w:cstheme="minorHAnsi"/>
          <w:sz w:val="22"/>
          <w:szCs w:val="22"/>
        </w:rPr>
        <w:t xml:space="preserve">odpovídající Revizi II </w:t>
      </w:r>
      <w:r w:rsidRPr="00A77A90">
        <w:rPr>
          <w:rFonts w:asciiTheme="minorHAnsi" w:hAnsiTheme="minorHAnsi" w:cstheme="minorHAnsi"/>
          <w:sz w:val="22"/>
          <w:szCs w:val="22"/>
        </w:rPr>
        <w:t>na bankovní účet</w:t>
      </w:r>
      <w:r w:rsidR="000F36F4">
        <w:rPr>
          <w:rFonts w:asciiTheme="minorHAnsi" w:hAnsiTheme="minorHAnsi" w:cstheme="minorHAnsi"/>
          <w:sz w:val="22"/>
          <w:szCs w:val="22"/>
        </w:rPr>
        <w:t xml:space="preserve"> xx</w:t>
      </w:r>
      <w:r w:rsidRPr="00A77A90">
        <w:rPr>
          <w:rFonts w:asciiTheme="minorHAnsi" w:hAnsiTheme="minorHAnsi" w:cstheme="minorHAnsi"/>
          <w:sz w:val="22"/>
          <w:szCs w:val="22"/>
        </w:rPr>
        <w:t>, variabilní symbol</w:t>
      </w:r>
      <w:r w:rsidR="000F36F4">
        <w:rPr>
          <w:rFonts w:asciiTheme="minorHAnsi" w:hAnsiTheme="minorHAnsi" w:cstheme="minorHAnsi"/>
          <w:sz w:val="22"/>
          <w:szCs w:val="22"/>
        </w:rPr>
        <w:t xml:space="preserve"> xx</w:t>
      </w:r>
      <w:r w:rsidRPr="00A77A90">
        <w:rPr>
          <w:rFonts w:asciiTheme="minorHAnsi" w:hAnsiTheme="minorHAnsi" w:cstheme="minorHAnsi"/>
          <w:sz w:val="22"/>
          <w:szCs w:val="22"/>
        </w:rPr>
        <w:t xml:space="preserve">, ve lhůtě </w:t>
      </w:r>
      <w:r w:rsidR="00D10283">
        <w:rPr>
          <w:rFonts w:asciiTheme="minorHAnsi" w:hAnsiTheme="minorHAnsi" w:cstheme="minorHAnsi"/>
          <w:sz w:val="22"/>
          <w:szCs w:val="22"/>
        </w:rPr>
        <w:t>d</w:t>
      </w:r>
      <w:r w:rsidR="00D10283" w:rsidRPr="00A77A90">
        <w:rPr>
          <w:rFonts w:asciiTheme="minorHAnsi" w:hAnsiTheme="minorHAnsi" w:cstheme="minorHAnsi"/>
          <w:sz w:val="22"/>
          <w:szCs w:val="22"/>
        </w:rPr>
        <w:t xml:space="preserve">o </w:t>
      </w:r>
      <w:r w:rsidR="000966F9" w:rsidRPr="00A77A90">
        <w:rPr>
          <w:rFonts w:asciiTheme="minorHAnsi" w:hAnsiTheme="minorHAnsi" w:cstheme="minorHAnsi"/>
          <w:sz w:val="22"/>
          <w:szCs w:val="22"/>
        </w:rPr>
        <w:t xml:space="preserve">50 </w:t>
      </w:r>
      <w:r w:rsidRPr="00A77A90">
        <w:rPr>
          <w:rFonts w:asciiTheme="minorHAnsi" w:hAnsiTheme="minorHAnsi" w:cstheme="minorHAnsi"/>
          <w:sz w:val="22"/>
          <w:szCs w:val="22"/>
        </w:rPr>
        <w:t>dnů od podpisu této Dohody.</w:t>
      </w:r>
    </w:p>
    <w:p w14:paraId="584AAF22" w14:textId="771FC07C" w:rsidR="00D06290" w:rsidRPr="00317386" w:rsidRDefault="009D24D0" w:rsidP="00D57581">
      <w:pPr>
        <w:pStyle w:val="Stylpravidel"/>
        <w:widowControl/>
        <w:numPr>
          <w:ilvl w:val="0"/>
          <w:numId w:val="17"/>
        </w:numPr>
        <w:spacing w:before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Částka narovnání</w:t>
      </w:r>
      <w:r w:rsidRPr="00A77A90">
        <w:rPr>
          <w:rFonts w:asciiTheme="minorHAnsi" w:hAnsiTheme="minorHAnsi" w:cstheme="minorHAnsi"/>
          <w:sz w:val="22"/>
          <w:szCs w:val="22"/>
        </w:rPr>
        <w:t xml:space="preserve"> </w:t>
      </w:r>
      <w:r w:rsidR="00D06290" w:rsidRPr="00A77A90">
        <w:rPr>
          <w:rFonts w:asciiTheme="minorHAnsi" w:hAnsiTheme="minorHAnsi" w:cstheme="minorHAnsi"/>
          <w:sz w:val="22"/>
          <w:szCs w:val="22"/>
        </w:rPr>
        <w:t>je uhrazen</w:t>
      </w:r>
      <w:r w:rsidR="00697B8E">
        <w:rPr>
          <w:rFonts w:asciiTheme="minorHAnsi" w:hAnsiTheme="minorHAnsi" w:cstheme="minorHAnsi"/>
          <w:sz w:val="22"/>
          <w:szCs w:val="22"/>
        </w:rPr>
        <w:t>a</w:t>
      </w:r>
      <w:r w:rsidR="00D06290" w:rsidRPr="00A77A90">
        <w:rPr>
          <w:rFonts w:asciiTheme="minorHAnsi" w:hAnsiTheme="minorHAnsi" w:cstheme="minorHAnsi"/>
          <w:sz w:val="22"/>
          <w:szCs w:val="22"/>
        </w:rPr>
        <w:t xml:space="preserve"> je</w:t>
      </w:r>
      <w:r w:rsidR="00697B8E">
        <w:rPr>
          <w:rFonts w:asciiTheme="minorHAnsi" w:hAnsiTheme="minorHAnsi" w:cstheme="minorHAnsi"/>
          <w:sz w:val="22"/>
          <w:szCs w:val="22"/>
        </w:rPr>
        <w:t>jím</w:t>
      </w:r>
      <w:r w:rsidR="00D06290" w:rsidRPr="00A77A90">
        <w:rPr>
          <w:rFonts w:asciiTheme="minorHAnsi" w:hAnsiTheme="minorHAnsi" w:cstheme="minorHAnsi"/>
          <w:sz w:val="22"/>
          <w:szCs w:val="22"/>
        </w:rPr>
        <w:t xml:space="preserve"> připsáním na výše uvedený</w:t>
      </w:r>
      <w:r w:rsidR="00D06290" w:rsidRPr="00317386">
        <w:rPr>
          <w:rFonts w:asciiTheme="minorHAnsi" w:hAnsiTheme="minorHAnsi" w:cstheme="minorHAnsi"/>
          <w:sz w:val="22"/>
          <w:szCs w:val="22"/>
        </w:rPr>
        <w:t xml:space="preserve"> bankovní účet.</w:t>
      </w:r>
    </w:p>
    <w:p w14:paraId="442D86EA" w14:textId="77777777" w:rsidR="004B7249" w:rsidRPr="00317386" w:rsidRDefault="004B7249" w:rsidP="004B7249">
      <w:pPr>
        <w:pStyle w:val="Stylpravidel"/>
        <w:widowControl/>
        <w:spacing w:before="120" w:line="24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219D9780" w14:textId="77777777" w:rsidR="00403163" w:rsidRPr="00317386" w:rsidRDefault="00403163" w:rsidP="00403163">
      <w:pPr>
        <w:pStyle w:val="Styl12bTunzarovnnnastedPed6b"/>
        <w:spacing w:before="360"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Článek III.</w:t>
      </w:r>
    </w:p>
    <w:p w14:paraId="35C9D0D5" w14:textId="52ED7133" w:rsidR="00D06290" w:rsidRPr="00317386" w:rsidRDefault="00D06290" w:rsidP="00403163">
      <w:pPr>
        <w:pStyle w:val="Styl12bTunzarovnnnastedPed6b"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Opětovné vykázání</w:t>
      </w:r>
      <w:r w:rsidR="00D10283">
        <w:rPr>
          <w:rFonts w:asciiTheme="minorHAnsi" w:hAnsiTheme="minorHAnsi" w:cstheme="minorHAnsi"/>
          <w:sz w:val="22"/>
          <w:szCs w:val="22"/>
        </w:rPr>
        <w:t xml:space="preserve"> hrazených služeb</w:t>
      </w:r>
    </w:p>
    <w:p w14:paraId="1A5D5239" w14:textId="18283C87" w:rsidR="00D06290" w:rsidRPr="00317386" w:rsidRDefault="00D06290" w:rsidP="00D06290">
      <w:pPr>
        <w:pStyle w:val="Stylpravidel"/>
        <w:widowControl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Za období od 1. 9. 2022 do 31. 12. 2023 ČH namísto FLS vykáže</w:t>
      </w:r>
      <w:r w:rsidR="007C0A9B">
        <w:rPr>
          <w:rFonts w:asciiTheme="minorHAnsi" w:hAnsiTheme="minorHAnsi" w:cstheme="minorHAnsi"/>
          <w:sz w:val="22"/>
          <w:szCs w:val="22"/>
        </w:rPr>
        <w:t xml:space="preserve"> po jednotlivých měsících</w:t>
      </w:r>
      <w:r w:rsidRPr="00317386">
        <w:rPr>
          <w:rFonts w:asciiTheme="minorHAnsi" w:hAnsiTheme="minorHAnsi" w:cstheme="minorHAnsi"/>
          <w:sz w:val="22"/>
          <w:szCs w:val="22"/>
        </w:rPr>
        <w:t xml:space="preserve"> ČPZP k úhradě totožné</w:t>
      </w:r>
      <w:r w:rsidR="00D10283">
        <w:rPr>
          <w:rFonts w:asciiTheme="minorHAnsi" w:hAnsiTheme="minorHAnsi" w:cstheme="minorHAnsi"/>
          <w:sz w:val="22"/>
          <w:szCs w:val="22"/>
        </w:rPr>
        <w:t xml:space="preserve"> (</w:t>
      </w:r>
      <w:r w:rsidR="00D10283" w:rsidRPr="00542A23">
        <w:rPr>
          <w:rFonts w:asciiTheme="minorHAnsi" w:hAnsiTheme="minorHAnsi" w:cstheme="minorHAnsi"/>
          <w:sz w:val="22"/>
          <w:szCs w:val="22"/>
        </w:rPr>
        <w:t>se zdravotními službami zahrnutými v Revizi I a Revizi II</w:t>
      </w:r>
      <w:r w:rsidR="00D10283">
        <w:rPr>
          <w:rFonts w:asciiTheme="minorHAnsi" w:hAnsiTheme="minorHAnsi" w:cstheme="minorHAnsi"/>
          <w:sz w:val="22"/>
          <w:szCs w:val="22"/>
        </w:rPr>
        <w:t>)</w:t>
      </w:r>
      <w:r w:rsidRPr="00317386">
        <w:rPr>
          <w:rFonts w:asciiTheme="minorHAnsi" w:hAnsiTheme="minorHAnsi" w:cstheme="minorHAnsi"/>
          <w:sz w:val="22"/>
          <w:szCs w:val="22"/>
        </w:rPr>
        <w:t xml:space="preserve"> hrazené zdravotní služby poskytnuté pojištěncům ČPZP</w:t>
      </w:r>
      <w:r w:rsidR="000966F9">
        <w:rPr>
          <w:rFonts w:asciiTheme="minorHAnsi" w:hAnsiTheme="minorHAnsi" w:cstheme="minorHAnsi"/>
          <w:sz w:val="22"/>
          <w:szCs w:val="22"/>
        </w:rPr>
        <w:t>, jejichž rodná čísla jsou uvedena v Příloze č. 1 této Dohody,</w:t>
      </w:r>
      <w:r w:rsidRPr="00317386">
        <w:rPr>
          <w:rFonts w:asciiTheme="minorHAnsi" w:hAnsiTheme="minorHAnsi" w:cstheme="minorHAnsi"/>
          <w:sz w:val="22"/>
          <w:szCs w:val="22"/>
        </w:rPr>
        <w:t xml:space="preserve"> jako nesmluvní poskytovatel zdravotních služeb, za které ČPZP na základě této Dohody uhradí ČH celkovou částku</w:t>
      </w:r>
      <w:r w:rsidR="000966F9">
        <w:rPr>
          <w:rFonts w:asciiTheme="minorHAnsi" w:hAnsiTheme="minorHAnsi" w:cstheme="minorHAnsi"/>
          <w:sz w:val="22"/>
          <w:szCs w:val="22"/>
        </w:rPr>
        <w:t xml:space="preserve"> v předpokládané </w:t>
      </w:r>
      <w:r w:rsidR="000966F9" w:rsidRPr="00A77A90">
        <w:rPr>
          <w:rFonts w:asciiTheme="minorHAnsi" w:hAnsiTheme="minorHAnsi" w:cstheme="minorHAnsi"/>
          <w:sz w:val="22"/>
          <w:szCs w:val="22"/>
        </w:rPr>
        <w:t xml:space="preserve">výši </w:t>
      </w:r>
      <w:r w:rsidR="00103648" w:rsidRPr="00A77A90">
        <w:rPr>
          <w:rFonts w:asciiTheme="minorHAnsi" w:hAnsiTheme="minorHAnsi" w:cstheme="minorHAnsi"/>
          <w:sz w:val="22"/>
          <w:szCs w:val="22"/>
        </w:rPr>
        <w:t>3 837 308,80</w:t>
      </w:r>
      <w:r w:rsidRPr="00A77A90">
        <w:rPr>
          <w:rFonts w:asciiTheme="minorHAnsi" w:hAnsiTheme="minorHAnsi" w:cstheme="minorHAnsi"/>
          <w:sz w:val="22"/>
          <w:szCs w:val="22"/>
        </w:rPr>
        <w:t xml:space="preserve"> Kč.</w:t>
      </w:r>
      <w:r w:rsidR="00EB096B" w:rsidRPr="00A77A90">
        <w:rPr>
          <w:rFonts w:asciiTheme="minorHAnsi" w:hAnsiTheme="minorHAnsi" w:cstheme="minorHAnsi"/>
          <w:sz w:val="22"/>
          <w:szCs w:val="22"/>
        </w:rPr>
        <w:t xml:space="preserve"> Skutečná výše úhrady bude stanovena ČPZP</w:t>
      </w:r>
      <w:r w:rsidR="00E06AE0" w:rsidRPr="00A77A90">
        <w:rPr>
          <w:rFonts w:asciiTheme="minorHAnsi" w:hAnsiTheme="minorHAnsi" w:cstheme="minorHAnsi"/>
          <w:sz w:val="22"/>
          <w:szCs w:val="22"/>
        </w:rPr>
        <w:t xml:space="preserve"> na základě vykázání ze strany ČH</w:t>
      </w:r>
      <w:r w:rsidR="00EB096B" w:rsidRPr="00A77A90">
        <w:rPr>
          <w:rFonts w:asciiTheme="minorHAnsi" w:hAnsiTheme="minorHAnsi" w:cstheme="minorHAnsi"/>
          <w:sz w:val="22"/>
          <w:szCs w:val="22"/>
        </w:rPr>
        <w:t xml:space="preserve"> v souladu s touto</w:t>
      </w:r>
      <w:r w:rsidR="00EB096B">
        <w:rPr>
          <w:rFonts w:asciiTheme="minorHAnsi" w:hAnsiTheme="minorHAnsi" w:cstheme="minorHAnsi"/>
          <w:sz w:val="22"/>
          <w:szCs w:val="22"/>
        </w:rPr>
        <w:t xml:space="preserve"> </w:t>
      </w:r>
      <w:r w:rsidR="00F456D7">
        <w:rPr>
          <w:rFonts w:asciiTheme="minorHAnsi" w:hAnsiTheme="minorHAnsi" w:cstheme="minorHAnsi"/>
          <w:sz w:val="22"/>
          <w:szCs w:val="22"/>
        </w:rPr>
        <w:t>Dohodou,</w:t>
      </w:r>
      <w:r w:rsidR="00EB096B">
        <w:rPr>
          <w:rFonts w:asciiTheme="minorHAnsi" w:hAnsiTheme="minorHAnsi" w:cstheme="minorHAnsi"/>
          <w:sz w:val="22"/>
          <w:szCs w:val="22"/>
        </w:rPr>
        <w:t xml:space="preserve"> platnou </w:t>
      </w:r>
      <w:r w:rsidR="00EB096B" w:rsidRPr="00317386">
        <w:rPr>
          <w:rFonts w:asciiTheme="minorHAnsi" w:hAnsiTheme="minorHAnsi" w:cstheme="minorHAnsi"/>
          <w:sz w:val="22"/>
          <w:szCs w:val="22"/>
        </w:rPr>
        <w:t>Metodikou pro pořizování a předávání dokladů v. z. p.</w:t>
      </w:r>
      <w:r w:rsidR="00F456D7">
        <w:rPr>
          <w:rFonts w:asciiTheme="minorHAnsi" w:hAnsiTheme="minorHAnsi" w:cstheme="minorHAnsi"/>
          <w:sz w:val="22"/>
          <w:szCs w:val="22"/>
        </w:rPr>
        <w:t xml:space="preserve"> a další aplikovatelnou legislativou.</w:t>
      </w:r>
    </w:p>
    <w:p w14:paraId="09281C31" w14:textId="5AA6B4AC" w:rsidR="00D06290" w:rsidRDefault="004252C3" w:rsidP="004252C3">
      <w:pPr>
        <w:pStyle w:val="Stylpravidel"/>
        <w:widowControl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Za období od 1. 1. 2024 do 30. 4. 2024 ČH namísto FLS vykáže</w:t>
      </w:r>
      <w:r w:rsidR="007C0A9B">
        <w:rPr>
          <w:rFonts w:asciiTheme="minorHAnsi" w:hAnsiTheme="minorHAnsi" w:cstheme="minorHAnsi"/>
          <w:sz w:val="22"/>
          <w:szCs w:val="22"/>
        </w:rPr>
        <w:t xml:space="preserve"> po jednotlivých měsících</w:t>
      </w:r>
      <w:r w:rsidRPr="00317386">
        <w:rPr>
          <w:rFonts w:asciiTheme="minorHAnsi" w:hAnsiTheme="minorHAnsi" w:cstheme="minorHAnsi"/>
          <w:sz w:val="22"/>
          <w:szCs w:val="22"/>
        </w:rPr>
        <w:t xml:space="preserve"> ČPZP k úhradě </w:t>
      </w:r>
      <w:r w:rsidRPr="00542A23">
        <w:rPr>
          <w:rFonts w:asciiTheme="minorHAnsi" w:hAnsiTheme="minorHAnsi" w:cstheme="minorHAnsi"/>
          <w:sz w:val="22"/>
          <w:szCs w:val="22"/>
        </w:rPr>
        <w:t>totožné</w:t>
      </w:r>
      <w:r w:rsidR="00D10283" w:rsidRPr="00542A23">
        <w:rPr>
          <w:rFonts w:asciiTheme="minorHAnsi" w:hAnsiTheme="minorHAnsi" w:cstheme="minorHAnsi"/>
          <w:sz w:val="22"/>
          <w:szCs w:val="22"/>
        </w:rPr>
        <w:t xml:space="preserve"> (se zdravotními službami zahrnutými v Revizi I a Revizi II)</w:t>
      </w:r>
      <w:r w:rsidRPr="00317386">
        <w:rPr>
          <w:rFonts w:asciiTheme="minorHAnsi" w:hAnsiTheme="minorHAnsi" w:cstheme="minorHAnsi"/>
          <w:sz w:val="22"/>
          <w:szCs w:val="22"/>
        </w:rPr>
        <w:t xml:space="preserve"> hrazené zdravotní služby poskytnuté pojištěncům ČPZP</w:t>
      </w:r>
      <w:r w:rsidR="000966F9">
        <w:rPr>
          <w:rFonts w:asciiTheme="minorHAnsi" w:hAnsiTheme="minorHAnsi" w:cstheme="minorHAnsi"/>
          <w:sz w:val="22"/>
          <w:szCs w:val="22"/>
        </w:rPr>
        <w:t>, jejichž rodná čísla jsou uvedena v Příloze č. 2 této Dohody,</w:t>
      </w:r>
      <w:r w:rsidRPr="00317386">
        <w:rPr>
          <w:rFonts w:asciiTheme="minorHAnsi" w:hAnsiTheme="minorHAnsi" w:cstheme="minorHAnsi"/>
          <w:sz w:val="22"/>
          <w:szCs w:val="22"/>
        </w:rPr>
        <w:t xml:space="preserve"> na základě Smlouvy o poskytování a úhradě léčebné rehabilitační péče, která bude s účinností od 1. 1. 2024 uzavřena bez zbytečného odkladu od podpisu této Dohody (dále jen „</w:t>
      </w:r>
      <w:r w:rsidRPr="00317386">
        <w:rPr>
          <w:rFonts w:asciiTheme="minorHAnsi" w:hAnsiTheme="minorHAnsi" w:cstheme="minorHAnsi"/>
          <w:b/>
          <w:sz w:val="22"/>
          <w:szCs w:val="22"/>
        </w:rPr>
        <w:t>Nová Rámcová smlouva</w:t>
      </w:r>
      <w:r w:rsidRPr="00317386">
        <w:rPr>
          <w:rFonts w:asciiTheme="minorHAnsi" w:hAnsiTheme="minorHAnsi" w:cstheme="minorHAnsi"/>
          <w:sz w:val="22"/>
          <w:szCs w:val="22"/>
        </w:rPr>
        <w:t>“), za které ČPZP uhradí ČH celkovou částku</w:t>
      </w:r>
      <w:r w:rsidR="000966F9">
        <w:rPr>
          <w:rFonts w:asciiTheme="minorHAnsi" w:hAnsiTheme="minorHAnsi" w:cstheme="minorHAnsi"/>
          <w:sz w:val="22"/>
          <w:szCs w:val="22"/>
        </w:rPr>
        <w:t xml:space="preserve"> v předpokládané </w:t>
      </w:r>
      <w:r w:rsidR="000966F9" w:rsidRPr="00A77A90">
        <w:rPr>
          <w:rFonts w:asciiTheme="minorHAnsi" w:hAnsiTheme="minorHAnsi" w:cstheme="minorHAnsi"/>
          <w:sz w:val="22"/>
          <w:szCs w:val="22"/>
        </w:rPr>
        <w:t>výši</w:t>
      </w:r>
      <w:r w:rsidRPr="00A77A90">
        <w:rPr>
          <w:rFonts w:asciiTheme="minorHAnsi" w:hAnsiTheme="minorHAnsi" w:cstheme="minorHAnsi"/>
          <w:sz w:val="22"/>
          <w:szCs w:val="22"/>
        </w:rPr>
        <w:t xml:space="preserve"> </w:t>
      </w:r>
      <w:r w:rsidR="00103648" w:rsidRPr="00A77A90">
        <w:rPr>
          <w:rFonts w:asciiTheme="minorHAnsi" w:hAnsiTheme="minorHAnsi" w:cstheme="minorHAnsi"/>
          <w:sz w:val="22"/>
          <w:szCs w:val="22"/>
        </w:rPr>
        <w:t>612 619,00</w:t>
      </w:r>
      <w:r w:rsidRPr="00A77A90">
        <w:rPr>
          <w:rFonts w:asciiTheme="minorHAnsi" w:hAnsiTheme="minorHAnsi" w:cstheme="minorHAnsi"/>
          <w:sz w:val="22"/>
          <w:szCs w:val="22"/>
        </w:rPr>
        <w:t xml:space="preserve"> Kč.</w:t>
      </w:r>
      <w:r w:rsidR="000966F9" w:rsidRPr="00A77A90">
        <w:rPr>
          <w:rFonts w:asciiTheme="minorHAnsi" w:hAnsiTheme="minorHAnsi" w:cstheme="minorHAnsi"/>
          <w:sz w:val="22"/>
          <w:szCs w:val="22"/>
        </w:rPr>
        <w:t xml:space="preserve"> </w:t>
      </w:r>
      <w:r w:rsidR="00EB096B" w:rsidRPr="00A77A90">
        <w:rPr>
          <w:rFonts w:asciiTheme="minorHAnsi" w:hAnsiTheme="minorHAnsi" w:cstheme="minorHAnsi"/>
          <w:sz w:val="22"/>
          <w:szCs w:val="22"/>
        </w:rPr>
        <w:t xml:space="preserve">Skutečná výše úhrady bude stanovena ČPZP </w:t>
      </w:r>
      <w:r w:rsidR="00E06AE0" w:rsidRPr="00A77A90">
        <w:rPr>
          <w:rFonts w:asciiTheme="minorHAnsi" w:hAnsiTheme="minorHAnsi" w:cstheme="minorHAnsi"/>
          <w:sz w:val="22"/>
          <w:szCs w:val="22"/>
        </w:rPr>
        <w:t xml:space="preserve">na základě vykázání ze strany ČH </w:t>
      </w:r>
      <w:r w:rsidR="00EB096B" w:rsidRPr="00A77A90">
        <w:rPr>
          <w:rFonts w:asciiTheme="minorHAnsi" w:hAnsiTheme="minorHAnsi" w:cstheme="minorHAnsi"/>
          <w:sz w:val="22"/>
          <w:szCs w:val="22"/>
        </w:rPr>
        <w:t>v souladu s touto</w:t>
      </w:r>
      <w:r w:rsidR="00EB096B">
        <w:rPr>
          <w:rFonts w:asciiTheme="minorHAnsi" w:hAnsiTheme="minorHAnsi" w:cstheme="minorHAnsi"/>
          <w:sz w:val="22"/>
          <w:szCs w:val="22"/>
        </w:rPr>
        <w:t xml:space="preserve"> Dohodou, platnou </w:t>
      </w:r>
      <w:r w:rsidR="00EB096B" w:rsidRPr="00317386">
        <w:rPr>
          <w:rFonts w:asciiTheme="minorHAnsi" w:hAnsiTheme="minorHAnsi" w:cstheme="minorHAnsi"/>
          <w:sz w:val="22"/>
          <w:szCs w:val="22"/>
        </w:rPr>
        <w:t>Metodikou pro pořizování a předávání dokladů v. z. p.</w:t>
      </w:r>
      <w:r w:rsidR="00F456D7">
        <w:rPr>
          <w:rFonts w:asciiTheme="minorHAnsi" w:hAnsiTheme="minorHAnsi" w:cstheme="minorHAnsi"/>
          <w:sz w:val="22"/>
          <w:szCs w:val="22"/>
        </w:rPr>
        <w:t>,</w:t>
      </w:r>
      <w:r w:rsidR="00EB096B">
        <w:rPr>
          <w:rFonts w:asciiTheme="minorHAnsi" w:hAnsiTheme="minorHAnsi" w:cstheme="minorHAnsi"/>
          <w:sz w:val="22"/>
          <w:szCs w:val="22"/>
        </w:rPr>
        <w:t xml:space="preserve"> Novou Rámcovou smlouvou</w:t>
      </w:r>
      <w:r w:rsidR="00F456D7">
        <w:rPr>
          <w:rFonts w:asciiTheme="minorHAnsi" w:hAnsiTheme="minorHAnsi" w:cstheme="minorHAnsi"/>
          <w:sz w:val="22"/>
          <w:szCs w:val="22"/>
        </w:rPr>
        <w:t xml:space="preserve"> a aplikovatelnou legislativou</w:t>
      </w:r>
      <w:r w:rsidR="00EB096B">
        <w:rPr>
          <w:rFonts w:asciiTheme="minorHAnsi" w:hAnsiTheme="minorHAnsi" w:cstheme="minorHAnsi"/>
          <w:sz w:val="22"/>
          <w:szCs w:val="22"/>
        </w:rPr>
        <w:t>.</w:t>
      </w:r>
      <w:r w:rsidR="00E06AE0">
        <w:rPr>
          <w:rFonts w:asciiTheme="minorHAnsi" w:hAnsiTheme="minorHAnsi" w:cstheme="minorHAnsi"/>
          <w:sz w:val="22"/>
          <w:szCs w:val="22"/>
        </w:rPr>
        <w:t xml:space="preserve"> Nová Rámcová smlouva bude obsahovat rozvazovací podmínku, ze které bude plynout, že pokud nebude </w:t>
      </w:r>
      <w:r w:rsidR="006D64B4">
        <w:rPr>
          <w:rFonts w:asciiTheme="minorHAnsi" w:hAnsiTheme="minorHAnsi" w:cstheme="minorHAnsi"/>
          <w:sz w:val="22"/>
          <w:szCs w:val="22"/>
        </w:rPr>
        <w:t xml:space="preserve">Částka narovnání </w:t>
      </w:r>
      <w:r w:rsidR="00E06AE0">
        <w:rPr>
          <w:rFonts w:asciiTheme="minorHAnsi" w:hAnsiTheme="minorHAnsi" w:cstheme="minorHAnsi"/>
          <w:sz w:val="22"/>
          <w:szCs w:val="22"/>
        </w:rPr>
        <w:t>uhrazen</w:t>
      </w:r>
      <w:r w:rsidR="006D64B4">
        <w:rPr>
          <w:rFonts w:asciiTheme="minorHAnsi" w:hAnsiTheme="minorHAnsi" w:cstheme="minorHAnsi"/>
          <w:sz w:val="22"/>
          <w:szCs w:val="22"/>
        </w:rPr>
        <w:t>a</w:t>
      </w:r>
      <w:r w:rsidR="00E06AE0">
        <w:rPr>
          <w:rFonts w:asciiTheme="minorHAnsi" w:hAnsiTheme="minorHAnsi" w:cstheme="minorHAnsi"/>
          <w:sz w:val="22"/>
          <w:szCs w:val="22"/>
        </w:rPr>
        <w:t xml:space="preserve"> v souladu s touto Dohodou, Nová Rámcová smlouva zaniká</w:t>
      </w:r>
      <w:r w:rsidR="00F456D7">
        <w:rPr>
          <w:rFonts w:asciiTheme="minorHAnsi" w:hAnsiTheme="minorHAnsi" w:cstheme="minorHAnsi"/>
          <w:sz w:val="22"/>
          <w:szCs w:val="22"/>
        </w:rPr>
        <w:t xml:space="preserve"> zpětně</w:t>
      </w:r>
      <w:r w:rsidR="00E06AE0">
        <w:rPr>
          <w:rFonts w:asciiTheme="minorHAnsi" w:hAnsiTheme="minorHAnsi" w:cstheme="minorHAnsi"/>
          <w:sz w:val="22"/>
          <w:szCs w:val="22"/>
        </w:rPr>
        <w:t xml:space="preserve"> </w:t>
      </w:r>
      <w:r w:rsidR="00F456D7">
        <w:rPr>
          <w:rFonts w:asciiTheme="minorHAnsi" w:hAnsiTheme="minorHAnsi" w:cstheme="minorHAnsi"/>
          <w:sz w:val="22"/>
          <w:szCs w:val="22"/>
        </w:rPr>
        <w:t>(</w:t>
      </w:r>
      <w:r w:rsidR="00E06AE0" w:rsidRPr="00DB0169">
        <w:rPr>
          <w:rFonts w:asciiTheme="minorHAnsi" w:hAnsiTheme="minorHAnsi" w:cstheme="minorHAnsi"/>
          <w:i/>
          <w:sz w:val="22"/>
          <w:szCs w:val="22"/>
        </w:rPr>
        <w:t>ex tunc</w:t>
      </w:r>
      <w:r w:rsidR="00F456D7" w:rsidRPr="00A77A90">
        <w:rPr>
          <w:rFonts w:asciiTheme="minorHAnsi" w:hAnsiTheme="minorHAnsi" w:cstheme="minorHAnsi"/>
          <w:sz w:val="22"/>
          <w:szCs w:val="22"/>
        </w:rPr>
        <w:t>)</w:t>
      </w:r>
      <w:r w:rsidR="00E06AE0">
        <w:rPr>
          <w:rFonts w:asciiTheme="minorHAnsi" w:hAnsiTheme="minorHAnsi" w:cstheme="minorHAnsi"/>
          <w:sz w:val="22"/>
          <w:szCs w:val="22"/>
        </w:rPr>
        <w:t>.</w:t>
      </w:r>
    </w:p>
    <w:p w14:paraId="03499B3D" w14:textId="69E20D8E" w:rsidR="000966F9" w:rsidRDefault="000966F9" w:rsidP="004252C3">
      <w:pPr>
        <w:pStyle w:val="Stylpravidel"/>
        <w:widowControl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lastRenderedPageBreak/>
        <w:t>Za období od 1. 5. 2024</w:t>
      </w:r>
      <w:r>
        <w:rPr>
          <w:rFonts w:asciiTheme="minorHAnsi" w:hAnsiTheme="minorHAnsi" w:cstheme="minorHAnsi"/>
          <w:sz w:val="22"/>
          <w:szCs w:val="22"/>
        </w:rPr>
        <w:t xml:space="preserve"> do 25. 8. 2024</w:t>
      </w:r>
      <w:r w:rsidRPr="00317386">
        <w:rPr>
          <w:rFonts w:asciiTheme="minorHAnsi" w:hAnsiTheme="minorHAnsi" w:cstheme="minorHAnsi"/>
          <w:sz w:val="22"/>
          <w:szCs w:val="22"/>
        </w:rPr>
        <w:t xml:space="preserve"> uhradí</w:t>
      </w:r>
      <w:r>
        <w:rPr>
          <w:rFonts w:asciiTheme="minorHAnsi" w:hAnsiTheme="minorHAnsi" w:cstheme="minorHAnsi"/>
          <w:sz w:val="22"/>
          <w:szCs w:val="22"/>
        </w:rPr>
        <w:t xml:space="preserve"> ČPZP</w:t>
      </w:r>
      <w:r w:rsidRPr="00317386">
        <w:rPr>
          <w:rFonts w:asciiTheme="minorHAnsi" w:hAnsiTheme="minorHAnsi" w:cstheme="minorHAnsi"/>
          <w:sz w:val="22"/>
          <w:szCs w:val="22"/>
        </w:rPr>
        <w:t xml:space="preserve"> </w:t>
      </w:r>
      <w:r w:rsidR="007C0A9B">
        <w:rPr>
          <w:rFonts w:asciiTheme="minorHAnsi" w:hAnsiTheme="minorHAnsi" w:cstheme="minorHAnsi"/>
          <w:sz w:val="22"/>
          <w:szCs w:val="22"/>
        </w:rPr>
        <w:t xml:space="preserve">po jednotlivých měsících </w:t>
      </w:r>
      <w:r w:rsidRPr="00317386">
        <w:rPr>
          <w:rFonts w:asciiTheme="minorHAnsi" w:hAnsiTheme="minorHAnsi" w:cstheme="minorHAnsi"/>
          <w:sz w:val="22"/>
          <w:szCs w:val="22"/>
        </w:rPr>
        <w:t xml:space="preserve">vykázané zdravotní služby </w:t>
      </w:r>
      <w:r>
        <w:rPr>
          <w:rFonts w:asciiTheme="minorHAnsi" w:hAnsiTheme="minorHAnsi" w:cstheme="minorHAnsi"/>
          <w:sz w:val="22"/>
          <w:szCs w:val="22"/>
        </w:rPr>
        <w:t>poskytnuté pojištěncům ČPZP, jejichž rodná čísla jsou uvedena v Příloze č. 3 této Dohody,</w:t>
      </w:r>
      <w:r w:rsidRPr="003173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ze strany ČH v předpokládané výši </w:t>
      </w:r>
      <w:r w:rsidR="00A77A90">
        <w:rPr>
          <w:rFonts w:asciiTheme="minorHAnsi" w:hAnsiTheme="minorHAnsi" w:cstheme="minorHAnsi"/>
          <w:sz w:val="22"/>
          <w:szCs w:val="22"/>
        </w:rPr>
        <w:t>734 601,00</w:t>
      </w:r>
      <w:r>
        <w:rPr>
          <w:rFonts w:asciiTheme="minorHAnsi" w:hAnsiTheme="minorHAnsi" w:cstheme="minorHAnsi"/>
          <w:sz w:val="22"/>
          <w:szCs w:val="22"/>
        </w:rPr>
        <w:t xml:space="preserve"> Kč.</w:t>
      </w:r>
      <w:r w:rsidR="00EB096B">
        <w:rPr>
          <w:rFonts w:asciiTheme="minorHAnsi" w:hAnsiTheme="minorHAnsi" w:cstheme="minorHAnsi"/>
          <w:sz w:val="22"/>
          <w:szCs w:val="22"/>
        </w:rPr>
        <w:t xml:space="preserve"> Skutečná výše úhrady bude stanovena ČPZP</w:t>
      </w:r>
      <w:r w:rsidR="00E06AE0">
        <w:rPr>
          <w:rFonts w:asciiTheme="minorHAnsi" w:hAnsiTheme="minorHAnsi" w:cstheme="minorHAnsi"/>
          <w:sz w:val="22"/>
          <w:szCs w:val="22"/>
        </w:rPr>
        <w:t xml:space="preserve"> na základě vykázání ze strany ČH</w:t>
      </w:r>
      <w:r w:rsidR="00EB096B">
        <w:rPr>
          <w:rFonts w:asciiTheme="minorHAnsi" w:hAnsiTheme="minorHAnsi" w:cstheme="minorHAnsi"/>
          <w:sz w:val="22"/>
          <w:szCs w:val="22"/>
        </w:rPr>
        <w:t xml:space="preserve"> v souladu s touto Dohodou, platnou </w:t>
      </w:r>
      <w:r w:rsidR="00EB096B" w:rsidRPr="00317386">
        <w:rPr>
          <w:rFonts w:asciiTheme="minorHAnsi" w:hAnsiTheme="minorHAnsi" w:cstheme="minorHAnsi"/>
          <w:sz w:val="22"/>
          <w:szCs w:val="22"/>
        </w:rPr>
        <w:t>Metodikou pro pořizování a předávání dokladů v. z. p.</w:t>
      </w:r>
      <w:r w:rsidR="00F456D7">
        <w:rPr>
          <w:rFonts w:asciiTheme="minorHAnsi" w:hAnsiTheme="minorHAnsi" w:cstheme="minorHAnsi"/>
          <w:sz w:val="22"/>
          <w:szCs w:val="22"/>
        </w:rPr>
        <w:t>,</w:t>
      </w:r>
      <w:r w:rsidR="00EB096B">
        <w:rPr>
          <w:rFonts w:asciiTheme="minorHAnsi" w:hAnsiTheme="minorHAnsi" w:cstheme="minorHAnsi"/>
          <w:sz w:val="22"/>
          <w:szCs w:val="22"/>
        </w:rPr>
        <w:t xml:space="preserve"> Novou Rámcovou smlouvou</w:t>
      </w:r>
      <w:r w:rsidR="00F456D7">
        <w:rPr>
          <w:rFonts w:asciiTheme="minorHAnsi" w:hAnsiTheme="minorHAnsi" w:cstheme="minorHAnsi"/>
          <w:sz w:val="22"/>
          <w:szCs w:val="22"/>
        </w:rPr>
        <w:t xml:space="preserve"> a aplikovatelnou legislativou.</w:t>
      </w:r>
    </w:p>
    <w:p w14:paraId="7B26D1F4" w14:textId="53855862" w:rsidR="00EB096B" w:rsidRDefault="000966F9" w:rsidP="00EB096B">
      <w:pPr>
        <w:pStyle w:val="Stylpravidel"/>
        <w:widowControl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období od 26. 8. 2024 dále uhradí ČPZP</w:t>
      </w:r>
      <w:r w:rsidR="007C0A9B">
        <w:rPr>
          <w:rFonts w:asciiTheme="minorHAnsi" w:hAnsiTheme="minorHAnsi" w:cstheme="minorHAnsi"/>
          <w:sz w:val="22"/>
          <w:szCs w:val="22"/>
        </w:rPr>
        <w:t xml:space="preserve"> po jednotlivých měsících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7386">
        <w:rPr>
          <w:rFonts w:asciiTheme="minorHAnsi" w:hAnsiTheme="minorHAnsi" w:cstheme="minorHAnsi"/>
          <w:sz w:val="22"/>
          <w:szCs w:val="22"/>
        </w:rPr>
        <w:t xml:space="preserve">vykázané zdravotní služby </w:t>
      </w:r>
      <w:r>
        <w:rPr>
          <w:rFonts w:asciiTheme="minorHAnsi" w:hAnsiTheme="minorHAnsi" w:cstheme="minorHAnsi"/>
          <w:sz w:val="22"/>
          <w:szCs w:val="22"/>
        </w:rPr>
        <w:t>poskytnuté pojištěncům ČPZP (pro období od 26. 8. 2024 do 3</w:t>
      </w:r>
      <w:r w:rsidR="00A77A9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77A90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 2024 jen pojištěncům, jejichž rodná čísla jsou uvedena v Příloze č. 4 této Dohody),</w:t>
      </w:r>
      <w:r w:rsidRPr="003173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ze strany HTL </w:t>
      </w:r>
      <w:r w:rsidRPr="00317386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základě </w:t>
      </w:r>
      <w:r w:rsidR="002675CC">
        <w:rPr>
          <w:rFonts w:asciiTheme="minorHAnsi" w:hAnsiTheme="minorHAnsi" w:cstheme="minorHAnsi"/>
          <w:sz w:val="22"/>
          <w:szCs w:val="22"/>
        </w:rPr>
        <w:t xml:space="preserve">další nové </w:t>
      </w:r>
      <w:r w:rsidR="002675CC" w:rsidRPr="002675CC">
        <w:rPr>
          <w:rFonts w:asciiTheme="minorHAnsi" w:hAnsiTheme="minorHAnsi" w:cstheme="minorHAnsi"/>
          <w:sz w:val="22"/>
          <w:szCs w:val="22"/>
        </w:rPr>
        <w:t xml:space="preserve">rámcové smlouvy za </w:t>
      </w:r>
      <w:r w:rsidR="002675CC">
        <w:rPr>
          <w:rFonts w:asciiTheme="minorHAnsi" w:hAnsiTheme="minorHAnsi" w:cstheme="minorHAnsi"/>
          <w:sz w:val="22"/>
          <w:szCs w:val="22"/>
        </w:rPr>
        <w:t xml:space="preserve">předpokladu </w:t>
      </w:r>
      <w:r w:rsidR="002675CC" w:rsidRPr="002675CC">
        <w:rPr>
          <w:rFonts w:asciiTheme="minorHAnsi" w:hAnsiTheme="minorHAnsi" w:cstheme="minorHAnsi"/>
          <w:sz w:val="22"/>
          <w:szCs w:val="22"/>
        </w:rPr>
        <w:t>splnění zákonných podmínek stanovených zejména ust. § 17 odst. 8 zákona č. 48/1997 Sb., o veřejném zdravotním pojištění, ve znění pozdějších předpisů</w:t>
      </w:r>
      <w:r w:rsidR="002675C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2675CC" w:rsidRPr="00A77A90">
        <w:rPr>
          <w:rFonts w:asciiTheme="minorHAnsi" w:hAnsiTheme="minorHAnsi" w:cstheme="minorHAnsi"/>
          <w:b/>
          <w:sz w:val="22"/>
          <w:szCs w:val="22"/>
        </w:rPr>
        <w:t>Navazující Nová Rámcová smlouva</w:t>
      </w:r>
      <w:r w:rsidR="002675CC">
        <w:rPr>
          <w:rFonts w:asciiTheme="minorHAnsi" w:hAnsiTheme="minorHAnsi" w:cstheme="minorHAnsi"/>
          <w:sz w:val="22"/>
          <w:szCs w:val="22"/>
        </w:rPr>
        <w:t>“).</w:t>
      </w:r>
      <w:r w:rsidR="009E3778">
        <w:rPr>
          <w:rFonts w:asciiTheme="minorHAnsi" w:hAnsiTheme="minorHAnsi" w:cstheme="minorHAnsi"/>
          <w:sz w:val="22"/>
          <w:szCs w:val="22"/>
        </w:rPr>
        <w:t xml:space="preserve"> </w:t>
      </w:r>
      <w:r w:rsidR="00EB096B">
        <w:rPr>
          <w:rFonts w:asciiTheme="minorHAnsi" w:hAnsiTheme="minorHAnsi" w:cstheme="minorHAnsi"/>
          <w:sz w:val="22"/>
          <w:szCs w:val="22"/>
        </w:rPr>
        <w:t>Skutečná výše úhrady bude stanovena ČPZP</w:t>
      </w:r>
      <w:r w:rsidR="00E06AE0">
        <w:rPr>
          <w:rFonts w:asciiTheme="minorHAnsi" w:hAnsiTheme="minorHAnsi" w:cstheme="minorHAnsi"/>
          <w:sz w:val="22"/>
          <w:szCs w:val="22"/>
        </w:rPr>
        <w:t xml:space="preserve"> na základě vykázání HTL</w:t>
      </w:r>
      <w:r w:rsidR="00EB096B">
        <w:rPr>
          <w:rFonts w:asciiTheme="minorHAnsi" w:hAnsiTheme="minorHAnsi" w:cstheme="minorHAnsi"/>
          <w:sz w:val="22"/>
          <w:szCs w:val="22"/>
        </w:rPr>
        <w:t xml:space="preserve"> v souladu s touto Dohodou, platnou </w:t>
      </w:r>
      <w:r w:rsidR="00EB096B" w:rsidRPr="00317386">
        <w:rPr>
          <w:rFonts w:asciiTheme="minorHAnsi" w:hAnsiTheme="minorHAnsi" w:cstheme="minorHAnsi"/>
          <w:sz w:val="22"/>
          <w:szCs w:val="22"/>
        </w:rPr>
        <w:t>Metodikou pro pořizování a předávání dokladů v. z. p.</w:t>
      </w:r>
      <w:r w:rsidR="00F456D7">
        <w:rPr>
          <w:rFonts w:asciiTheme="minorHAnsi" w:hAnsiTheme="minorHAnsi" w:cstheme="minorHAnsi"/>
          <w:sz w:val="22"/>
          <w:szCs w:val="22"/>
        </w:rPr>
        <w:t>,</w:t>
      </w:r>
      <w:r w:rsidR="00EB096B">
        <w:rPr>
          <w:rFonts w:asciiTheme="minorHAnsi" w:hAnsiTheme="minorHAnsi" w:cstheme="minorHAnsi"/>
          <w:sz w:val="22"/>
          <w:szCs w:val="22"/>
        </w:rPr>
        <w:t xml:space="preserve"> Navazující Novou Rámcovou smlouvou</w:t>
      </w:r>
      <w:r w:rsidR="00F456D7">
        <w:rPr>
          <w:rFonts w:asciiTheme="minorHAnsi" w:hAnsiTheme="minorHAnsi" w:cstheme="minorHAnsi"/>
          <w:sz w:val="22"/>
          <w:szCs w:val="22"/>
        </w:rPr>
        <w:t xml:space="preserve"> a aplikovatelnou legislativou.</w:t>
      </w:r>
      <w:r w:rsidR="00E06AE0">
        <w:rPr>
          <w:rFonts w:asciiTheme="minorHAnsi" w:hAnsiTheme="minorHAnsi" w:cstheme="minorHAnsi"/>
          <w:sz w:val="22"/>
          <w:szCs w:val="22"/>
        </w:rPr>
        <w:t xml:space="preserve"> </w:t>
      </w:r>
      <w:r w:rsidR="009E3778">
        <w:rPr>
          <w:rFonts w:asciiTheme="minorHAnsi" w:hAnsiTheme="minorHAnsi" w:cstheme="minorHAnsi"/>
          <w:sz w:val="22"/>
          <w:szCs w:val="22"/>
        </w:rPr>
        <w:t xml:space="preserve">Navazující Nová Rámcová smlouva bude uzavřena v termínu dle </w:t>
      </w:r>
      <w:r w:rsidR="009E3778" w:rsidRPr="002675CC">
        <w:rPr>
          <w:rFonts w:asciiTheme="minorHAnsi" w:hAnsiTheme="minorHAnsi" w:cstheme="minorHAnsi"/>
          <w:sz w:val="22"/>
          <w:szCs w:val="22"/>
        </w:rPr>
        <w:t>ust. § 17 odst. 8 zákona č. 48/1997 Sb., o veřejném zdravotním pojištění, ve znění pozdějších předpisů</w:t>
      </w:r>
      <w:r w:rsidR="009E3778">
        <w:rPr>
          <w:rFonts w:asciiTheme="minorHAnsi" w:hAnsiTheme="minorHAnsi" w:cstheme="minorHAnsi"/>
          <w:sz w:val="22"/>
          <w:szCs w:val="22"/>
        </w:rPr>
        <w:t>,</w:t>
      </w:r>
      <w:r w:rsidR="00E06AE0">
        <w:rPr>
          <w:rFonts w:asciiTheme="minorHAnsi" w:hAnsiTheme="minorHAnsi" w:cstheme="minorHAnsi"/>
          <w:sz w:val="22"/>
          <w:szCs w:val="22"/>
        </w:rPr>
        <w:t xml:space="preserve"> s účinností od 26. 8. 2024</w:t>
      </w:r>
      <w:r w:rsidR="00F456D7">
        <w:rPr>
          <w:rFonts w:asciiTheme="minorHAnsi" w:hAnsiTheme="minorHAnsi" w:cstheme="minorHAnsi"/>
          <w:sz w:val="22"/>
          <w:szCs w:val="22"/>
        </w:rPr>
        <w:t xml:space="preserve"> do 30. 6. 2025</w:t>
      </w:r>
      <w:r w:rsidR="00E06AE0">
        <w:rPr>
          <w:rFonts w:asciiTheme="minorHAnsi" w:hAnsiTheme="minorHAnsi" w:cstheme="minorHAnsi"/>
          <w:sz w:val="22"/>
          <w:szCs w:val="22"/>
        </w:rPr>
        <w:t xml:space="preserve"> a bude obsahovat rozvazovací podmínku, ze které bude plynout, že pokud nebude </w:t>
      </w:r>
      <w:r w:rsidR="006D64B4">
        <w:rPr>
          <w:rFonts w:asciiTheme="minorHAnsi" w:hAnsiTheme="minorHAnsi" w:cstheme="minorHAnsi"/>
          <w:sz w:val="22"/>
          <w:szCs w:val="22"/>
        </w:rPr>
        <w:t xml:space="preserve">Částka narovnání </w:t>
      </w:r>
      <w:r w:rsidR="00E06AE0">
        <w:rPr>
          <w:rFonts w:asciiTheme="minorHAnsi" w:hAnsiTheme="minorHAnsi" w:cstheme="minorHAnsi"/>
          <w:sz w:val="22"/>
          <w:szCs w:val="22"/>
        </w:rPr>
        <w:t>uhrazen</w:t>
      </w:r>
      <w:r w:rsidR="006D64B4">
        <w:rPr>
          <w:rFonts w:asciiTheme="minorHAnsi" w:hAnsiTheme="minorHAnsi" w:cstheme="minorHAnsi"/>
          <w:sz w:val="22"/>
          <w:szCs w:val="22"/>
        </w:rPr>
        <w:t>a</w:t>
      </w:r>
      <w:r w:rsidR="00E06AE0">
        <w:rPr>
          <w:rFonts w:asciiTheme="minorHAnsi" w:hAnsiTheme="minorHAnsi" w:cstheme="minorHAnsi"/>
          <w:sz w:val="22"/>
          <w:szCs w:val="22"/>
        </w:rPr>
        <w:t xml:space="preserve"> v souladu s touto Dohodou, Navazující Nová Rámcová smlouva zaniká </w:t>
      </w:r>
      <w:r w:rsidR="00F456D7">
        <w:rPr>
          <w:rFonts w:asciiTheme="minorHAnsi" w:hAnsiTheme="minorHAnsi" w:cstheme="minorHAnsi"/>
          <w:sz w:val="22"/>
          <w:szCs w:val="22"/>
        </w:rPr>
        <w:t>zpětně (</w:t>
      </w:r>
      <w:r w:rsidR="00E06AE0" w:rsidRPr="00C05AFB">
        <w:rPr>
          <w:rFonts w:asciiTheme="minorHAnsi" w:hAnsiTheme="minorHAnsi" w:cstheme="minorHAnsi"/>
          <w:i/>
          <w:sz w:val="22"/>
          <w:szCs w:val="22"/>
        </w:rPr>
        <w:t>ex tunc</w:t>
      </w:r>
      <w:r w:rsidR="00F456D7" w:rsidRPr="00A77A90">
        <w:rPr>
          <w:rFonts w:asciiTheme="minorHAnsi" w:hAnsiTheme="minorHAnsi" w:cstheme="minorHAnsi"/>
          <w:sz w:val="22"/>
          <w:szCs w:val="22"/>
        </w:rPr>
        <w:t>)</w:t>
      </w:r>
      <w:r w:rsidR="00E06AE0">
        <w:rPr>
          <w:rFonts w:asciiTheme="minorHAnsi" w:hAnsiTheme="minorHAnsi" w:cstheme="minorHAnsi"/>
          <w:sz w:val="22"/>
          <w:szCs w:val="22"/>
        </w:rPr>
        <w:t>.</w:t>
      </w:r>
    </w:p>
    <w:p w14:paraId="3F43682C" w14:textId="1323DC4E" w:rsidR="00740BBE" w:rsidRDefault="004252C3" w:rsidP="004252C3">
      <w:pPr>
        <w:pStyle w:val="Stylpravidel"/>
        <w:widowControl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Úhrady podle čl. III.1 a</w:t>
      </w:r>
      <w:r w:rsidR="000966F9">
        <w:rPr>
          <w:rFonts w:asciiTheme="minorHAnsi" w:hAnsiTheme="minorHAnsi" w:cstheme="minorHAnsi"/>
          <w:sz w:val="22"/>
          <w:szCs w:val="22"/>
        </w:rPr>
        <w:t>ž</w:t>
      </w:r>
      <w:r w:rsidRPr="00317386">
        <w:rPr>
          <w:rFonts w:asciiTheme="minorHAnsi" w:hAnsiTheme="minorHAnsi" w:cstheme="minorHAnsi"/>
          <w:sz w:val="22"/>
          <w:szCs w:val="22"/>
        </w:rPr>
        <w:t xml:space="preserve"> III.</w:t>
      </w:r>
      <w:r w:rsidR="00740BBE">
        <w:rPr>
          <w:rFonts w:asciiTheme="minorHAnsi" w:hAnsiTheme="minorHAnsi" w:cstheme="minorHAnsi"/>
          <w:sz w:val="22"/>
          <w:szCs w:val="22"/>
        </w:rPr>
        <w:t>2</w:t>
      </w:r>
      <w:r w:rsidR="009E3778" w:rsidRPr="00317386">
        <w:rPr>
          <w:rFonts w:asciiTheme="minorHAnsi" w:hAnsiTheme="minorHAnsi" w:cstheme="minorHAnsi"/>
          <w:sz w:val="22"/>
          <w:szCs w:val="22"/>
        </w:rPr>
        <w:t xml:space="preserve"> </w:t>
      </w:r>
      <w:r w:rsidR="00F456D7">
        <w:rPr>
          <w:rFonts w:asciiTheme="minorHAnsi" w:hAnsiTheme="minorHAnsi" w:cstheme="minorHAnsi"/>
          <w:sz w:val="22"/>
          <w:szCs w:val="22"/>
        </w:rPr>
        <w:t xml:space="preserve"> </w:t>
      </w:r>
      <w:r w:rsidRPr="00317386">
        <w:rPr>
          <w:rFonts w:asciiTheme="minorHAnsi" w:hAnsiTheme="minorHAnsi" w:cstheme="minorHAnsi"/>
          <w:sz w:val="22"/>
          <w:szCs w:val="22"/>
        </w:rPr>
        <w:t xml:space="preserve">ČPZP provede do 15 dnů od </w:t>
      </w:r>
      <w:r w:rsidR="000966F9">
        <w:rPr>
          <w:rFonts w:asciiTheme="minorHAnsi" w:hAnsiTheme="minorHAnsi" w:cstheme="minorHAnsi"/>
          <w:sz w:val="22"/>
          <w:szCs w:val="22"/>
        </w:rPr>
        <w:t xml:space="preserve">zpracování </w:t>
      </w:r>
      <w:r w:rsidR="00F25242" w:rsidRPr="00317386">
        <w:rPr>
          <w:rFonts w:asciiTheme="minorHAnsi" w:hAnsiTheme="minorHAnsi" w:cstheme="minorHAnsi"/>
          <w:sz w:val="22"/>
          <w:szCs w:val="22"/>
        </w:rPr>
        <w:t xml:space="preserve">úplného </w:t>
      </w:r>
      <w:r w:rsidRPr="00317386">
        <w:rPr>
          <w:rFonts w:asciiTheme="minorHAnsi" w:hAnsiTheme="minorHAnsi" w:cstheme="minorHAnsi"/>
          <w:sz w:val="22"/>
          <w:szCs w:val="22"/>
        </w:rPr>
        <w:t xml:space="preserve">vykázání hrazených zdravotních služeb </w:t>
      </w:r>
      <w:r w:rsidR="00F25242" w:rsidRPr="00317386">
        <w:rPr>
          <w:rFonts w:asciiTheme="minorHAnsi" w:hAnsiTheme="minorHAnsi" w:cstheme="minorHAnsi"/>
          <w:sz w:val="22"/>
          <w:szCs w:val="22"/>
        </w:rPr>
        <w:t>ze strany ČH</w:t>
      </w:r>
      <w:r w:rsidR="00EB096B">
        <w:rPr>
          <w:rFonts w:asciiTheme="minorHAnsi" w:hAnsiTheme="minorHAnsi" w:cstheme="minorHAnsi"/>
          <w:sz w:val="22"/>
          <w:szCs w:val="22"/>
        </w:rPr>
        <w:t xml:space="preserve"> případně HTL, které bude</w:t>
      </w:r>
      <w:r w:rsidR="00F25242" w:rsidRPr="00317386">
        <w:rPr>
          <w:rFonts w:asciiTheme="minorHAnsi" w:hAnsiTheme="minorHAnsi" w:cstheme="minorHAnsi"/>
          <w:sz w:val="22"/>
          <w:szCs w:val="22"/>
        </w:rPr>
        <w:t xml:space="preserve"> </w:t>
      </w:r>
      <w:r w:rsidRPr="00317386">
        <w:rPr>
          <w:rFonts w:asciiTheme="minorHAnsi" w:hAnsiTheme="minorHAnsi" w:cstheme="minorHAnsi"/>
          <w:sz w:val="22"/>
          <w:szCs w:val="22"/>
        </w:rPr>
        <w:t>v souladu s touto Dohodou</w:t>
      </w:r>
      <w:r w:rsidR="00EB096B">
        <w:rPr>
          <w:rFonts w:asciiTheme="minorHAnsi" w:hAnsiTheme="minorHAnsi" w:cstheme="minorHAnsi"/>
          <w:sz w:val="22"/>
          <w:szCs w:val="22"/>
        </w:rPr>
        <w:t>,</w:t>
      </w:r>
      <w:r w:rsidR="00F25242" w:rsidRPr="00317386">
        <w:rPr>
          <w:rFonts w:asciiTheme="minorHAnsi" w:hAnsiTheme="minorHAnsi" w:cstheme="minorHAnsi"/>
          <w:sz w:val="22"/>
          <w:szCs w:val="22"/>
        </w:rPr>
        <w:t xml:space="preserve"> platnou Metodikou pro pořizování a předávání dokladů v. z. p.</w:t>
      </w:r>
      <w:r w:rsidR="00056BC5">
        <w:rPr>
          <w:rFonts w:asciiTheme="minorHAnsi" w:hAnsiTheme="minorHAnsi" w:cstheme="minorHAnsi"/>
          <w:sz w:val="22"/>
          <w:szCs w:val="22"/>
        </w:rPr>
        <w:t>,</w:t>
      </w:r>
      <w:r w:rsidR="00EB096B">
        <w:rPr>
          <w:rFonts w:asciiTheme="minorHAnsi" w:hAnsiTheme="minorHAnsi" w:cstheme="minorHAnsi"/>
          <w:sz w:val="22"/>
          <w:szCs w:val="22"/>
        </w:rPr>
        <w:t xml:space="preserve"> Novou Rámcovou smlouvou, </w:t>
      </w:r>
      <w:r w:rsidR="00056BC5">
        <w:rPr>
          <w:rFonts w:asciiTheme="minorHAnsi" w:hAnsiTheme="minorHAnsi" w:cstheme="minorHAnsi"/>
          <w:sz w:val="22"/>
          <w:szCs w:val="22"/>
        </w:rPr>
        <w:t>a aplikovatelnou legislativou</w:t>
      </w:r>
      <w:r w:rsidRPr="00317386">
        <w:rPr>
          <w:rFonts w:asciiTheme="minorHAnsi" w:hAnsiTheme="minorHAnsi" w:cstheme="minorHAnsi"/>
          <w:sz w:val="22"/>
          <w:szCs w:val="22"/>
        </w:rPr>
        <w:t xml:space="preserve">, ne však dříve než do 5 pracovních dnů od </w:t>
      </w:r>
      <w:r w:rsidR="00F25242" w:rsidRPr="00317386">
        <w:rPr>
          <w:rFonts w:asciiTheme="minorHAnsi" w:hAnsiTheme="minorHAnsi" w:cstheme="minorHAnsi"/>
          <w:sz w:val="22"/>
          <w:szCs w:val="22"/>
        </w:rPr>
        <w:t xml:space="preserve">(i) </w:t>
      </w:r>
      <w:r w:rsidRPr="00317386">
        <w:rPr>
          <w:rFonts w:asciiTheme="minorHAnsi" w:hAnsiTheme="minorHAnsi" w:cstheme="minorHAnsi"/>
          <w:sz w:val="22"/>
          <w:szCs w:val="22"/>
        </w:rPr>
        <w:t xml:space="preserve">úplné úhrady </w:t>
      </w:r>
      <w:r w:rsidR="000A0A6B" w:rsidRPr="00591BC3">
        <w:rPr>
          <w:rFonts w:asciiTheme="minorHAnsi" w:hAnsiTheme="minorHAnsi" w:cstheme="minorHAnsi"/>
          <w:sz w:val="22"/>
          <w:szCs w:val="22"/>
        </w:rPr>
        <w:t xml:space="preserve">Částky narovnání </w:t>
      </w:r>
      <w:r w:rsidRPr="00591BC3">
        <w:rPr>
          <w:rFonts w:asciiTheme="minorHAnsi" w:hAnsiTheme="minorHAnsi" w:cstheme="minorHAnsi"/>
          <w:sz w:val="22"/>
          <w:szCs w:val="22"/>
        </w:rPr>
        <w:t>ve smyslu</w:t>
      </w:r>
      <w:r w:rsidRPr="00317386">
        <w:rPr>
          <w:rFonts w:asciiTheme="minorHAnsi" w:hAnsiTheme="minorHAnsi" w:cstheme="minorHAnsi"/>
          <w:sz w:val="22"/>
          <w:szCs w:val="22"/>
        </w:rPr>
        <w:t xml:space="preserve"> čl. II. této Dohody</w:t>
      </w:r>
      <w:r w:rsidR="00F25242" w:rsidRPr="00317386">
        <w:rPr>
          <w:rFonts w:asciiTheme="minorHAnsi" w:hAnsiTheme="minorHAnsi" w:cstheme="minorHAnsi"/>
          <w:sz w:val="22"/>
          <w:szCs w:val="22"/>
        </w:rPr>
        <w:t xml:space="preserve"> a (ii) nabytí účinnosti Nové Rámcové smlouvy</w:t>
      </w:r>
      <w:r w:rsidRPr="00317386">
        <w:rPr>
          <w:rFonts w:asciiTheme="minorHAnsi" w:hAnsiTheme="minorHAnsi" w:cstheme="minorHAnsi"/>
          <w:sz w:val="22"/>
          <w:szCs w:val="22"/>
        </w:rPr>
        <w:t>.</w:t>
      </w:r>
      <w:r w:rsidR="009E37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C11AA" w14:textId="0795D855" w:rsidR="00740BBE" w:rsidRDefault="00740BBE" w:rsidP="004252C3">
      <w:pPr>
        <w:pStyle w:val="Stylpravidel"/>
        <w:widowControl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Úhrady dle čl. III.3 budou provedeny</w:t>
      </w:r>
      <w:r w:rsidR="00F151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souladu s</w:t>
      </w:r>
      <w:r w:rsidR="00F1512A">
        <w:rPr>
          <w:rFonts w:asciiTheme="minorHAnsi" w:hAnsiTheme="minorHAnsi" w:cstheme="minorHAnsi"/>
          <w:sz w:val="22"/>
          <w:szCs w:val="22"/>
        </w:rPr>
        <w:t> Novou Rámcovou smlouvou, ne však dříve než po realizaci úhrad dle čl. I</w:t>
      </w:r>
      <w:r w:rsidR="00D10283">
        <w:rPr>
          <w:rFonts w:asciiTheme="minorHAnsi" w:hAnsiTheme="minorHAnsi" w:cstheme="minorHAnsi"/>
          <w:sz w:val="22"/>
          <w:szCs w:val="22"/>
        </w:rPr>
        <w:t>I</w:t>
      </w:r>
      <w:r w:rsidR="00F1512A">
        <w:rPr>
          <w:rFonts w:asciiTheme="minorHAnsi" w:hAnsiTheme="minorHAnsi" w:cstheme="minorHAnsi"/>
          <w:sz w:val="22"/>
          <w:szCs w:val="22"/>
        </w:rPr>
        <w:t>I.5 výše.</w:t>
      </w:r>
    </w:p>
    <w:p w14:paraId="62CE4237" w14:textId="0D73F0C8" w:rsidR="004252C3" w:rsidRDefault="009E3778" w:rsidP="004252C3">
      <w:pPr>
        <w:pStyle w:val="Stylpravidel"/>
        <w:widowControl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Úhrady dle čl. III.4 budou provedeny v souladu s ust. § 17 odst. 8 zákona č. 48/1997 Sb., o veřejném zdravotním pojištění, ve znění pozdějších předpisů, a Navazující Novou Rámcovou smlouvou</w:t>
      </w:r>
      <w:r w:rsidR="00F1512A">
        <w:rPr>
          <w:rFonts w:asciiTheme="minorHAnsi" w:hAnsiTheme="minorHAnsi" w:cstheme="minorHAnsi"/>
          <w:sz w:val="22"/>
          <w:szCs w:val="22"/>
        </w:rPr>
        <w:t xml:space="preserve">, ne však dříve než po realizaci úhrady dle čl. </w:t>
      </w:r>
      <w:r w:rsidR="00D10283">
        <w:rPr>
          <w:rFonts w:asciiTheme="minorHAnsi" w:hAnsiTheme="minorHAnsi" w:cstheme="minorHAnsi"/>
          <w:sz w:val="22"/>
          <w:szCs w:val="22"/>
        </w:rPr>
        <w:t>I</w:t>
      </w:r>
      <w:r w:rsidR="00F1512A">
        <w:rPr>
          <w:rFonts w:asciiTheme="minorHAnsi" w:hAnsiTheme="minorHAnsi" w:cstheme="minorHAnsi"/>
          <w:sz w:val="22"/>
          <w:szCs w:val="22"/>
        </w:rPr>
        <w:t>II.</w:t>
      </w:r>
      <w:r w:rsidR="00D10283">
        <w:rPr>
          <w:rFonts w:asciiTheme="minorHAnsi" w:hAnsiTheme="minorHAnsi" w:cstheme="minorHAnsi"/>
          <w:sz w:val="22"/>
          <w:szCs w:val="22"/>
        </w:rPr>
        <w:t>6</w:t>
      </w:r>
      <w:r w:rsidR="00F1512A">
        <w:rPr>
          <w:rFonts w:asciiTheme="minorHAnsi" w:hAnsiTheme="minorHAnsi" w:cstheme="minorHAnsi"/>
          <w:sz w:val="22"/>
          <w:szCs w:val="22"/>
        </w:rPr>
        <w:t xml:space="preserve"> výše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EB95E9" w14:textId="278780A6" w:rsidR="00A77A90" w:rsidRPr="00317386" w:rsidRDefault="00A77A90" w:rsidP="004252C3">
      <w:pPr>
        <w:pStyle w:val="Stylpravidel"/>
        <w:widowControl/>
        <w:numPr>
          <w:ilvl w:val="0"/>
          <w:numId w:val="1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ČH a HTL se zavazují vykázat veškerou již poskytnutou zdravotní péči dle čl. III.1 až III.4 v pořadí dle jednotlivých měsíců a dále poskytnout ČPZP součinnost při identifikaci pořadí vykázané péče (např. pomocí zaslání přehledu nově vykázaných faktur přiřazených k jednotlivým měsícům, případně jiným způsobem dle operativní dohody zástupců smluvních stran).</w:t>
      </w:r>
    </w:p>
    <w:p w14:paraId="2225C252" w14:textId="77777777" w:rsidR="00A77A90" w:rsidRDefault="00A77A90" w:rsidP="00403163">
      <w:pPr>
        <w:pStyle w:val="Styl12bTunzarovnnnastedPed6b"/>
        <w:jc w:val="center"/>
        <w:rPr>
          <w:rFonts w:asciiTheme="minorHAnsi" w:hAnsiTheme="minorHAnsi" w:cstheme="minorHAnsi"/>
          <w:sz w:val="22"/>
          <w:szCs w:val="22"/>
        </w:rPr>
      </w:pPr>
    </w:p>
    <w:p w14:paraId="246E8598" w14:textId="79C5539E" w:rsidR="00D06290" w:rsidRPr="00317386" w:rsidRDefault="00D06290" w:rsidP="00403163">
      <w:pPr>
        <w:pStyle w:val="Styl12bTunzarovnnnastedPed6b"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Článek IV</w:t>
      </w:r>
    </w:p>
    <w:p w14:paraId="3F07D489" w14:textId="77777777" w:rsidR="00403163" w:rsidRPr="00317386" w:rsidRDefault="00D06290" w:rsidP="00403163">
      <w:pPr>
        <w:pStyle w:val="Styl12bTunzarovnnnastedPed6b"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Vypořádání Návrhu na EPR</w:t>
      </w:r>
    </w:p>
    <w:p w14:paraId="2A716E14" w14:textId="14D9F534" w:rsidR="00D06290" w:rsidRDefault="004252C3" w:rsidP="004252C3">
      <w:pPr>
        <w:pStyle w:val="Stylpravidel"/>
        <w:widowControl/>
        <w:numPr>
          <w:ilvl w:val="0"/>
          <w:numId w:val="16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ČPZP se zavazuje vzít zpět Návrh na EPR</w:t>
      </w:r>
      <w:r w:rsidR="00CC35AC">
        <w:rPr>
          <w:rFonts w:asciiTheme="minorHAnsi" w:hAnsiTheme="minorHAnsi" w:cstheme="minorHAnsi"/>
          <w:sz w:val="22"/>
          <w:szCs w:val="22"/>
        </w:rPr>
        <w:t xml:space="preserve"> a vzdát se práva na náhradu nákladů řízení</w:t>
      </w:r>
      <w:r w:rsidR="006D64B4">
        <w:rPr>
          <w:rFonts w:asciiTheme="minorHAnsi" w:hAnsiTheme="minorHAnsi" w:cstheme="minorHAnsi"/>
          <w:sz w:val="22"/>
          <w:szCs w:val="22"/>
        </w:rPr>
        <w:t>,</w:t>
      </w:r>
      <w:r w:rsidRPr="00317386">
        <w:rPr>
          <w:rFonts w:asciiTheme="minorHAnsi" w:hAnsiTheme="minorHAnsi" w:cstheme="minorHAnsi"/>
          <w:sz w:val="22"/>
          <w:szCs w:val="22"/>
        </w:rPr>
        <w:t xml:space="preserve"> a to do 15 dnů od úplné úhrady </w:t>
      </w:r>
      <w:r w:rsidR="00CC35AC">
        <w:rPr>
          <w:rFonts w:asciiTheme="minorHAnsi" w:hAnsiTheme="minorHAnsi" w:cstheme="minorHAnsi"/>
          <w:sz w:val="22"/>
          <w:szCs w:val="22"/>
        </w:rPr>
        <w:t>Částky narovnání</w:t>
      </w:r>
      <w:r w:rsidR="00CC35AC" w:rsidRPr="00317386">
        <w:rPr>
          <w:rFonts w:asciiTheme="minorHAnsi" w:hAnsiTheme="minorHAnsi" w:cstheme="minorHAnsi"/>
          <w:sz w:val="22"/>
          <w:szCs w:val="22"/>
        </w:rPr>
        <w:t xml:space="preserve"> </w:t>
      </w:r>
      <w:r w:rsidRPr="00317386">
        <w:rPr>
          <w:rFonts w:asciiTheme="minorHAnsi" w:hAnsiTheme="minorHAnsi" w:cstheme="minorHAnsi"/>
          <w:sz w:val="22"/>
          <w:szCs w:val="22"/>
        </w:rPr>
        <w:t xml:space="preserve">ze strany ČH </w:t>
      </w:r>
      <w:r w:rsidR="00CC35AC">
        <w:rPr>
          <w:rFonts w:asciiTheme="minorHAnsi" w:hAnsiTheme="minorHAnsi" w:cstheme="minorHAnsi"/>
          <w:sz w:val="22"/>
          <w:szCs w:val="22"/>
        </w:rPr>
        <w:t xml:space="preserve">či HTL </w:t>
      </w:r>
      <w:r w:rsidRPr="00317386">
        <w:rPr>
          <w:rFonts w:asciiTheme="minorHAnsi" w:hAnsiTheme="minorHAnsi" w:cstheme="minorHAnsi"/>
          <w:sz w:val="22"/>
          <w:szCs w:val="22"/>
        </w:rPr>
        <w:t>ve smyslu této Dohody.</w:t>
      </w:r>
    </w:p>
    <w:p w14:paraId="6F4BFE9F" w14:textId="03B98708" w:rsidR="00CC35AC" w:rsidRDefault="00CC35AC" w:rsidP="004252C3">
      <w:pPr>
        <w:pStyle w:val="Stylpravidel"/>
        <w:widowControl/>
        <w:numPr>
          <w:ilvl w:val="0"/>
          <w:numId w:val="16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FLS se zavazuje vyslovit souhlas se zastavením řízení týkající se Návrhu na EPR a vzdát se práva na náhradu nákladů řízení. Smluvní strany se zároveň dohodly, že v případě, že by příslušný soud v souvislosti se zastavením řízení týkající se Návrhu na EPR kterékoliv smluvní straně náhradu nákladů řízení přiznal, dotčená strana se zavazuje, že platbu náhrady nákladů řízení nebude vymáhat. </w:t>
      </w:r>
    </w:p>
    <w:p w14:paraId="5C98B4BA" w14:textId="30B854EF" w:rsidR="004C53E0" w:rsidRPr="00317386" w:rsidRDefault="004C53E0" w:rsidP="004252C3">
      <w:pPr>
        <w:pStyle w:val="Stylpravidel"/>
        <w:widowControl/>
        <w:numPr>
          <w:ilvl w:val="0"/>
          <w:numId w:val="16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ČH se zavazuje </w:t>
      </w:r>
      <w:r w:rsidRPr="00591BC3">
        <w:rPr>
          <w:rFonts w:asciiTheme="minorHAnsi" w:hAnsiTheme="minorHAnsi" w:cstheme="minorHAnsi"/>
          <w:sz w:val="22"/>
          <w:szCs w:val="22"/>
        </w:rPr>
        <w:t>uhradit</w:t>
      </w:r>
      <w:r w:rsidR="00DA3AD2" w:rsidRPr="00591BC3">
        <w:rPr>
          <w:rFonts w:asciiTheme="minorHAnsi" w:hAnsiTheme="minorHAnsi" w:cstheme="minorHAnsi"/>
          <w:sz w:val="22"/>
          <w:szCs w:val="22"/>
        </w:rPr>
        <w:t xml:space="preserve"> namísto FLS</w:t>
      </w:r>
      <w:r w:rsidRPr="00591BC3">
        <w:rPr>
          <w:rFonts w:asciiTheme="minorHAnsi" w:hAnsiTheme="minorHAnsi" w:cstheme="minorHAnsi"/>
          <w:sz w:val="22"/>
          <w:szCs w:val="22"/>
        </w:rPr>
        <w:t xml:space="preserve"> v souvislosti</w:t>
      </w:r>
      <w:r>
        <w:rPr>
          <w:rFonts w:asciiTheme="minorHAnsi" w:hAnsiTheme="minorHAnsi" w:cstheme="minorHAnsi"/>
          <w:sz w:val="22"/>
          <w:szCs w:val="22"/>
        </w:rPr>
        <w:t xml:space="preserve"> se zpětvzetím Návrhu na EPR ČPZP na bankovní účet číslo</w:t>
      </w:r>
      <w:r w:rsidR="00A264CA">
        <w:rPr>
          <w:rFonts w:asciiTheme="minorHAnsi" w:hAnsiTheme="minorHAnsi" w:cstheme="minorHAnsi"/>
          <w:sz w:val="22"/>
          <w:szCs w:val="22"/>
        </w:rPr>
        <w:t xml:space="preserve"> xx</w:t>
      </w:r>
      <w:r>
        <w:rPr>
          <w:rFonts w:asciiTheme="minorHAnsi" w:hAnsiTheme="minorHAnsi" w:cstheme="minorHAnsi"/>
          <w:sz w:val="22"/>
          <w:szCs w:val="22"/>
        </w:rPr>
        <w:t>, VS</w:t>
      </w:r>
      <w:r w:rsidR="00A264CA">
        <w:rPr>
          <w:rFonts w:asciiTheme="minorHAnsi" w:hAnsiTheme="minorHAnsi" w:cstheme="minorHAnsi"/>
          <w:sz w:val="22"/>
          <w:szCs w:val="22"/>
        </w:rPr>
        <w:t xml:space="preserve"> xx</w:t>
      </w:r>
      <w:r>
        <w:rPr>
          <w:rFonts w:asciiTheme="minorHAnsi" w:hAnsiTheme="minorHAnsi" w:cstheme="minorHAnsi"/>
          <w:sz w:val="22"/>
          <w:szCs w:val="22"/>
        </w:rPr>
        <w:t>, nevr</w:t>
      </w:r>
      <w:r w:rsidR="00A77A90">
        <w:rPr>
          <w:rFonts w:asciiTheme="minorHAnsi" w:hAnsiTheme="minorHAnsi" w:cstheme="minorHAnsi"/>
          <w:sz w:val="22"/>
          <w:szCs w:val="22"/>
        </w:rPr>
        <w:t>atitelnou</w:t>
      </w:r>
      <w:r>
        <w:rPr>
          <w:rFonts w:asciiTheme="minorHAnsi" w:hAnsiTheme="minorHAnsi" w:cstheme="minorHAnsi"/>
          <w:sz w:val="22"/>
          <w:szCs w:val="22"/>
        </w:rPr>
        <w:t xml:space="preserve"> část soudního poplatku ve výši 42 517 Kč a to do </w:t>
      </w:r>
      <w:r w:rsidR="00B10C5F">
        <w:rPr>
          <w:rFonts w:asciiTheme="minorHAnsi" w:hAnsiTheme="minorHAnsi" w:cstheme="minorHAnsi"/>
          <w:sz w:val="22"/>
          <w:szCs w:val="22"/>
        </w:rPr>
        <w:t>15 dnů od</w:t>
      </w:r>
      <w:r w:rsidR="00CC35AC">
        <w:rPr>
          <w:rFonts w:asciiTheme="minorHAnsi" w:hAnsiTheme="minorHAnsi" w:cstheme="minorHAnsi"/>
          <w:sz w:val="22"/>
          <w:szCs w:val="22"/>
        </w:rPr>
        <w:t xml:space="preserve"> doručení potvrzení o</w:t>
      </w:r>
      <w:r w:rsidR="00B10C5F">
        <w:rPr>
          <w:rFonts w:asciiTheme="minorHAnsi" w:hAnsiTheme="minorHAnsi" w:cstheme="minorHAnsi"/>
          <w:sz w:val="22"/>
          <w:szCs w:val="22"/>
        </w:rPr>
        <w:t xml:space="preserve"> zpětvzetí Návrhu na EPR ve smyslu čl. IV.1 této Dohody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5A3E00" w14:textId="77777777" w:rsidR="00D06290" w:rsidRPr="00317386" w:rsidRDefault="00D06290" w:rsidP="00403163">
      <w:pPr>
        <w:pStyle w:val="Styl12bTunzarovnnnastedPed6b"/>
        <w:jc w:val="center"/>
        <w:rPr>
          <w:rFonts w:asciiTheme="minorHAnsi" w:hAnsiTheme="minorHAnsi" w:cstheme="minorHAnsi"/>
          <w:sz w:val="22"/>
          <w:szCs w:val="22"/>
        </w:rPr>
      </w:pPr>
    </w:p>
    <w:p w14:paraId="46097E8F" w14:textId="77777777" w:rsidR="004252C3" w:rsidRPr="00317386" w:rsidRDefault="004252C3" w:rsidP="00CF6914">
      <w:pPr>
        <w:pStyle w:val="Styl12bTunzarovnnnastedPed6b"/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lastRenderedPageBreak/>
        <w:t>Článek V</w:t>
      </w:r>
    </w:p>
    <w:p w14:paraId="754917C0" w14:textId="77777777" w:rsidR="004252C3" w:rsidRPr="00317386" w:rsidRDefault="004252C3" w:rsidP="00CF6914">
      <w:pPr>
        <w:pStyle w:val="Styl12bTunzarovnnnastedPed6b"/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Výluky z Dohody</w:t>
      </w:r>
    </w:p>
    <w:p w14:paraId="10211EDC" w14:textId="77777777" w:rsidR="0088351A" w:rsidRPr="00317386" w:rsidRDefault="0088351A" w:rsidP="0088351A">
      <w:pPr>
        <w:pStyle w:val="Stylpravidel"/>
        <w:widowControl/>
        <w:numPr>
          <w:ilvl w:val="0"/>
          <w:numId w:val="7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Pro vyloučení veškeré pochybnosti sjednávají smluvní strany následující výluky z rozsahu této Dohody:</w:t>
      </w:r>
    </w:p>
    <w:p w14:paraId="61A98602" w14:textId="67410701" w:rsidR="0088351A" w:rsidRPr="00317386" w:rsidRDefault="0088351A" w:rsidP="0088351A">
      <w:pPr>
        <w:pStyle w:val="Stylpravidel"/>
        <w:widowControl/>
        <w:numPr>
          <w:ilvl w:val="0"/>
          <w:numId w:val="8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Tato Dohoda jako celek, ani žádné z jejich ustanovení jednotlivě nelze vykládat jako vzdání se práva ČPZP provádět kontrolu využívání a poskytování hrazených služeb a jejich vyúčtování</w:t>
      </w:r>
      <w:r w:rsidR="00510754" w:rsidRPr="00317386">
        <w:rPr>
          <w:rFonts w:asciiTheme="minorHAnsi" w:hAnsiTheme="minorHAnsi" w:cstheme="minorHAnsi"/>
          <w:sz w:val="22"/>
          <w:szCs w:val="22"/>
        </w:rPr>
        <w:t xml:space="preserve"> (a to i zpětně)</w:t>
      </w:r>
      <w:r w:rsidRPr="00317386">
        <w:rPr>
          <w:rFonts w:asciiTheme="minorHAnsi" w:hAnsiTheme="minorHAnsi" w:cstheme="minorHAnsi"/>
          <w:sz w:val="22"/>
          <w:szCs w:val="22"/>
        </w:rPr>
        <w:t>, a to z hlediska objemu a kvality v souladu s</w:t>
      </w:r>
      <w:r w:rsidR="004252C3" w:rsidRPr="00317386">
        <w:rPr>
          <w:rFonts w:asciiTheme="minorHAnsi" w:hAnsiTheme="minorHAnsi" w:cstheme="minorHAnsi"/>
          <w:sz w:val="22"/>
          <w:szCs w:val="22"/>
        </w:rPr>
        <w:t> </w:t>
      </w:r>
      <w:r w:rsidRPr="00317386">
        <w:rPr>
          <w:rFonts w:asciiTheme="minorHAnsi" w:hAnsiTheme="minorHAnsi" w:cstheme="minorHAnsi"/>
          <w:sz w:val="22"/>
          <w:szCs w:val="22"/>
        </w:rPr>
        <w:t>R</w:t>
      </w:r>
      <w:r w:rsidR="004252C3" w:rsidRPr="00317386">
        <w:rPr>
          <w:rFonts w:asciiTheme="minorHAnsi" w:hAnsiTheme="minorHAnsi" w:cstheme="minorHAnsi"/>
          <w:sz w:val="22"/>
          <w:szCs w:val="22"/>
        </w:rPr>
        <w:t>ámcovou smlouvou, případně Novou Rámcovou smlouvou</w:t>
      </w:r>
      <w:r w:rsidR="00A77A90">
        <w:rPr>
          <w:rFonts w:asciiTheme="minorHAnsi" w:hAnsiTheme="minorHAnsi" w:cstheme="minorHAnsi"/>
          <w:sz w:val="22"/>
          <w:szCs w:val="22"/>
        </w:rPr>
        <w:t xml:space="preserve"> nebo Navazující Novou Rámcovou smlouvou</w:t>
      </w:r>
      <w:r w:rsidR="00103648" w:rsidRPr="00317386">
        <w:rPr>
          <w:rFonts w:asciiTheme="minorHAnsi" w:hAnsiTheme="minorHAnsi" w:cstheme="minorHAnsi"/>
          <w:sz w:val="22"/>
          <w:szCs w:val="22"/>
        </w:rPr>
        <w:t>,</w:t>
      </w:r>
      <w:r w:rsidR="004252C3" w:rsidRPr="00317386">
        <w:rPr>
          <w:rFonts w:asciiTheme="minorHAnsi" w:hAnsiTheme="minorHAnsi" w:cstheme="minorHAnsi"/>
          <w:sz w:val="22"/>
          <w:szCs w:val="22"/>
        </w:rPr>
        <w:t xml:space="preserve"> a s</w:t>
      </w:r>
      <w:r w:rsidRPr="00317386">
        <w:rPr>
          <w:rFonts w:asciiTheme="minorHAnsi" w:hAnsiTheme="minorHAnsi" w:cstheme="minorHAnsi"/>
          <w:sz w:val="22"/>
          <w:szCs w:val="22"/>
        </w:rPr>
        <w:t xml:space="preserve"> aplikovatelnými právními předpisy.</w:t>
      </w:r>
    </w:p>
    <w:p w14:paraId="3F86DB62" w14:textId="77777777" w:rsidR="008373FD" w:rsidRPr="00317386" w:rsidRDefault="008373FD" w:rsidP="0088351A">
      <w:pPr>
        <w:pStyle w:val="Stylpravidel"/>
        <w:widowControl/>
        <w:numPr>
          <w:ilvl w:val="0"/>
          <w:numId w:val="8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 xml:space="preserve">Tato Dohoda jako celek, ani žádné z jejich ustanovení jednotlivě, nevylučuje právo ČPZP z konkrétního důvodu odmítnout konkrétní </w:t>
      </w:r>
      <w:r w:rsidR="00510754" w:rsidRPr="00317386">
        <w:rPr>
          <w:rFonts w:asciiTheme="minorHAnsi" w:hAnsiTheme="minorHAnsi" w:cstheme="minorHAnsi"/>
          <w:sz w:val="22"/>
          <w:szCs w:val="22"/>
        </w:rPr>
        <w:t>vyúčtování</w:t>
      </w:r>
      <w:r w:rsidRPr="00317386">
        <w:rPr>
          <w:rFonts w:asciiTheme="minorHAnsi" w:hAnsiTheme="minorHAnsi" w:cstheme="minorHAnsi"/>
          <w:sz w:val="22"/>
          <w:szCs w:val="22"/>
        </w:rPr>
        <w:t>, či si k němu vyžádat upřesnění.</w:t>
      </w:r>
    </w:p>
    <w:p w14:paraId="339B2494" w14:textId="77777777" w:rsidR="004B7249" w:rsidRPr="00317386" w:rsidRDefault="004B7249" w:rsidP="004934B8">
      <w:pPr>
        <w:pStyle w:val="Styl12bTunzarovnnnastedPed6b"/>
        <w:keepNext/>
        <w:spacing w:before="360"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 xml:space="preserve">Článek </w:t>
      </w:r>
      <w:r w:rsidR="00403163" w:rsidRPr="00317386">
        <w:rPr>
          <w:rFonts w:asciiTheme="minorHAnsi" w:hAnsiTheme="minorHAnsi" w:cstheme="minorHAnsi"/>
          <w:sz w:val="22"/>
          <w:szCs w:val="22"/>
        </w:rPr>
        <w:t>V</w:t>
      </w:r>
      <w:r w:rsidR="00510754" w:rsidRPr="00317386">
        <w:rPr>
          <w:rFonts w:asciiTheme="minorHAnsi" w:hAnsiTheme="minorHAnsi" w:cstheme="minorHAnsi"/>
          <w:sz w:val="22"/>
          <w:szCs w:val="22"/>
        </w:rPr>
        <w:t>I</w:t>
      </w:r>
      <w:r w:rsidRPr="00317386">
        <w:rPr>
          <w:rFonts w:asciiTheme="minorHAnsi" w:hAnsiTheme="minorHAnsi" w:cstheme="minorHAnsi"/>
          <w:sz w:val="22"/>
          <w:szCs w:val="22"/>
        </w:rPr>
        <w:t>.</w:t>
      </w:r>
    </w:p>
    <w:p w14:paraId="61D723C5" w14:textId="77777777" w:rsidR="004B7249" w:rsidRPr="00317386" w:rsidRDefault="004B7249" w:rsidP="004934B8">
      <w:pPr>
        <w:pStyle w:val="Styl12bTunzarovnnnastedPed6b"/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5842CE3" w14:textId="11F7F72A" w:rsidR="006800B4" w:rsidRPr="00317386" w:rsidRDefault="006800B4" w:rsidP="006800B4">
      <w:pPr>
        <w:pStyle w:val="Stylpravidel"/>
        <w:widowControl/>
        <w:numPr>
          <w:ilvl w:val="0"/>
          <w:numId w:val="10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Každá ze smluvních stran měla možnost tuto Dohodu konzultovat se svými odbornými poradci a vyjádřit se k jejímu obsahu</w:t>
      </w:r>
      <w:r w:rsidR="008373FD" w:rsidRPr="00317386">
        <w:rPr>
          <w:rFonts w:asciiTheme="minorHAnsi" w:hAnsiTheme="minorHAnsi" w:cstheme="minorHAnsi"/>
          <w:sz w:val="22"/>
          <w:szCs w:val="22"/>
        </w:rPr>
        <w:t xml:space="preserve"> a tento ovlivnit</w:t>
      </w:r>
      <w:r w:rsidRPr="00317386">
        <w:rPr>
          <w:rFonts w:asciiTheme="minorHAnsi" w:hAnsiTheme="minorHAnsi" w:cstheme="minorHAnsi"/>
          <w:sz w:val="22"/>
          <w:szCs w:val="22"/>
        </w:rPr>
        <w:t>.</w:t>
      </w:r>
      <w:r w:rsidR="008373FD" w:rsidRPr="00317386">
        <w:rPr>
          <w:rFonts w:asciiTheme="minorHAnsi" w:hAnsiTheme="minorHAnsi" w:cstheme="minorHAnsi"/>
          <w:sz w:val="22"/>
          <w:szCs w:val="22"/>
        </w:rPr>
        <w:t xml:space="preserve"> Podmínky této </w:t>
      </w:r>
      <w:r w:rsidR="009D24D0">
        <w:rPr>
          <w:rFonts w:asciiTheme="minorHAnsi" w:hAnsiTheme="minorHAnsi" w:cstheme="minorHAnsi"/>
          <w:sz w:val="22"/>
          <w:szCs w:val="22"/>
        </w:rPr>
        <w:t>D</w:t>
      </w:r>
      <w:r w:rsidR="008373FD" w:rsidRPr="00317386">
        <w:rPr>
          <w:rFonts w:asciiTheme="minorHAnsi" w:hAnsiTheme="minorHAnsi" w:cstheme="minorHAnsi"/>
          <w:sz w:val="22"/>
          <w:szCs w:val="22"/>
        </w:rPr>
        <w:t>ohody nebyly jednostranně určeny.</w:t>
      </w:r>
      <w:r w:rsidRPr="00317386">
        <w:rPr>
          <w:rFonts w:asciiTheme="minorHAnsi" w:hAnsiTheme="minorHAnsi" w:cstheme="minorHAnsi"/>
          <w:sz w:val="22"/>
          <w:szCs w:val="22"/>
        </w:rPr>
        <w:t xml:space="preserve"> S ohledem na tuto skutečnost nelze tuto </w:t>
      </w:r>
      <w:r w:rsidR="009D24D0">
        <w:rPr>
          <w:rFonts w:asciiTheme="minorHAnsi" w:hAnsiTheme="minorHAnsi" w:cstheme="minorHAnsi"/>
          <w:sz w:val="22"/>
          <w:szCs w:val="22"/>
        </w:rPr>
        <w:t>D</w:t>
      </w:r>
      <w:r w:rsidRPr="00317386">
        <w:rPr>
          <w:rFonts w:asciiTheme="minorHAnsi" w:hAnsiTheme="minorHAnsi" w:cstheme="minorHAnsi"/>
          <w:sz w:val="22"/>
          <w:szCs w:val="22"/>
        </w:rPr>
        <w:t>ohodu považovat za adhezní smlouvu</w:t>
      </w:r>
      <w:r w:rsidR="00510754" w:rsidRPr="00317386">
        <w:rPr>
          <w:rFonts w:asciiTheme="minorHAnsi" w:hAnsiTheme="minorHAnsi" w:cstheme="minorHAnsi"/>
          <w:sz w:val="22"/>
          <w:szCs w:val="22"/>
        </w:rPr>
        <w:t xml:space="preserve"> ve smyslu ust. § 1798 </w:t>
      </w:r>
      <w:r w:rsidR="00D71B2D">
        <w:rPr>
          <w:rFonts w:asciiTheme="minorHAnsi" w:hAnsiTheme="minorHAnsi" w:cstheme="minorHAnsi"/>
          <w:sz w:val="22"/>
          <w:szCs w:val="22"/>
        </w:rPr>
        <w:t>o</w:t>
      </w:r>
      <w:r w:rsidR="008373FD" w:rsidRPr="00317386">
        <w:rPr>
          <w:rFonts w:asciiTheme="minorHAnsi" w:hAnsiTheme="minorHAnsi" w:cstheme="minorHAnsi"/>
          <w:sz w:val="22"/>
          <w:szCs w:val="22"/>
        </w:rPr>
        <w:t>bčanského zákoníku</w:t>
      </w:r>
      <w:r w:rsidRPr="00317386">
        <w:rPr>
          <w:rFonts w:asciiTheme="minorHAnsi" w:hAnsiTheme="minorHAnsi" w:cstheme="minorHAnsi"/>
          <w:sz w:val="22"/>
          <w:szCs w:val="22"/>
        </w:rPr>
        <w:t>.</w:t>
      </w:r>
    </w:p>
    <w:p w14:paraId="0ABABEA9" w14:textId="38C62497" w:rsidR="006800B4" w:rsidRPr="00317386" w:rsidRDefault="006800B4" w:rsidP="006800B4">
      <w:pPr>
        <w:pStyle w:val="Stylpravidel"/>
        <w:widowControl/>
        <w:numPr>
          <w:ilvl w:val="0"/>
          <w:numId w:val="10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Smluvní strany vylučují možnosti přijetí nabídky této Dohody s</w:t>
      </w:r>
      <w:r w:rsidR="008373FD" w:rsidRPr="00317386">
        <w:rPr>
          <w:rFonts w:asciiTheme="minorHAnsi" w:hAnsiTheme="minorHAnsi" w:cstheme="minorHAnsi"/>
          <w:sz w:val="22"/>
          <w:szCs w:val="22"/>
        </w:rPr>
        <w:t xml:space="preserve"> dodatkem nebo </w:t>
      </w:r>
      <w:r w:rsidRPr="00317386">
        <w:rPr>
          <w:rFonts w:asciiTheme="minorHAnsi" w:hAnsiTheme="minorHAnsi" w:cstheme="minorHAnsi"/>
          <w:sz w:val="22"/>
          <w:szCs w:val="22"/>
        </w:rPr>
        <w:t>odchylkou</w:t>
      </w:r>
      <w:r w:rsidR="008373FD" w:rsidRPr="00317386">
        <w:rPr>
          <w:rFonts w:asciiTheme="minorHAnsi" w:hAnsiTheme="minorHAnsi" w:cstheme="minorHAnsi"/>
          <w:sz w:val="22"/>
          <w:szCs w:val="22"/>
        </w:rPr>
        <w:t xml:space="preserve"> ve smyslu ust. § 1740 odst. 3 </w:t>
      </w:r>
      <w:r w:rsidR="00D71B2D">
        <w:rPr>
          <w:rFonts w:asciiTheme="minorHAnsi" w:hAnsiTheme="minorHAnsi" w:cstheme="minorHAnsi"/>
          <w:sz w:val="22"/>
          <w:szCs w:val="22"/>
        </w:rPr>
        <w:t>o</w:t>
      </w:r>
      <w:r w:rsidR="008373FD" w:rsidRPr="00317386">
        <w:rPr>
          <w:rFonts w:asciiTheme="minorHAnsi" w:hAnsiTheme="minorHAnsi" w:cstheme="minorHAnsi"/>
          <w:sz w:val="22"/>
          <w:szCs w:val="22"/>
        </w:rPr>
        <w:t>bčanského zákoníku.</w:t>
      </w:r>
    </w:p>
    <w:p w14:paraId="393103BB" w14:textId="1F528739" w:rsidR="001201C4" w:rsidRPr="00591BC3" w:rsidRDefault="006800B4" w:rsidP="006800B4">
      <w:pPr>
        <w:pStyle w:val="Stylpravidel"/>
        <w:widowControl/>
        <w:numPr>
          <w:ilvl w:val="0"/>
          <w:numId w:val="10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91BC3">
        <w:rPr>
          <w:rFonts w:asciiTheme="minorHAnsi" w:hAnsiTheme="minorHAnsi" w:cstheme="minorHAnsi"/>
          <w:sz w:val="22"/>
          <w:szCs w:val="22"/>
        </w:rPr>
        <w:t xml:space="preserve">Tato Dohoda je vyhotovena ve </w:t>
      </w:r>
      <w:r w:rsidR="001D40F8" w:rsidRPr="00591BC3">
        <w:rPr>
          <w:rFonts w:asciiTheme="minorHAnsi" w:hAnsiTheme="minorHAnsi" w:cstheme="minorHAnsi"/>
          <w:sz w:val="22"/>
          <w:szCs w:val="22"/>
        </w:rPr>
        <w:t>čtyřech</w:t>
      </w:r>
      <w:r w:rsidR="00510754" w:rsidRPr="00591BC3">
        <w:rPr>
          <w:rFonts w:asciiTheme="minorHAnsi" w:hAnsiTheme="minorHAnsi" w:cstheme="minorHAnsi"/>
          <w:sz w:val="22"/>
          <w:szCs w:val="22"/>
        </w:rPr>
        <w:t xml:space="preserve"> </w:t>
      </w:r>
      <w:r w:rsidRPr="00591BC3">
        <w:rPr>
          <w:rFonts w:asciiTheme="minorHAnsi" w:hAnsiTheme="minorHAnsi" w:cstheme="minorHAnsi"/>
          <w:sz w:val="22"/>
          <w:szCs w:val="22"/>
        </w:rPr>
        <w:t>stejnopisech, z nichž každá smluvní strana obdrží jedno vyhotovení</w:t>
      </w:r>
      <w:r w:rsidR="00510754" w:rsidRPr="00591BC3">
        <w:rPr>
          <w:rFonts w:asciiTheme="minorHAnsi" w:hAnsiTheme="minorHAnsi" w:cstheme="minorHAnsi"/>
          <w:sz w:val="22"/>
          <w:szCs w:val="22"/>
        </w:rPr>
        <w:t>, případně elektronicky</w:t>
      </w:r>
      <w:r w:rsidRPr="00591BC3">
        <w:rPr>
          <w:rFonts w:asciiTheme="minorHAnsi" w:hAnsiTheme="minorHAnsi" w:cstheme="minorHAnsi"/>
          <w:sz w:val="22"/>
          <w:szCs w:val="22"/>
        </w:rPr>
        <w:t>.</w:t>
      </w:r>
    </w:p>
    <w:p w14:paraId="3C1A4776" w14:textId="759881E8" w:rsidR="00DA3AD2" w:rsidRPr="00591BC3" w:rsidRDefault="00DA3AD2" w:rsidP="006800B4">
      <w:pPr>
        <w:pStyle w:val="Stylpravidel"/>
        <w:widowControl/>
        <w:numPr>
          <w:ilvl w:val="0"/>
          <w:numId w:val="10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91BC3">
        <w:rPr>
          <w:rFonts w:asciiTheme="minorHAnsi" w:hAnsiTheme="minorHAnsi" w:cstheme="minorHAnsi"/>
          <w:sz w:val="22"/>
          <w:szCs w:val="22"/>
        </w:rPr>
        <w:t>ČPZP je oprávněna od této Dohody odstoupit v případě, že nedojde k úhradě Částky narovnání dle této Dohody.</w:t>
      </w:r>
    </w:p>
    <w:p w14:paraId="2868E877" w14:textId="248E1A03" w:rsidR="008373FD" w:rsidRDefault="00510754" w:rsidP="006800B4">
      <w:pPr>
        <w:pStyle w:val="Stylpravidel"/>
        <w:widowControl/>
        <w:numPr>
          <w:ilvl w:val="0"/>
          <w:numId w:val="10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91BC3">
        <w:rPr>
          <w:rFonts w:asciiTheme="minorHAnsi" w:hAnsiTheme="minorHAnsi" w:cstheme="minorHAnsi"/>
          <w:sz w:val="22"/>
          <w:szCs w:val="22"/>
        </w:rPr>
        <w:t>Z</w:t>
      </w:r>
      <w:r w:rsidR="00914A6B" w:rsidRPr="00591BC3">
        <w:rPr>
          <w:rFonts w:asciiTheme="minorHAnsi" w:hAnsiTheme="minorHAnsi" w:cstheme="minorHAnsi"/>
          <w:sz w:val="22"/>
          <w:szCs w:val="22"/>
        </w:rPr>
        <w:t> této Dohody</w:t>
      </w:r>
      <w:r w:rsidR="00914A6B" w:rsidRPr="00317386">
        <w:rPr>
          <w:rFonts w:asciiTheme="minorHAnsi" w:hAnsiTheme="minorHAnsi" w:cstheme="minorHAnsi"/>
          <w:sz w:val="22"/>
          <w:szCs w:val="22"/>
        </w:rPr>
        <w:t xml:space="preserve"> nevyplývá výše úhrady </w:t>
      </w:r>
      <w:r w:rsidRPr="00317386">
        <w:rPr>
          <w:rFonts w:asciiTheme="minorHAnsi" w:hAnsiTheme="minorHAnsi" w:cstheme="minorHAnsi"/>
          <w:sz w:val="22"/>
          <w:szCs w:val="22"/>
        </w:rPr>
        <w:t>ČH</w:t>
      </w:r>
      <w:r w:rsidR="00F456D7">
        <w:rPr>
          <w:rFonts w:asciiTheme="minorHAnsi" w:hAnsiTheme="minorHAnsi" w:cstheme="minorHAnsi"/>
          <w:sz w:val="22"/>
          <w:szCs w:val="22"/>
        </w:rPr>
        <w:t>, HTL</w:t>
      </w:r>
      <w:r w:rsidRPr="00317386">
        <w:rPr>
          <w:rFonts w:asciiTheme="minorHAnsi" w:hAnsiTheme="minorHAnsi" w:cstheme="minorHAnsi"/>
          <w:sz w:val="22"/>
          <w:szCs w:val="22"/>
        </w:rPr>
        <w:t xml:space="preserve"> nebo FLS jako smluvnímu poskytovateli zdravotních služeb</w:t>
      </w:r>
      <w:r w:rsidR="00914A6B" w:rsidRPr="00317386">
        <w:rPr>
          <w:rFonts w:asciiTheme="minorHAnsi" w:hAnsiTheme="minorHAnsi" w:cstheme="minorHAnsi"/>
          <w:sz w:val="22"/>
          <w:szCs w:val="22"/>
        </w:rPr>
        <w:t xml:space="preserve"> za poskytnuté hrazené služby nebo rozsah poskytovaných hrazených služeb,</w:t>
      </w:r>
      <w:r w:rsidRPr="00317386">
        <w:rPr>
          <w:rFonts w:asciiTheme="minorHAnsi" w:hAnsiTheme="minorHAnsi" w:cstheme="minorHAnsi"/>
          <w:sz w:val="22"/>
          <w:szCs w:val="22"/>
        </w:rPr>
        <w:t xml:space="preserve"> tedy tato Dohoda</w:t>
      </w:r>
      <w:r w:rsidR="00914A6B" w:rsidRPr="00317386">
        <w:rPr>
          <w:rFonts w:asciiTheme="minorHAnsi" w:hAnsiTheme="minorHAnsi" w:cstheme="minorHAnsi"/>
          <w:sz w:val="22"/>
          <w:szCs w:val="22"/>
        </w:rPr>
        <w:t xml:space="preserve"> nepodléhá zveřejnění dle ust. § 17 odst. 9 zák. č. 48/1997 Sb., o veřejném zdravotním pojištění, ve znění pozdějších předpisů.</w:t>
      </w:r>
    </w:p>
    <w:p w14:paraId="7A889D5C" w14:textId="6D43C6CD" w:rsidR="00F456D7" w:rsidRDefault="00F456D7" w:rsidP="006800B4">
      <w:pPr>
        <w:pStyle w:val="Stylpravidel"/>
        <w:widowControl/>
        <w:numPr>
          <w:ilvl w:val="0"/>
          <w:numId w:val="10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 této Dohody tvoří její nedílnou součást.</w:t>
      </w:r>
    </w:p>
    <w:p w14:paraId="5C2E9FEE" w14:textId="437048CD" w:rsidR="00F456D7" w:rsidRPr="00317386" w:rsidRDefault="00F456D7" w:rsidP="006800B4">
      <w:pPr>
        <w:pStyle w:val="Stylpravidel"/>
        <w:widowControl/>
        <w:numPr>
          <w:ilvl w:val="0"/>
          <w:numId w:val="10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Dohoda lze měnit pouze formou písemných číslovaných dodatků podepsaných zástupci všech ke dni podpisu </w:t>
      </w:r>
      <w:r w:rsidR="00056BC5">
        <w:rPr>
          <w:rFonts w:asciiTheme="minorHAnsi" w:hAnsiTheme="minorHAnsi" w:cstheme="minorHAnsi"/>
          <w:sz w:val="22"/>
          <w:szCs w:val="22"/>
        </w:rPr>
        <w:t xml:space="preserve">příslušného </w:t>
      </w:r>
      <w:r>
        <w:rPr>
          <w:rFonts w:asciiTheme="minorHAnsi" w:hAnsiTheme="minorHAnsi" w:cstheme="minorHAnsi"/>
          <w:sz w:val="22"/>
          <w:szCs w:val="22"/>
        </w:rPr>
        <w:t>dodatku existujících smluvních stran.</w:t>
      </w:r>
    </w:p>
    <w:p w14:paraId="5BAAD44D" w14:textId="77777777" w:rsidR="00510754" w:rsidRPr="00317386" w:rsidRDefault="00510754" w:rsidP="006800B4">
      <w:pPr>
        <w:pStyle w:val="Stylpravidel"/>
        <w:widowControl/>
        <w:numPr>
          <w:ilvl w:val="0"/>
          <w:numId w:val="10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17386">
        <w:rPr>
          <w:rFonts w:asciiTheme="minorHAnsi" w:hAnsiTheme="minorHAnsi" w:cstheme="minorHAnsi"/>
          <w:sz w:val="22"/>
          <w:szCs w:val="22"/>
        </w:rPr>
        <w:t>Tato Dohoda nabývá účinnosti uveřejněním v registru smluv dle zákona č. 340/2015 Sb., o registru smluv, ve znění pozdějších předpisů, vyjma ustanovení, které považují smluvní strany za důvěrná. Uveřejnění provede ČPZP.</w:t>
      </w:r>
    </w:p>
    <w:p w14:paraId="36E4BDA6" w14:textId="77777777" w:rsidR="00E06AE0" w:rsidRDefault="00E06AE0">
      <w:pPr>
        <w:rPr>
          <w:rFonts w:cstheme="minorHAnsi"/>
        </w:rPr>
      </w:pPr>
    </w:p>
    <w:p w14:paraId="09992140" w14:textId="77777777" w:rsidR="00E06AE0" w:rsidRDefault="00E06AE0">
      <w:pPr>
        <w:rPr>
          <w:rFonts w:cstheme="minorHAnsi"/>
        </w:rPr>
      </w:pPr>
    </w:p>
    <w:p w14:paraId="7995CAEE" w14:textId="77777777" w:rsidR="00E06AE0" w:rsidRDefault="00E06AE0">
      <w:pPr>
        <w:rPr>
          <w:rFonts w:cstheme="minorHAnsi"/>
        </w:rPr>
      </w:pPr>
    </w:p>
    <w:p w14:paraId="78A53DE0" w14:textId="77777777" w:rsidR="00E06AE0" w:rsidRDefault="00E06AE0">
      <w:pPr>
        <w:rPr>
          <w:rFonts w:cstheme="minorHAnsi"/>
        </w:rPr>
      </w:pPr>
    </w:p>
    <w:p w14:paraId="210BB4FD" w14:textId="77777777" w:rsidR="00E06AE0" w:rsidRDefault="00E06AE0">
      <w:pPr>
        <w:rPr>
          <w:rFonts w:cstheme="minorHAnsi"/>
        </w:rPr>
      </w:pPr>
    </w:p>
    <w:p w14:paraId="65FD154D" w14:textId="77777777" w:rsidR="00E06AE0" w:rsidRDefault="00E06AE0">
      <w:pPr>
        <w:rPr>
          <w:rFonts w:cstheme="minorHAnsi"/>
        </w:rPr>
      </w:pPr>
    </w:p>
    <w:p w14:paraId="2CCD44BF" w14:textId="4A8FB6AF" w:rsidR="00E06AE0" w:rsidRPr="001D40F8" w:rsidRDefault="00E06AE0" w:rsidP="001D40F8">
      <w:pPr>
        <w:jc w:val="center"/>
        <w:rPr>
          <w:rFonts w:cstheme="minorHAnsi"/>
          <w:b/>
        </w:rPr>
      </w:pPr>
      <w:r w:rsidRPr="001D40F8">
        <w:rPr>
          <w:rFonts w:cstheme="minorHAnsi"/>
          <w:b/>
        </w:rPr>
        <w:t>PODPISY NÁSLEDUJÍ NA DALŠÍ STRANĚ</w:t>
      </w:r>
    </w:p>
    <w:p w14:paraId="7E179A7E" w14:textId="77777777" w:rsidR="00317386" w:rsidRDefault="00317386" w:rsidP="006977A1">
      <w:pPr>
        <w:jc w:val="both"/>
        <w:rPr>
          <w:rFonts w:cstheme="minorHAnsi"/>
        </w:rPr>
      </w:pPr>
    </w:p>
    <w:p w14:paraId="5846E6BD" w14:textId="5F8BECD1" w:rsidR="006977A1" w:rsidRPr="00103648" w:rsidRDefault="006977A1" w:rsidP="006977A1">
      <w:pPr>
        <w:jc w:val="both"/>
        <w:rPr>
          <w:rFonts w:cstheme="minorHAnsi"/>
        </w:rPr>
      </w:pPr>
      <w:r w:rsidRPr="00103648">
        <w:rPr>
          <w:rFonts w:cstheme="minorHAnsi"/>
          <w:noProof/>
        </w:rPr>
        <w:lastRenderedPageBreak/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</w:p>
    <w:p w14:paraId="330EC0DF" w14:textId="77777777" w:rsidR="006977A1" w:rsidRPr="00103648" w:rsidRDefault="006977A1" w:rsidP="006977A1">
      <w:pPr>
        <w:jc w:val="both"/>
        <w:rPr>
          <w:rFonts w:cstheme="minorHAnsi"/>
        </w:rPr>
      </w:pPr>
    </w:p>
    <w:p w14:paraId="5809E72E" w14:textId="337CD0C8" w:rsidR="006977A1" w:rsidRPr="00103648" w:rsidRDefault="00996EBC" w:rsidP="006977A1">
      <w:pPr>
        <w:jc w:val="both"/>
        <w:rPr>
          <w:rFonts w:cstheme="minorHAnsi"/>
        </w:rPr>
      </w:pPr>
      <w:r>
        <w:rPr>
          <w:rFonts w:cstheme="minorHAnsi"/>
        </w:rPr>
        <w:t>20.12.2024</w:t>
      </w:r>
    </w:p>
    <w:p w14:paraId="0EF6A415" w14:textId="77777777" w:rsidR="006977A1" w:rsidRPr="00103648" w:rsidRDefault="006977A1" w:rsidP="006977A1">
      <w:pPr>
        <w:jc w:val="both"/>
        <w:rPr>
          <w:rFonts w:cstheme="minorHAnsi"/>
        </w:rPr>
      </w:pPr>
      <w:r w:rsidRPr="00103648">
        <w:rPr>
          <w:rFonts w:cstheme="minorHAnsi"/>
        </w:rPr>
        <w:t>………………………………………..</w:t>
      </w:r>
      <w:r w:rsidRPr="00103648">
        <w:rPr>
          <w:rFonts w:cstheme="minorHAnsi"/>
        </w:rPr>
        <w:tab/>
      </w:r>
      <w:r w:rsidRPr="00103648">
        <w:rPr>
          <w:rFonts w:cstheme="minorHAnsi"/>
        </w:rPr>
        <w:tab/>
        <w:t xml:space="preserve">          </w:t>
      </w:r>
      <w:r w:rsidRPr="00103648">
        <w:rPr>
          <w:rFonts w:cstheme="minorHAnsi"/>
        </w:rPr>
        <w:tab/>
      </w:r>
      <w:r w:rsidRPr="00103648">
        <w:rPr>
          <w:rFonts w:cstheme="minorHAnsi"/>
        </w:rPr>
        <w:tab/>
      </w:r>
    </w:p>
    <w:p w14:paraId="27018156" w14:textId="77777777" w:rsidR="00510754" w:rsidRPr="00103648" w:rsidRDefault="00510754" w:rsidP="00317386">
      <w:pPr>
        <w:contextualSpacing/>
        <w:rPr>
          <w:rFonts w:cstheme="minorHAnsi"/>
        </w:rPr>
      </w:pPr>
      <w:r w:rsidRPr="00103648">
        <w:rPr>
          <w:rFonts w:cstheme="minorHAnsi"/>
        </w:rPr>
        <w:t>Ing. Vladimír Matta</w:t>
      </w:r>
    </w:p>
    <w:p w14:paraId="7FCB938F" w14:textId="77777777" w:rsidR="00510754" w:rsidRPr="00103648" w:rsidRDefault="00510754" w:rsidP="00317386">
      <w:pPr>
        <w:contextualSpacing/>
        <w:rPr>
          <w:rFonts w:cstheme="minorHAnsi"/>
        </w:rPr>
      </w:pPr>
      <w:r w:rsidRPr="00103648">
        <w:rPr>
          <w:rFonts w:cstheme="minorHAnsi"/>
        </w:rPr>
        <w:t>generální ředitel</w:t>
      </w:r>
    </w:p>
    <w:p w14:paraId="3FE8D48D" w14:textId="77777777" w:rsidR="00510754" w:rsidRPr="00103648" w:rsidRDefault="006977A1" w:rsidP="00317386">
      <w:pPr>
        <w:contextualSpacing/>
        <w:rPr>
          <w:rFonts w:cstheme="minorHAnsi"/>
        </w:rPr>
      </w:pPr>
      <w:r w:rsidRPr="00103648">
        <w:rPr>
          <w:rFonts w:cstheme="minorHAnsi"/>
        </w:rPr>
        <w:t>Česká průmyslová zdravotní pojišťovna</w:t>
      </w:r>
      <w:r w:rsidRPr="00103648">
        <w:rPr>
          <w:rFonts w:cstheme="minorHAnsi"/>
        </w:rPr>
        <w:tab/>
      </w:r>
      <w:r w:rsidRPr="00103648">
        <w:rPr>
          <w:rFonts w:cstheme="minorHAnsi"/>
        </w:rPr>
        <w:tab/>
      </w:r>
    </w:p>
    <w:p w14:paraId="622F0BF3" w14:textId="77777777" w:rsidR="00510754" w:rsidRPr="00103648" w:rsidRDefault="00510754" w:rsidP="006977A1">
      <w:pPr>
        <w:rPr>
          <w:rFonts w:cstheme="minorHAnsi"/>
        </w:rPr>
      </w:pPr>
    </w:p>
    <w:p w14:paraId="41EA443E" w14:textId="187EE764" w:rsidR="00510754" w:rsidRPr="00103648" w:rsidRDefault="00510754" w:rsidP="00510754">
      <w:pPr>
        <w:jc w:val="both"/>
        <w:rPr>
          <w:rFonts w:cstheme="minorHAnsi"/>
        </w:rPr>
      </w:pP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</w:p>
    <w:p w14:paraId="5348C5A1" w14:textId="77777777" w:rsidR="00510754" w:rsidRPr="00103648" w:rsidRDefault="00510754" w:rsidP="00510754">
      <w:pPr>
        <w:jc w:val="both"/>
        <w:rPr>
          <w:rFonts w:cstheme="minorHAnsi"/>
        </w:rPr>
      </w:pPr>
    </w:p>
    <w:p w14:paraId="29D299CA" w14:textId="40D4E82A" w:rsidR="00510754" w:rsidRPr="00103648" w:rsidRDefault="00996EBC" w:rsidP="00510754">
      <w:pPr>
        <w:jc w:val="both"/>
        <w:rPr>
          <w:rFonts w:cstheme="minorHAnsi"/>
        </w:rPr>
      </w:pPr>
      <w:r>
        <w:rPr>
          <w:rFonts w:cstheme="minorHAnsi"/>
        </w:rPr>
        <w:t>18.12.2024</w:t>
      </w:r>
    </w:p>
    <w:p w14:paraId="0F62AE3B" w14:textId="77777777" w:rsidR="00510754" w:rsidRPr="00103648" w:rsidRDefault="00510754" w:rsidP="00510754">
      <w:pPr>
        <w:jc w:val="both"/>
        <w:rPr>
          <w:rFonts w:cstheme="minorHAnsi"/>
        </w:rPr>
      </w:pPr>
      <w:r w:rsidRPr="00103648">
        <w:rPr>
          <w:rFonts w:cstheme="minorHAnsi"/>
        </w:rPr>
        <w:t>………………………………………..</w:t>
      </w:r>
      <w:r w:rsidRPr="00103648">
        <w:rPr>
          <w:rFonts w:cstheme="minorHAnsi"/>
        </w:rPr>
        <w:tab/>
      </w:r>
      <w:r w:rsidRPr="00103648">
        <w:rPr>
          <w:rFonts w:cstheme="minorHAnsi"/>
        </w:rPr>
        <w:tab/>
        <w:t xml:space="preserve">          </w:t>
      </w:r>
      <w:r w:rsidRPr="00103648">
        <w:rPr>
          <w:rFonts w:cstheme="minorHAnsi"/>
        </w:rPr>
        <w:tab/>
      </w:r>
      <w:r w:rsidRPr="00103648">
        <w:rPr>
          <w:rFonts w:cstheme="minorHAnsi"/>
        </w:rPr>
        <w:tab/>
      </w:r>
    </w:p>
    <w:p w14:paraId="57C2CAB9" w14:textId="77777777" w:rsidR="00510754" w:rsidRPr="00103648" w:rsidRDefault="00510754" w:rsidP="00317386">
      <w:pPr>
        <w:contextualSpacing/>
        <w:rPr>
          <w:rFonts w:cstheme="minorHAnsi"/>
        </w:rPr>
      </w:pPr>
      <w:r w:rsidRPr="00103648">
        <w:rPr>
          <w:rFonts w:cstheme="minorHAnsi"/>
        </w:rPr>
        <w:t>Ing. David Jánošík</w:t>
      </w:r>
    </w:p>
    <w:p w14:paraId="66E80B5F" w14:textId="77777777" w:rsidR="00510754" w:rsidRPr="00103648" w:rsidRDefault="00510754" w:rsidP="00317386">
      <w:pPr>
        <w:contextualSpacing/>
        <w:rPr>
          <w:rFonts w:cstheme="minorHAnsi"/>
        </w:rPr>
      </w:pPr>
      <w:r w:rsidRPr="00103648">
        <w:rPr>
          <w:rFonts w:cstheme="minorHAnsi"/>
        </w:rPr>
        <w:t>likvidátor</w:t>
      </w:r>
    </w:p>
    <w:p w14:paraId="6F09387D" w14:textId="77777777" w:rsidR="00510754" w:rsidRPr="00103648" w:rsidRDefault="00510754" w:rsidP="00317386">
      <w:pPr>
        <w:contextualSpacing/>
        <w:rPr>
          <w:rFonts w:cstheme="minorHAnsi"/>
        </w:rPr>
      </w:pPr>
      <w:r w:rsidRPr="00103648">
        <w:rPr>
          <w:rFonts w:cstheme="minorHAnsi"/>
        </w:rPr>
        <w:t>Františkovy Lázně SAVOY a.s. v likvidaci</w:t>
      </w:r>
    </w:p>
    <w:p w14:paraId="4FC912B6" w14:textId="77777777" w:rsidR="00510754" w:rsidRPr="00103648" w:rsidRDefault="00510754" w:rsidP="00510754">
      <w:pPr>
        <w:rPr>
          <w:rFonts w:cstheme="minorHAnsi"/>
        </w:rPr>
      </w:pPr>
    </w:p>
    <w:p w14:paraId="6FDFC155" w14:textId="7398BAD3" w:rsidR="00510754" w:rsidRPr="00103648" w:rsidRDefault="00510754" w:rsidP="00510754">
      <w:pPr>
        <w:jc w:val="both"/>
        <w:rPr>
          <w:rFonts w:cstheme="minorHAnsi"/>
        </w:rPr>
      </w:pP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  <w:r w:rsidRPr="00103648">
        <w:rPr>
          <w:rFonts w:cstheme="minorHAnsi"/>
          <w:noProof/>
        </w:rPr>
        <w:tab/>
      </w:r>
    </w:p>
    <w:p w14:paraId="7608C553" w14:textId="77777777" w:rsidR="00510754" w:rsidRPr="00103648" w:rsidRDefault="00510754" w:rsidP="00510754">
      <w:pPr>
        <w:jc w:val="both"/>
        <w:rPr>
          <w:rFonts w:cstheme="minorHAnsi"/>
        </w:rPr>
      </w:pPr>
    </w:p>
    <w:p w14:paraId="4986ED46" w14:textId="18B830FA" w:rsidR="00510754" w:rsidRPr="00103648" w:rsidRDefault="00996EBC" w:rsidP="00510754">
      <w:pPr>
        <w:jc w:val="both"/>
        <w:rPr>
          <w:rFonts w:cstheme="minorHAnsi"/>
        </w:rPr>
      </w:pPr>
      <w:r>
        <w:rPr>
          <w:rFonts w:cstheme="minorHAnsi"/>
        </w:rPr>
        <w:t>19.12.2024</w:t>
      </w:r>
    </w:p>
    <w:p w14:paraId="58497477" w14:textId="77777777" w:rsidR="00510754" w:rsidRPr="00103648" w:rsidRDefault="00510754" w:rsidP="00510754">
      <w:pPr>
        <w:jc w:val="both"/>
        <w:rPr>
          <w:rFonts w:cstheme="minorHAnsi"/>
        </w:rPr>
      </w:pPr>
      <w:r w:rsidRPr="00103648">
        <w:rPr>
          <w:rFonts w:cstheme="minorHAnsi"/>
        </w:rPr>
        <w:t>………………………………………..</w:t>
      </w:r>
      <w:r w:rsidRPr="00103648">
        <w:rPr>
          <w:rFonts w:cstheme="minorHAnsi"/>
        </w:rPr>
        <w:tab/>
      </w:r>
      <w:r w:rsidRPr="00103648">
        <w:rPr>
          <w:rFonts w:cstheme="minorHAnsi"/>
        </w:rPr>
        <w:tab/>
        <w:t xml:space="preserve">          </w:t>
      </w:r>
      <w:r w:rsidRPr="00103648">
        <w:rPr>
          <w:rFonts w:cstheme="minorHAnsi"/>
        </w:rPr>
        <w:tab/>
      </w:r>
      <w:r w:rsidRPr="00103648">
        <w:rPr>
          <w:rFonts w:cstheme="minorHAnsi"/>
        </w:rPr>
        <w:tab/>
      </w:r>
    </w:p>
    <w:p w14:paraId="1505D180" w14:textId="77777777" w:rsidR="00510754" w:rsidRPr="00103648" w:rsidRDefault="00510754" w:rsidP="00317386">
      <w:pPr>
        <w:contextualSpacing/>
        <w:rPr>
          <w:rFonts w:cstheme="minorHAnsi"/>
        </w:rPr>
      </w:pPr>
      <w:r w:rsidRPr="00103648">
        <w:rPr>
          <w:rFonts w:eastAsia="Arial Unicode MS" w:cstheme="minorHAnsi"/>
        </w:rPr>
        <w:t>Gulali Mirzayev</w:t>
      </w:r>
      <w:r w:rsidRPr="00103648">
        <w:rPr>
          <w:rFonts w:cstheme="minorHAnsi"/>
        </w:rPr>
        <w:t xml:space="preserve"> </w:t>
      </w:r>
    </w:p>
    <w:p w14:paraId="1B42CDEE" w14:textId="77777777" w:rsidR="00510754" w:rsidRPr="00103648" w:rsidRDefault="00510754" w:rsidP="00317386">
      <w:pPr>
        <w:contextualSpacing/>
        <w:rPr>
          <w:rFonts w:cstheme="minorHAnsi"/>
        </w:rPr>
      </w:pPr>
      <w:r w:rsidRPr="00103648">
        <w:rPr>
          <w:rFonts w:cstheme="minorHAnsi"/>
        </w:rPr>
        <w:t>člen správní rady</w:t>
      </w:r>
    </w:p>
    <w:p w14:paraId="6CE2E04D" w14:textId="77777777" w:rsidR="006977A1" w:rsidRPr="00103648" w:rsidRDefault="00510754" w:rsidP="00317386">
      <w:pPr>
        <w:contextualSpacing/>
        <w:rPr>
          <w:rFonts w:cstheme="minorHAnsi"/>
        </w:rPr>
      </w:pPr>
      <w:r w:rsidRPr="00103648">
        <w:rPr>
          <w:rFonts w:cstheme="minorHAnsi"/>
        </w:rPr>
        <w:t>Česká hotelová, a.s.</w:t>
      </w:r>
      <w:r w:rsidRPr="00103648">
        <w:rPr>
          <w:rFonts w:cstheme="minorHAnsi"/>
        </w:rPr>
        <w:tab/>
      </w:r>
      <w:r w:rsidR="006977A1" w:rsidRPr="00103648">
        <w:rPr>
          <w:rFonts w:cstheme="minorHAnsi"/>
        </w:rPr>
        <w:tab/>
      </w:r>
    </w:p>
    <w:p w14:paraId="56C3D6B1" w14:textId="5153AEA7" w:rsidR="006977A1" w:rsidRDefault="006977A1" w:rsidP="001D40F8">
      <w:pPr>
        <w:jc w:val="both"/>
        <w:rPr>
          <w:rFonts w:cstheme="minorHAnsi"/>
        </w:rPr>
      </w:pPr>
    </w:p>
    <w:p w14:paraId="0A74B49A" w14:textId="21355889" w:rsidR="00E06AE0" w:rsidRPr="00E06AE0" w:rsidRDefault="00E06AE0" w:rsidP="00E06AE0">
      <w:pPr>
        <w:jc w:val="both"/>
        <w:rPr>
          <w:rFonts w:cstheme="minorHAnsi"/>
        </w:rPr>
      </w:pPr>
      <w:r w:rsidRPr="001D40F8">
        <w:rPr>
          <w:rFonts w:cstheme="minorHAnsi"/>
        </w:rPr>
        <w:tab/>
      </w:r>
      <w:r w:rsidRPr="001D40F8">
        <w:rPr>
          <w:rFonts w:cstheme="minorHAnsi"/>
        </w:rPr>
        <w:tab/>
      </w:r>
      <w:r w:rsidRPr="001D40F8">
        <w:rPr>
          <w:rFonts w:cstheme="minorHAnsi"/>
        </w:rPr>
        <w:tab/>
      </w:r>
      <w:r w:rsidRPr="001D40F8">
        <w:rPr>
          <w:rFonts w:cstheme="minorHAnsi"/>
        </w:rPr>
        <w:tab/>
      </w:r>
      <w:r w:rsidRPr="001D40F8">
        <w:rPr>
          <w:rFonts w:cstheme="minorHAnsi"/>
        </w:rPr>
        <w:tab/>
      </w:r>
      <w:r w:rsidRPr="001D40F8">
        <w:rPr>
          <w:rFonts w:cstheme="minorHAnsi"/>
        </w:rPr>
        <w:tab/>
      </w:r>
    </w:p>
    <w:p w14:paraId="3A412D25" w14:textId="77777777" w:rsidR="00E06AE0" w:rsidRPr="00E06AE0" w:rsidRDefault="00E06AE0" w:rsidP="00E06AE0">
      <w:pPr>
        <w:jc w:val="both"/>
        <w:rPr>
          <w:rFonts w:cstheme="minorHAnsi"/>
        </w:rPr>
      </w:pPr>
    </w:p>
    <w:p w14:paraId="716DBCEE" w14:textId="21EDF0BE" w:rsidR="00E06AE0" w:rsidRPr="00E06AE0" w:rsidRDefault="00996EBC" w:rsidP="00F456D7">
      <w:pPr>
        <w:jc w:val="both"/>
        <w:rPr>
          <w:rFonts w:cstheme="minorHAnsi"/>
        </w:rPr>
      </w:pPr>
      <w:r>
        <w:rPr>
          <w:rFonts w:cstheme="minorHAnsi"/>
        </w:rPr>
        <w:t>19.12.2024</w:t>
      </w:r>
    </w:p>
    <w:p w14:paraId="19F5E429" w14:textId="77777777" w:rsidR="00E06AE0" w:rsidRPr="00E06AE0" w:rsidRDefault="00E06AE0" w:rsidP="001D40F8">
      <w:pPr>
        <w:jc w:val="both"/>
        <w:rPr>
          <w:rFonts w:cstheme="minorHAnsi"/>
        </w:rPr>
      </w:pPr>
      <w:r w:rsidRPr="00E06AE0">
        <w:rPr>
          <w:rFonts w:cstheme="minorHAnsi"/>
        </w:rPr>
        <w:t>………………………………………..</w:t>
      </w:r>
      <w:r w:rsidRPr="00E06AE0">
        <w:rPr>
          <w:rFonts w:cstheme="minorHAnsi"/>
        </w:rPr>
        <w:tab/>
      </w:r>
      <w:r w:rsidRPr="00E06AE0">
        <w:rPr>
          <w:rFonts w:cstheme="minorHAnsi"/>
        </w:rPr>
        <w:tab/>
        <w:t xml:space="preserve">          </w:t>
      </w:r>
      <w:r w:rsidRPr="00E06AE0">
        <w:rPr>
          <w:rFonts w:cstheme="minorHAnsi"/>
        </w:rPr>
        <w:tab/>
      </w:r>
      <w:r w:rsidRPr="00E06AE0">
        <w:rPr>
          <w:rFonts w:cstheme="minorHAnsi"/>
        </w:rPr>
        <w:tab/>
      </w:r>
    </w:p>
    <w:p w14:paraId="093EA960" w14:textId="10A6F986" w:rsidR="00E06AE0" w:rsidRPr="00E06AE0" w:rsidRDefault="00A65884" w:rsidP="001D40F8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43F48F5B" w14:textId="416FD766" w:rsidR="00E06AE0" w:rsidRPr="00E06AE0" w:rsidRDefault="00591BC3" w:rsidP="001D40F8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jednající na základě plné moci ze dne 11. 10. 2024</w:t>
      </w:r>
    </w:p>
    <w:p w14:paraId="126010E4" w14:textId="4AAB97C3" w:rsidR="00E06AE0" w:rsidRDefault="00E06AE0" w:rsidP="001D40F8">
      <w:pPr>
        <w:spacing w:line="240" w:lineRule="auto"/>
        <w:contextualSpacing/>
        <w:jc w:val="both"/>
        <w:rPr>
          <w:rFonts w:cstheme="minorHAnsi"/>
        </w:rPr>
      </w:pPr>
      <w:r w:rsidRPr="001D40F8">
        <w:rPr>
          <w:rFonts w:cstheme="minorHAnsi"/>
        </w:rPr>
        <w:t>HOTELIS s.r.o.</w:t>
      </w:r>
    </w:p>
    <w:p w14:paraId="33E9F925" w14:textId="3207CA19" w:rsidR="00F456D7" w:rsidRDefault="00F456D7">
      <w:pPr>
        <w:rPr>
          <w:rFonts w:cstheme="minorHAnsi"/>
        </w:rPr>
      </w:pPr>
      <w:r>
        <w:rPr>
          <w:rFonts w:cstheme="minorHAnsi"/>
        </w:rPr>
        <w:br w:type="page"/>
      </w:r>
    </w:p>
    <w:p w14:paraId="6FE0E9C3" w14:textId="70D1D30F" w:rsidR="00F456D7" w:rsidRDefault="00F456D7" w:rsidP="001D40F8">
      <w:pPr>
        <w:jc w:val="center"/>
        <w:rPr>
          <w:rFonts w:cstheme="minorHAnsi"/>
          <w:b/>
        </w:rPr>
      </w:pPr>
      <w:r w:rsidRPr="001D40F8">
        <w:rPr>
          <w:rFonts w:cstheme="minorHAnsi"/>
          <w:b/>
        </w:rPr>
        <w:lastRenderedPageBreak/>
        <w:t>Příloha č. 1</w:t>
      </w:r>
    </w:p>
    <w:p w14:paraId="52A22A86" w14:textId="77777777" w:rsidR="00740BBE" w:rsidRDefault="00740BBE" w:rsidP="00740BBE">
      <w:pPr>
        <w:rPr>
          <w:rFonts w:cstheme="minorHAnsi"/>
          <w:b/>
        </w:rPr>
        <w:sectPr w:rsidR="00740BB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FCE452" w14:textId="39D2D642" w:rsidR="00740BBE" w:rsidRDefault="00740BBE" w:rsidP="00740BBE">
      <w:pPr>
        <w:rPr>
          <w:rFonts w:cstheme="minorHAnsi"/>
          <w:b/>
        </w:rPr>
      </w:pPr>
      <w:r w:rsidRPr="00740BBE">
        <w:rPr>
          <w:rFonts w:cstheme="minorHAnsi"/>
          <w:b/>
        </w:rPr>
        <w:t>Rok 2022</w:t>
      </w:r>
    </w:p>
    <w:p w14:paraId="4C55000E" w14:textId="32D9ECFA" w:rsidR="00921B63" w:rsidRPr="00921B63" w:rsidRDefault="00921B63" w:rsidP="00740BBE">
      <w:pPr>
        <w:rPr>
          <w:rFonts w:cstheme="minorHAnsi"/>
        </w:rPr>
      </w:pPr>
      <w:r w:rsidRPr="00921B63">
        <w:rPr>
          <w:rFonts w:cstheme="minorHAnsi"/>
        </w:rPr>
        <w:t>xxx</w:t>
      </w:r>
    </w:p>
    <w:p w14:paraId="71E5F066" w14:textId="77777777" w:rsidR="00921B63" w:rsidRDefault="00921B63" w:rsidP="00740BBE">
      <w:pPr>
        <w:rPr>
          <w:rFonts w:cstheme="minorHAnsi"/>
          <w:b/>
        </w:rPr>
      </w:pPr>
    </w:p>
    <w:p w14:paraId="326FACC2" w14:textId="77777777" w:rsidR="00921B63" w:rsidRDefault="00921B63" w:rsidP="00740BBE">
      <w:pPr>
        <w:rPr>
          <w:rFonts w:cstheme="minorHAnsi"/>
          <w:b/>
        </w:rPr>
      </w:pPr>
    </w:p>
    <w:p w14:paraId="4D8044CB" w14:textId="0790508C" w:rsidR="00740BBE" w:rsidRDefault="00740BB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66EC467" w14:textId="77777777" w:rsidR="00740BBE" w:rsidRDefault="00740BBE" w:rsidP="00740BBE">
      <w:pPr>
        <w:rPr>
          <w:rFonts w:cstheme="minorHAnsi"/>
          <w:b/>
        </w:rPr>
        <w:sectPr w:rsidR="00740BBE" w:rsidSect="004934B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0F3C924" w14:textId="3246498C" w:rsidR="00740BBE" w:rsidRPr="00740BBE" w:rsidRDefault="00740BBE" w:rsidP="00740BBE">
      <w:pPr>
        <w:rPr>
          <w:rFonts w:cstheme="minorHAnsi"/>
          <w:b/>
        </w:rPr>
      </w:pPr>
    </w:p>
    <w:p w14:paraId="6808D4CD" w14:textId="7F061E80" w:rsidR="00740BBE" w:rsidRDefault="00740BBE" w:rsidP="004934B8">
      <w:pPr>
        <w:jc w:val="center"/>
        <w:rPr>
          <w:rFonts w:cstheme="minorHAnsi"/>
          <w:b/>
        </w:rPr>
      </w:pPr>
      <w:r>
        <w:rPr>
          <w:rFonts w:cstheme="minorHAnsi"/>
          <w:b/>
        </w:rPr>
        <w:t>Příloha č. 2</w:t>
      </w:r>
    </w:p>
    <w:p w14:paraId="18AA36CE" w14:textId="5B4258F2" w:rsidR="00740BBE" w:rsidRDefault="00740BBE" w:rsidP="00740BBE">
      <w:pPr>
        <w:rPr>
          <w:rFonts w:cstheme="minorHAnsi"/>
          <w:b/>
        </w:rPr>
      </w:pPr>
      <w:r>
        <w:rPr>
          <w:rFonts w:cstheme="minorHAnsi"/>
          <w:b/>
        </w:rPr>
        <w:t>Rok 2024 (1.1. – 30.4.)</w:t>
      </w:r>
    </w:p>
    <w:p w14:paraId="1B5B1010" w14:textId="412DB68E" w:rsidR="00921B63" w:rsidRPr="00921B63" w:rsidRDefault="00921B63" w:rsidP="00740BBE">
      <w:pPr>
        <w:rPr>
          <w:rFonts w:cstheme="minorHAnsi"/>
        </w:rPr>
      </w:pPr>
      <w:r w:rsidRPr="00921B63">
        <w:rPr>
          <w:rFonts w:cstheme="minorHAnsi"/>
        </w:rPr>
        <w:t>xxx</w:t>
      </w:r>
    </w:p>
    <w:p w14:paraId="26AC15EC" w14:textId="77777777" w:rsidR="00740BBE" w:rsidRDefault="00740BBE">
      <w:pPr>
        <w:rPr>
          <w:rFonts w:cstheme="minorHAnsi"/>
        </w:rPr>
      </w:pPr>
      <w:r>
        <w:rPr>
          <w:rFonts w:cstheme="minorHAnsi"/>
        </w:rPr>
        <w:br w:type="page"/>
      </w:r>
    </w:p>
    <w:p w14:paraId="3BE79F52" w14:textId="6FA6A962" w:rsidR="00740BBE" w:rsidRDefault="00740BBE" w:rsidP="00740BBE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Příloha č. 3</w:t>
      </w:r>
    </w:p>
    <w:p w14:paraId="3FD7D82B" w14:textId="05D5A472" w:rsidR="00740BBE" w:rsidRDefault="00740BBE" w:rsidP="00740BBE">
      <w:pPr>
        <w:rPr>
          <w:rFonts w:cstheme="minorHAnsi"/>
          <w:b/>
        </w:rPr>
      </w:pPr>
      <w:r>
        <w:rPr>
          <w:rFonts w:cstheme="minorHAnsi"/>
          <w:b/>
        </w:rPr>
        <w:t>Rok 2024 (1.5. – 25.8.)</w:t>
      </w:r>
    </w:p>
    <w:p w14:paraId="003DF5C8" w14:textId="1E7E8DC2" w:rsidR="00740BBE" w:rsidRDefault="00921B63" w:rsidP="00740BBE">
      <w:pPr>
        <w:rPr>
          <w:rFonts w:cstheme="minorHAnsi"/>
        </w:rPr>
      </w:pPr>
      <w:r>
        <w:rPr>
          <w:rFonts w:cstheme="minorHAnsi"/>
        </w:rPr>
        <w:t>xxx</w:t>
      </w:r>
    </w:p>
    <w:p w14:paraId="24A5F573" w14:textId="77777777" w:rsidR="00740BBE" w:rsidRDefault="00740BBE">
      <w:pPr>
        <w:rPr>
          <w:rFonts w:cstheme="minorHAnsi"/>
        </w:rPr>
      </w:pPr>
      <w:r>
        <w:rPr>
          <w:rFonts w:cstheme="minorHAnsi"/>
        </w:rPr>
        <w:br w:type="page"/>
      </w:r>
    </w:p>
    <w:p w14:paraId="0DC614AC" w14:textId="0BD28C22" w:rsidR="00740BBE" w:rsidRDefault="00740BBE" w:rsidP="00740BBE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Příloha č. 4</w:t>
      </w:r>
    </w:p>
    <w:p w14:paraId="0313C070" w14:textId="579AF05C" w:rsidR="00740BBE" w:rsidRDefault="00740BBE" w:rsidP="00740BBE">
      <w:pPr>
        <w:rPr>
          <w:rFonts w:cstheme="minorHAnsi"/>
          <w:b/>
        </w:rPr>
      </w:pPr>
      <w:r>
        <w:rPr>
          <w:rFonts w:cstheme="minorHAnsi"/>
          <w:b/>
        </w:rPr>
        <w:t>Rok 2024 (26.8. – 30.9.)</w:t>
      </w:r>
    </w:p>
    <w:p w14:paraId="6316AC99" w14:textId="38E0B669" w:rsidR="00740BBE" w:rsidRPr="004934B8" w:rsidRDefault="00921B63" w:rsidP="00740BBE">
      <w:r>
        <w:t>xxx</w:t>
      </w:r>
    </w:p>
    <w:sectPr w:rsidR="00740BBE" w:rsidRPr="004934B8" w:rsidSect="00740B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26194" w14:textId="77777777" w:rsidR="00BD3F39" w:rsidRDefault="00BD3F39" w:rsidP="00914A6B">
      <w:pPr>
        <w:spacing w:after="0" w:line="240" w:lineRule="auto"/>
      </w:pPr>
      <w:r>
        <w:separator/>
      </w:r>
    </w:p>
  </w:endnote>
  <w:endnote w:type="continuationSeparator" w:id="0">
    <w:p w14:paraId="5498E125" w14:textId="77777777" w:rsidR="00BD3F39" w:rsidRDefault="00BD3F39" w:rsidP="00914A6B">
      <w:pPr>
        <w:spacing w:after="0" w:line="240" w:lineRule="auto"/>
      </w:pPr>
      <w:r>
        <w:continuationSeparator/>
      </w:r>
    </w:p>
  </w:endnote>
  <w:endnote w:type="continuationNotice" w:id="1">
    <w:p w14:paraId="54AAB8AC" w14:textId="77777777" w:rsidR="00BD3F39" w:rsidRDefault="00BD3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953868"/>
      <w:docPartObj>
        <w:docPartGallery w:val="Page Numbers (Bottom of Page)"/>
        <w:docPartUnique/>
      </w:docPartObj>
    </w:sdtPr>
    <w:sdtEndPr/>
    <w:sdtContent>
      <w:p w14:paraId="00FF5A8A" w14:textId="2E18E312" w:rsidR="000A0A6B" w:rsidRDefault="000A0A6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B63">
          <w:rPr>
            <w:noProof/>
          </w:rPr>
          <w:t>4</w:t>
        </w:r>
        <w:r>
          <w:fldChar w:fldCharType="end"/>
        </w:r>
      </w:p>
    </w:sdtContent>
  </w:sdt>
  <w:p w14:paraId="5C317B05" w14:textId="77777777" w:rsidR="000A0A6B" w:rsidRDefault="000A0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F796" w14:textId="77777777" w:rsidR="00BD3F39" w:rsidRDefault="00BD3F39" w:rsidP="00914A6B">
      <w:pPr>
        <w:spacing w:after="0" w:line="240" w:lineRule="auto"/>
      </w:pPr>
      <w:r>
        <w:separator/>
      </w:r>
    </w:p>
  </w:footnote>
  <w:footnote w:type="continuationSeparator" w:id="0">
    <w:p w14:paraId="2B16F1FA" w14:textId="77777777" w:rsidR="00BD3F39" w:rsidRDefault="00BD3F39" w:rsidP="00914A6B">
      <w:pPr>
        <w:spacing w:after="0" w:line="240" w:lineRule="auto"/>
      </w:pPr>
      <w:r>
        <w:continuationSeparator/>
      </w:r>
    </w:p>
  </w:footnote>
  <w:footnote w:type="continuationNotice" w:id="1">
    <w:p w14:paraId="061E2683" w14:textId="77777777" w:rsidR="00BD3F39" w:rsidRDefault="00BD3F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C84"/>
    <w:multiLevelType w:val="multilevel"/>
    <w:tmpl w:val="08983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D71C8"/>
    <w:multiLevelType w:val="hybridMultilevel"/>
    <w:tmpl w:val="66E4912C"/>
    <w:lvl w:ilvl="0" w:tplc="A4CCBB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4BDE"/>
    <w:multiLevelType w:val="multilevel"/>
    <w:tmpl w:val="72103D9E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8" w:hanging="744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6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3" w15:restartNumberingAfterBreak="0">
    <w:nsid w:val="242F4A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B47F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CD2A7C"/>
    <w:multiLevelType w:val="hybridMultilevel"/>
    <w:tmpl w:val="1074A6C6"/>
    <w:lvl w:ilvl="0" w:tplc="9E14D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5ADF"/>
    <w:multiLevelType w:val="hybridMultilevel"/>
    <w:tmpl w:val="1074A6C6"/>
    <w:lvl w:ilvl="0" w:tplc="9E14D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A342C"/>
    <w:multiLevelType w:val="hybridMultilevel"/>
    <w:tmpl w:val="357C5394"/>
    <w:lvl w:ilvl="0" w:tplc="B54C9E76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ADB"/>
    <w:multiLevelType w:val="hybridMultilevel"/>
    <w:tmpl w:val="66E4912C"/>
    <w:lvl w:ilvl="0" w:tplc="A4CCBB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025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B520D2"/>
    <w:multiLevelType w:val="multilevel"/>
    <w:tmpl w:val="EEB054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AE160D"/>
    <w:multiLevelType w:val="hybridMultilevel"/>
    <w:tmpl w:val="08BA2F6E"/>
    <w:lvl w:ilvl="0" w:tplc="F536BE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70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735E4B"/>
    <w:multiLevelType w:val="hybridMultilevel"/>
    <w:tmpl w:val="6E587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14A49"/>
    <w:multiLevelType w:val="hybridMultilevel"/>
    <w:tmpl w:val="3A8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13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541C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15"/>
  </w:num>
  <w:num w:numId="11">
    <w:abstractNumId w:val="14"/>
  </w:num>
  <w:num w:numId="12">
    <w:abstractNumId w:val="7"/>
  </w:num>
  <w:num w:numId="13">
    <w:abstractNumId w:val="11"/>
  </w:num>
  <w:num w:numId="14">
    <w:abstractNumId w:val="2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C4"/>
    <w:rsid w:val="000434B6"/>
    <w:rsid w:val="00056BC5"/>
    <w:rsid w:val="00072BBF"/>
    <w:rsid w:val="000925C9"/>
    <w:rsid w:val="000966F9"/>
    <w:rsid w:val="000A0A6B"/>
    <w:rsid w:val="000F36F4"/>
    <w:rsid w:val="00103648"/>
    <w:rsid w:val="001201C4"/>
    <w:rsid w:val="001562A8"/>
    <w:rsid w:val="001928FF"/>
    <w:rsid w:val="001944A4"/>
    <w:rsid w:val="001C1368"/>
    <w:rsid w:val="001D40F8"/>
    <w:rsid w:val="00244C6E"/>
    <w:rsid w:val="00252D36"/>
    <w:rsid w:val="00256748"/>
    <w:rsid w:val="002675CC"/>
    <w:rsid w:val="00297B71"/>
    <w:rsid w:val="00297CE4"/>
    <w:rsid w:val="00317386"/>
    <w:rsid w:val="003366E8"/>
    <w:rsid w:val="00347C91"/>
    <w:rsid w:val="00362808"/>
    <w:rsid w:val="0038775B"/>
    <w:rsid w:val="003B0935"/>
    <w:rsid w:val="00403163"/>
    <w:rsid w:val="00414861"/>
    <w:rsid w:val="004252C3"/>
    <w:rsid w:val="00427845"/>
    <w:rsid w:val="004651EA"/>
    <w:rsid w:val="004664F0"/>
    <w:rsid w:val="00466CBB"/>
    <w:rsid w:val="004934B8"/>
    <w:rsid w:val="004961D2"/>
    <w:rsid w:val="004B15F0"/>
    <w:rsid w:val="004B7249"/>
    <w:rsid w:val="004C3396"/>
    <w:rsid w:val="004C53E0"/>
    <w:rsid w:val="00510754"/>
    <w:rsid w:val="00514E97"/>
    <w:rsid w:val="0052529B"/>
    <w:rsid w:val="00542A23"/>
    <w:rsid w:val="005720E5"/>
    <w:rsid w:val="00591BC3"/>
    <w:rsid w:val="005A476E"/>
    <w:rsid w:val="005B4256"/>
    <w:rsid w:val="005D6FEB"/>
    <w:rsid w:val="005E6F10"/>
    <w:rsid w:val="005F0C01"/>
    <w:rsid w:val="0061775A"/>
    <w:rsid w:val="00625B4E"/>
    <w:rsid w:val="00644204"/>
    <w:rsid w:val="00653DE8"/>
    <w:rsid w:val="006800B4"/>
    <w:rsid w:val="006977A1"/>
    <w:rsid w:val="00697B8E"/>
    <w:rsid w:val="006A7EE3"/>
    <w:rsid w:val="006C495A"/>
    <w:rsid w:val="006D64B4"/>
    <w:rsid w:val="006E0CCD"/>
    <w:rsid w:val="00740BBE"/>
    <w:rsid w:val="00787174"/>
    <w:rsid w:val="007C0A9B"/>
    <w:rsid w:val="00825328"/>
    <w:rsid w:val="008373FD"/>
    <w:rsid w:val="00867193"/>
    <w:rsid w:val="0088351A"/>
    <w:rsid w:val="008861E1"/>
    <w:rsid w:val="00887747"/>
    <w:rsid w:val="009024B8"/>
    <w:rsid w:val="009104B8"/>
    <w:rsid w:val="00914A6B"/>
    <w:rsid w:val="00917877"/>
    <w:rsid w:val="00921B63"/>
    <w:rsid w:val="00937FBA"/>
    <w:rsid w:val="00962798"/>
    <w:rsid w:val="00963247"/>
    <w:rsid w:val="009951EF"/>
    <w:rsid w:val="00996EBC"/>
    <w:rsid w:val="009A4230"/>
    <w:rsid w:val="009D24D0"/>
    <w:rsid w:val="009D76DE"/>
    <w:rsid w:val="009E1260"/>
    <w:rsid w:val="009E3778"/>
    <w:rsid w:val="00A0731D"/>
    <w:rsid w:val="00A07888"/>
    <w:rsid w:val="00A16891"/>
    <w:rsid w:val="00A264CA"/>
    <w:rsid w:val="00A42691"/>
    <w:rsid w:val="00A45673"/>
    <w:rsid w:val="00A5361A"/>
    <w:rsid w:val="00A60882"/>
    <w:rsid w:val="00A65884"/>
    <w:rsid w:val="00A66548"/>
    <w:rsid w:val="00A759A3"/>
    <w:rsid w:val="00A7747A"/>
    <w:rsid w:val="00A77A90"/>
    <w:rsid w:val="00B10C5F"/>
    <w:rsid w:val="00B31BB8"/>
    <w:rsid w:val="00B41F79"/>
    <w:rsid w:val="00B62457"/>
    <w:rsid w:val="00B81A9D"/>
    <w:rsid w:val="00B87504"/>
    <w:rsid w:val="00BA5D19"/>
    <w:rsid w:val="00BB60CA"/>
    <w:rsid w:val="00BD2337"/>
    <w:rsid w:val="00BD3F39"/>
    <w:rsid w:val="00C37461"/>
    <w:rsid w:val="00CC1240"/>
    <w:rsid w:val="00CC35AC"/>
    <w:rsid w:val="00CE4075"/>
    <w:rsid w:val="00CF6914"/>
    <w:rsid w:val="00D06290"/>
    <w:rsid w:val="00D10283"/>
    <w:rsid w:val="00D205C1"/>
    <w:rsid w:val="00D57581"/>
    <w:rsid w:val="00D71B2D"/>
    <w:rsid w:val="00D7439E"/>
    <w:rsid w:val="00DA3AD2"/>
    <w:rsid w:val="00DA6731"/>
    <w:rsid w:val="00DC0E9A"/>
    <w:rsid w:val="00DF32C1"/>
    <w:rsid w:val="00E06AE0"/>
    <w:rsid w:val="00E5112D"/>
    <w:rsid w:val="00E925A8"/>
    <w:rsid w:val="00E95229"/>
    <w:rsid w:val="00EB096B"/>
    <w:rsid w:val="00EB15BB"/>
    <w:rsid w:val="00EC38BE"/>
    <w:rsid w:val="00EF0245"/>
    <w:rsid w:val="00F032ED"/>
    <w:rsid w:val="00F1512A"/>
    <w:rsid w:val="00F17587"/>
    <w:rsid w:val="00F25242"/>
    <w:rsid w:val="00F456D7"/>
    <w:rsid w:val="00F9700A"/>
    <w:rsid w:val="00F972F7"/>
    <w:rsid w:val="00FA19BE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91E6"/>
  <w15:chartTrackingRefBased/>
  <w15:docId w15:val="{657B2EE6-38E0-467F-B6F5-89815CD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1201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201C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01C4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1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">
    <w:name w:val="Styl pravidel"/>
    <w:basedOn w:val="Normln"/>
    <w:rsid w:val="001201C4"/>
    <w:pPr>
      <w:widowControl w:val="0"/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2bTunzarovnnnastedPed6b">
    <w:name w:val="Styl 12 b. Tučné zarovnání na střed Před:  6 b."/>
    <w:basedOn w:val="Normln"/>
    <w:rsid w:val="001201C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01C4"/>
    <w:rPr>
      <w:sz w:val="16"/>
      <w:szCs w:val="16"/>
    </w:rPr>
  </w:style>
  <w:style w:type="character" w:customStyle="1" w:styleId="s30">
    <w:name w:val="s30"/>
    <w:basedOn w:val="Standardnpsmoodstavce"/>
    <w:rsid w:val="001201C4"/>
  </w:style>
  <w:style w:type="character" w:customStyle="1" w:styleId="s31">
    <w:name w:val="s31"/>
    <w:basedOn w:val="Standardnpsmoodstavce"/>
    <w:rsid w:val="001201C4"/>
  </w:style>
  <w:style w:type="paragraph" w:styleId="Textbubliny">
    <w:name w:val="Balloon Text"/>
    <w:basedOn w:val="Normln"/>
    <w:link w:val="TextbublinyChar"/>
    <w:uiPriority w:val="99"/>
    <w:semiHidden/>
    <w:unhideWhenUsed/>
    <w:rsid w:val="0012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1C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3F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3F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A6B"/>
  </w:style>
  <w:style w:type="paragraph" w:styleId="Zpat">
    <w:name w:val="footer"/>
    <w:basedOn w:val="Normln"/>
    <w:link w:val="ZpatChar"/>
    <w:uiPriority w:val="99"/>
    <w:unhideWhenUsed/>
    <w:rsid w:val="0091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A6B"/>
  </w:style>
  <w:style w:type="paragraph" w:styleId="Odstavecseseznamem">
    <w:name w:val="List Paragraph"/>
    <w:basedOn w:val="Normln"/>
    <w:uiPriority w:val="34"/>
    <w:qFormat/>
    <w:rsid w:val="00EB15BB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414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2023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Krömer Jan</dc:creator>
  <cp:keywords/>
  <dc:description/>
  <cp:lastModifiedBy>Krömer Jan</cp:lastModifiedBy>
  <cp:revision>2</cp:revision>
  <cp:lastPrinted>2024-12-18T07:21:00Z</cp:lastPrinted>
  <dcterms:created xsi:type="dcterms:W3CDTF">2024-12-20T06:00:00Z</dcterms:created>
  <dcterms:modified xsi:type="dcterms:W3CDTF">2024-12-20T06:00:00Z</dcterms:modified>
</cp:coreProperties>
</file>