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ACE73" w14:textId="57A311E8" w:rsidR="004A2F8F" w:rsidRPr="004A2F8F" w:rsidRDefault="00344D17" w:rsidP="004A2F8F">
      <w:pPr>
        <w:rPr>
          <w:rFonts w:asciiTheme="majorHAnsi" w:hAnsiTheme="majorHAnsi" w:cstheme="majorHAnsi"/>
          <w:sz w:val="22"/>
          <w:szCs w:val="22"/>
        </w:rPr>
      </w:pPr>
      <w:r>
        <w:rPr>
          <w:rFonts w:ascii="Calibri" w:hAnsi="Calibri" w:cs="Calibri"/>
          <w:noProof/>
          <w:sz w:val="3"/>
          <w:szCs w:val="3"/>
        </w:rPr>
        <mc:AlternateContent>
          <mc:Choice Requires="wps">
            <w:drawing>
              <wp:anchor distT="0" distB="0" distL="114300" distR="114300" simplePos="0" relativeHeight="251659264" behindDoc="1" locked="0" layoutInCell="1" allowOverlap="1" wp14:anchorId="25F2CBCC" wp14:editId="0F5163A9">
                <wp:simplePos x="0" y="0"/>
                <wp:positionH relativeFrom="column">
                  <wp:posOffset>4257675</wp:posOffset>
                </wp:positionH>
                <wp:positionV relativeFrom="paragraph">
                  <wp:posOffset>-1034415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B4254" w14:textId="77777777" w:rsidR="00344D17" w:rsidRDefault="00344D17" w:rsidP="00344D17">
                            <w:r>
                              <w:rPr>
                                <w:noProof/>
                              </w:rPr>
                              <w:drawing>
                                <wp:inline distT="0" distB="0" distL="0" distR="0" wp14:anchorId="74ACEF97" wp14:editId="2970636D">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7">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26CC91EB" w14:textId="77777777" w:rsidR="00344D17" w:rsidRDefault="00344D17" w:rsidP="00344D17">
                            <w:pPr>
                              <w:spacing w:after="120"/>
                              <w:jc w:val="center"/>
                              <w:rPr>
                                <w:rFonts w:ascii="Calibri" w:hAnsi="Calibri" w:cs="Calibri"/>
                                <w:sz w:val="21"/>
                                <w:szCs w:val="21"/>
                              </w:rPr>
                            </w:pPr>
                            <w:r w:rsidRPr="00DE078D">
                              <w:rPr>
                                <w:rFonts w:ascii="Calibri" w:hAnsi="Calibri" w:cs="Calibri"/>
                                <w:sz w:val="21"/>
                                <w:szCs w:val="21"/>
                              </w:rPr>
                              <w:t>NPU1002460784</w:t>
                            </w:r>
                          </w:p>
                          <w:p w14:paraId="1106B286" w14:textId="77777777" w:rsidR="00344D17" w:rsidRPr="00A92ACE" w:rsidRDefault="00344D17" w:rsidP="00344D17">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rPr>
                              <w:t>NPU-420/114566/2024</w:t>
                            </w:r>
                          </w:p>
                          <w:p w14:paraId="48FB8377" w14:textId="572F5774" w:rsidR="00344D17" w:rsidRDefault="00344D17" w:rsidP="00344D17">
                            <w:r>
                              <w:rPr>
                                <w:rFonts w:ascii="Calibri" w:hAnsi="Calibri" w:cs="Calibri"/>
                                <w:sz w:val="21"/>
                                <w:szCs w:val="21"/>
                              </w:rPr>
                              <w:t xml:space="preserve">WAM: </w:t>
                            </w:r>
                            <w:r w:rsidRPr="00344D17">
                              <w:rPr>
                                <w:rFonts w:ascii="Calibri" w:hAnsi="Calibri" w:cs="Calibri"/>
                                <w:sz w:val="21"/>
                                <w:szCs w:val="21"/>
                              </w:rPr>
                              <w:t>2003J124037</w:t>
                            </w:r>
                          </w:p>
                          <w:p w14:paraId="73EF3C53" w14:textId="77777777" w:rsidR="00344D17" w:rsidRDefault="00344D17" w:rsidP="00344D17">
                            <w:pPr>
                              <w:spacing w:after="120"/>
                              <w:jc w:val="center"/>
                              <w:rPr>
                                <w:rFonts w:ascii="Calibri" w:hAnsi="Calibri" w:cs="Calibri"/>
                                <w:sz w:val="21"/>
                                <w:szCs w:val="21"/>
                              </w:rPr>
                            </w:pPr>
                          </w:p>
                          <w:p w14:paraId="3BEA4306" w14:textId="77777777" w:rsidR="00344D17" w:rsidRDefault="00344D17" w:rsidP="00344D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2CBCC" id="_x0000_t202" coordsize="21600,21600" o:spt="202" path="m,l,21600r21600,l21600,xe">
                <v:stroke joinstyle="miter"/>
                <v:path gradientshapeok="t" o:connecttype="rect"/>
              </v:shapetype>
              <v:shape id="Textové pole 11" o:spid="_x0000_s1026" type="#_x0000_t202" style="position:absolute;margin-left:335.25pt;margin-top:-81.45pt;width:163.1pt;height:13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cG9w23wAAAAsBAAAPAAAAZHJzL2Rvd25yZXYueG1sTI/BTsMwDIbv&#10;SLxDZCQuaEs30YSWphMggbhu7AHc1msrmqRqsrV7e8wJbrb86ff3F7vFDuJCU+i9M7BZJyDI1b7p&#10;XWvg+PW+egIRIroGB+/IwJUC7MrbmwLzxs9uT5dDbAWHuJCjgS7GMZcy1B1ZDGs/kuPbyU8WI69T&#10;K5sJZw63g9wmiZIWe8cfOhzpraP6+3C2Bk6f80OazdVHPOr9o3rFXlf+asz93fLyDCLSEv9g+NVn&#10;dSjZqfJn1wQxGFA6SRk1sNqobQaCkSxTGkTFg05BloX836H8AQAA//8DAFBLAQItABQABgAIAAAA&#10;IQC2gziS/gAAAOEBAAATAAAAAAAAAAAAAAAAAAAAAABbQ29udGVudF9UeXBlc10ueG1sUEsBAi0A&#10;FAAGAAgAAAAhADj9If/WAAAAlAEAAAsAAAAAAAAAAAAAAAAALwEAAF9yZWxzLy5yZWxzUEsBAi0A&#10;FAAGAAgAAAAhANgEis+PAgAAFwUAAA4AAAAAAAAAAAAAAAAALgIAAGRycy9lMm9Eb2MueG1sUEsB&#10;Ai0AFAAGAAgAAAAhANwb3DbfAAAACwEAAA8AAAAAAAAAAAAAAAAA6QQAAGRycy9kb3ducmV2Lnht&#10;bFBLBQYAAAAABAAEAPMAAAD1BQAAAAA=&#10;" stroked="f">
                <v:textbox>
                  <w:txbxContent>
                    <w:p w14:paraId="6E1B4254" w14:textId="77777777" w:rsidR="00344D17" w:rsidRDefault="00344D17" w:rsidP="00344D17">
                      <w:r>
                        <w:rPr>
                          <w:noProof/>
                        </w:rPr>
                        <w:drawing>
                          <wp:inline distT="0" distB="0" distL="0" distR="0" wp14:anchorId="74ACEF97" wp14:editId="2970636D">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26CC91EB" w14:textId="77777777" w:rsidR="00344D17" w:rsidRDefault="00344D17" w:rsidP="00344D17">
                      <w:pPr>
                        <w:spacing w:after="120"/>
                        <w:jc w:val="center"/>
                        <w:rPr>
                          <w:rFonts w:ascii="Calibri" w:hAnsi="Calibri" w:cs="Calibri"/>
                          <w:sz w:val="21"/>
                          <w:szCs w:val="21"/>
                        </w:rPr>
                      </w:pPr>
                      <w:r w:rsidRPr="00DE078D">
                        <w:rPr>
                          <w:rFonts w:ascii="Calibri" w:hAnsi="Calibri" w:cs="Calibri"/>
                          <w:sz w:val="21"/>
                          <w:szCs w:val="21"/>
                        </w:rPr>
                        <w:t>NPU1002460784</w:t>
                      </w:r>
                    </w:p>
                    <w:p w14:paraId="1106B286" w14:textId="77777777" w:rsidR="00344D17" w:rsidRPr="00A92ACE" w:rsidRDefault="00344D17" w:rsidP="00344D17">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rPr>
                        <w:t>NPU-420/114566/2024</w:t>
                      </w:r>
                    </w:p>
                    <w:p w14:paraId="48FB8377" w14:textId="572F5774" w:rsidR="00344D17" w:rsidRDefault="00344D17" w:rsidP="00344D17">
                      <w:r>
                        <w:rPr>
                          <w:rFonts w:ascii="Calibri" w:hAnsi="Calibri" w:cs="Calibri"/>
                          <w:sz w:val="21"/>
                          <w:szCs w:val="21"/>
                        </w:rPr>
                        <w:t>WAM:</w:t>
                      </w:r>
                      <w:r>
                        <w:rPr>
                          <w:rFonts w:ascii="Calibri" w:hAnsi="Calibri" w:cs="Calibri"/>
                          <w:sz w:val="21"/>
                          <w:szCs w:val="21"/>
                        </w:rPr>
                        <w:t xml:space="preserve"> </w:t>
                      </w:r>
                      <w:r w:rsidRPr="00344D17">
                        <w:rPr>
                          <w:rFonts w:ascii="Calibri" w:hAnsi="Calibri" w:cs="Calibri"/>
                          <w:sz w:val="21"/>
                          <w:szCs w:val="21"/>
                        </w:rPr>
                        <w:t>2003J124037</w:t>
                      </w:r>
                    </w:p>
                    <w:p w14:paraId="73EF3C53" w14:textId="77777777" w:rsidR="00344D17" w:rsidRDefault="00344D17" w:rsidP="00344D17">
                      <w:pPr>
                        <w:spacing w:after="120"/>
                        <w:jc w:val="center"/>
                        <w:rPr>
                          <w:rFonts w:ascii="Calibri" w:hAnsi="Calibri" w:cs="Calibri"/>
                          <w:sz w:val="21"/>
                          <w:szCs w:val="21"/>
                        </w:rPr>
                      </w:pPr>
                    </w:p>
                    <w:p w14:paraId="3BEA4306" w14:textId="77777777" w:rsidR="00344D17" w:rsidRDefault="00344D17" w:rsidP="00344D17">
                      <w:pPr>
                        <w:jc w:val="center"/>
                      </w:pPr>
                    </w:p>
                  </w:txbxContent>
                </v:textbox>
              </v:shape>
            </w:pict>
          </mc:Fallback>
        </mc:AlternateContent>
      </w:r>
      <w:r w:rsidR="004A2F8F" w:rsidRPr="004A2F8F">
        <w:rPr>
          <w:rFonts w:asciiTheme="majorHAnsi" w:hAnsiTheme="majorHAnsi" w:cstheme="majorHAnsi"/>
          <w:b/>
          <w:sz w:val="22"/>
          <w:szCs w:val="22"/>
        </w:rPr>
        <w:t>Národní památkový ústav,</w:t>
      </w:r>
      <w:r w:rsidR="004A2F8F" w:rsidRPr="004A2F8F">
        <w:rPr>
          <w:rFonts w:asciiTheme="majorHAnsi" w:hAnsiTheme="majorHAnsi" w:cstheme="majorHAnsi"/>
          <w:sz w:val="22"/>
          <w:szCs w:val="22"/>
        </w:rPr>
        <w:t xml:space="preserve"> státní příspěvková organizace</w:t>
      </w:r>
    </w:p>
    <w:p w14:paraId="1DAED909" w14:textId="77777777" w:rsidR="004A2F8F" w:rsidRPr="004A2F8F" w:rsidRDefault="004A2F8F" w:rsidP="004A2F8F">
      <w:pPr>
        <w:rPr>
          <w:rFonts w:asciiTheme="majorHAnsi" w:hAnsiTheme="majorHAnsi" w:cstheme="majorHAnsi"/>
          <w:sz w:val="22"/>
          <w:szCs w:val="22"/>
        </w:rPr>
      </w:pPr>
      <w:r w:rsidRPr="004A2F8F">
        <w:rPr>
          <w:rFonts w:asciiTheme="majorHAnsi" w:hAnsiTheme="majorHAnsi" w:cstheme="majorHAnsi"/>
          <w:sz w:val="22"/>
          <w:szCs w:val="22"/>
        </w:rPr>
        <w:t>IČO: 75032333, DIČ: CZ75032333,</w:t>
      </w:r>
    </w:p>
    <w:p w14:paraId="57C8FE24" w14:textId="77777777" w:rsidR="004A2F8F" w:rsidRPr="004A2F8F" w:rsidRDefault="004A2F8F" w:rsidP="004A2F8F">
      <w:pPr>
        <w:rPr>
          <w:rFonts w:asciiTheme="majorHAnsi" w:hAnsiTheme="majorHAnsi" w:cstheme="majorHAnsi"/>
          <w:sz w:val="22"/>
          <w:szCs w:val="22"/>
        </w:rPr>
      </w:pPr>
      <w:r w:rsidRPr="004A2F8F">
        <w:rPr>
          <w:rFonts w:asciiTheme="majorHAnsi" w:hAnsiTheme="majorHAnsi" w:cstheme="majorHAnsi"/>
          <w:sz w:val="22"/>
          <w:szCs w:val="22"/>
        </w:rPr>
        <w:t>se sídlem: Valdštejnské nám. 162/3, PSČ 118 01 Praha 1 – Malá Strana,</w:t>
      </w:r>
    </w:p>
    <w:p w14:paraId="20204A9D" w14:textId="77777777" w:rsidR="00344D17" w:rsidRPr="0030529B" w:rsidRDefault="00344D17" w:rsidP="00344D17">
      <w:pPr>
        <w:rPr>
          <w:rFonts w:ascii="Calibri" w:hAnsi="Calibri" w:cs="Calibri"/>
          <w:sz w:val="22"/>
          <w:szCs w:val="22"/>
        </w:rPr>
      </w:pPr>
      <w:r w:rsidRPr="0030529B">
        <w:rPr>
          <w:rFonts w:ascii="Calibri" w:hAnsi="Calibri" w:cs="Calibri"/>
          <w:sz w:val="22"/>
          <w:szCs w:val="22"/>
        </w:rPr>
        <w:t>zastoupen: PhDr. Petrem Hrubým, ředitelem územní památkové správy v Ústí nad Labem,</w:t>
      </w:r>
    </w:p>
    <w:p w14:paraId="11DB2B80" w14:textId="77777777" w:rsidR="00344D17" w:rsidRPr="0030529B" w:rsidRDefault="00344D17" w:rsidP="00344D17">
      <w:pPr>
        <w:rPr>
          <w:rFonts w:ascii="Calibri" w:hAnsi="Calibri" w:cs="Calibri"/>
          <w:sz w:val="22"/>
          <w:szCs w:val="22"/>
        </w:rPr>
      </w:pPr>
      <w:r w:rsidRPr="0030529B">
        <w:rPr>
          <w:rFonts w:ascii="Calibri" w:hAnsi="Calibri" w:cs="Calibri"/>
          <w:sz w:val="22"/>
          <w:szCs w:val="22"/>
        </w:rPr>
        <w:t>kontaktní osoba: Ing. Lukáš Kunst, vedoucí správy hradu Karlštejn,</w:t>
      </w:r>
    </w:p>
    <w:p w14:paraId="20208566" w14:textId="30C02C69" w:rsidR="00344D17" w:rsidRPr="005625E5" w:rsidRDefault="00344D17" w:rsidP="00344D17">
      <w:pPr>
        <w:rPr>
          <w:rFonts w:ascii="Calibri" w:hAnsi="Calibri" w:cs="Calibri"/>
          <w:sz w:val="22"/>
          <w:szCs w:val="22"/>
        </w:rPr>
      </w:pPr>
      <w:r w:rsidRPr="0030529B">
        <w:rPr>
          <w:rFonts w:ascii="Calibri" w:hAnsi="Calibri" w:cs="Calibri"/>
          <w:sz w:val="22"/>
          <w:szCs w:val="22"/>
        </w:rPr>
        <w:t xml:space="preserve">bankovní spojení: Česká národní banka, č. </w:t>
      </w:r>
      <w:proofErr w:type="spellStart"/>
      <w:r w:rsidRPr="0030529B">
        <w:rPr>
          <w:rFonts w:ascii="Calibri" w:hAnsi="Calibri" w:cs="Calibri"/>
          <w:sz w:val="22"/>
          <w:szCs w:val="22"/>
        </w:rPr>
        <w:t>ú.</w:t>
      </w:r>
      <w:proofErr w:type="spellEnd"/>
      <w:r w:rsidRPr="0030529B">
        <w:rPr>
          <w:rFonts w:ascii="Calibri" w:hAnsi="Calibri" w:cs="Calibri"/>
          <w:sz w:val="22"/>
          <w:szCs w:val="22"/>
        </w:rPr>
        <w:t xml:space="preserve">: </w:t>
      </w:r>
      <w:r w:rsidR="001055AA">
        <w:rPr>
          <w:rFonts w:ascii="Calibri" w:hAnsi="Calibri" w:cs="Calibri"/>
          <w:sz w:val="22"/>
          <w:szCs w:val="22"/>
        </w:rPr>
        <w:t>xxx</w:t>
      </w:r>
      <w:bookmarkStart w:id="0" w:name="_GoBack"/>
      <w:bookmarkEnd w:id="0"/>
    </w:p>
    <w:p w14:paraId="1AAA60DD" w14:textId="77777777" w:rsidR="00344D17" w:rsidRPr="005625E5" w:rsidRDefault="00344D17" w:rsidP="00344D17">
      <w:pPr>
        <w:rPr>
          <w:rFonts w:ascii="Calibri" w:hAnsi="Calibri" w:cs="Calibri"/>
          <w:sz w:val="22"/>
          <w:szCs w:val="22"/>
        </w:rPr>
      </w:pPr>
    </w:p>
    <w:p w14:paraId="1552CAB7" w14:textId="77777777" w:rsidR="00344D17" w:rsidRPr="005625E5" w:rsidRDefault="00344D17" w:rsidP="00344D17">
      <w:pPr>
        <w:rPr>
          <w:rFonts w:ascii="Calibri" w:hAnsi="Calibri" w:cs="Calibri"/>
          <w:b/>
          <w:i/>
          <w:sz w:val="22"/>
          <w:szCs w:val="22"/>
        </w:rPr>
      </w:pPr>
      <w:r w:rsidRPr="005625E5">
        <w:rPr>
          <w:rFonts w:ascii="Calibri" w:hAnsi="Calibri" w:cs="Calibri"/>
          <w:b/>
          <w:i/>
          <w:sz w:val="22"/>
          <w:szCs w:val="22"/>
        </w:rPr>
        <w:t>Doručovací adresa:</w:t>
      </w:r>
    </w:p>
    <w:p w14:paraId="24378C73" w14:textId="77777777" w:rsidR="00344D17" w:rsidRPr="005625E5" w:rsidRDefault="00344D17" w:rsidP="00344D17">
      <w:pPr>
        <w:rPr>
          <w:rFonts w:ascii="Calibri" w:hAnsi="Calibri" w:cs="Calibri"/>
          <w:sz w:val="22"/>
          <w:szCs w:val="22"/>
        </w:rPr>
      </w:pPr>
      <w:r w:rsidRPr="005625E5">
        <w:rPr>
          <w:rFonts w:ascii="Calibri" w:hAnsi="Calibri" w:cs="Calibri"/>
          <w:sz w:val="22"/>
          <w:szCs w:val="22"/>
        </w:rPr>
        <w:t>Národní památkový ústav</w:t>
      </w:r>
      <w:r>
        <w:rPr>
          <w:rFonts w:ascii="Calibri" w:hAnsi="Calibri" w:cs="Calibri"/>
          <w:sz w:val="22"/>
          <w:szCs w:val="22"/>
        </w:rPr>
        <w:t>, územní památková správa v Ústí nad Labem</w:t>
      </w:r>
    </w:p>
    <w:p w14:paraId="0213D393" w14:textId="77777777" w:rsidR="00344D17" w:rsidRPr="005625E5" w:rsidRDefault="00344D17" w:rsidP="00344D17">
      <w:pPr>
        <w:rPr>
          <w:rFonts w:ascii="Calibri" w:hAnsi="Calibri" w:cs="Calibri"/>
          <w:sz w:val="22"/>
          <w:szCs w:val="22"/>
        </w:rPr>
      </w:pPr>
      <w:r w:rsidRPr="005625E5">
        <w:rPr>
          <w:rFonts w:ascii="Calibri" w:hAnsi="Calibri" w:cs="Calibri"/>
          <w:sz w:val="22"/>
          <w:szCs w:val="22"/>
        </w:rPr>
        <w:t xml:space="preserve">adresa: </w:t>
      </w:r>
      <w:r>
        <w:rPr>
          <w:rFonts w:ascii="Calibri" w:hAnsi="Calibri" w:cs="Calibri"/>
          <w:sz w:val="22"/>
          <w:szCs w:val="22"/>
        </w:rPr>
        <w:t>Podmokelská 1/15, 400 07  Ústí nad Labem</w:t>
      </w:r>
    </w:p>
    <w:p w14:paraId="4DA85FEE" w14:textId="77777777" w:rsidR="00344D17" w:rsidRPr="005625E5" w:rsidRDefault="00344D17" w:rsidP="00344D17">
      <w:pPr>
        <w:rPr>
          <w:rFonts w:ascii="Calibri" w:hAnsi="Calibri" w:cs="Calibri"/>
          <w:sz w:val="22"/>
          <w:szCs w:val="22"/>
        </w:rPr>
      </w:pPr>
      <w:r w:rsidRPr="005625E5">
        <w:rPr>
          <w:rFonts w:ascii="Calibri" w:hAnsi="Calibri" w:cs="Calibri"/>
          <w:sz w:val="22"/>
          <w:szCs w:val="22"/>
        </w:rPr>
        <w:t>(dále jen „</w:t>
      </w:r>
      <w:r w:rsidRPr="005625E5">
        <w:rPr>
          <w:rFonts w:ascii="Calibri" w:hAnsi="Calibri" w:cs="Calibri"/>
          <w:b/>
          <w:sz w:val="22"/>
          <w:szCs w:val="22"/>
        </w:rPr>
        <w:t>pronajímatel</w:t>
      </w:r>
      <w:r w:rsidRPr="005625E5">
        <w:rPr>
          <w:rFonts w:ascii="Calibri" w:hAnsi="Calibri" w:cs="Calibri"/>
          <w:sz w:val="22"/>
          <w:szCs w:val="22"/>
        </w:rPr>
        <w:t>“)</w:t>
      </w:r>
    </w:p>
    <w:p w14:paraId="4F7509C6" w14:textId="77777777" w:rsidR="00344D17" w:rsidRPr="005625E5" w:rsidRDefault="00344D17" w:rsidP="00344D17">
      <w:pPr>
        <w:rPr>
          <w:rFonts w:ascii="Calibri" w:hAnsi="Calibri" w:cs="Calibri"/>
          <w:sz w:val="22"/>
          <w:szCs w:val="22"/>
        </w:rPr>
      </w:pPr>
    </w:p>
    <w:p w14:paraId="5804D961" w14:textId="77777777" w:rsidR="00344D17" w:rsidRPr="005625E5" w:rsidRDefault="00344D17" w:rsidP="00344D17">
      <w:pPr>
        <w:rPr>
          <w:rFonts w:ascii="Calibri" w:hAnsi="Calibri" w:cs="Calibri"/>
          <w:sz w:val="22"/>
          <w:szCs w:val="22"/>
        </w:rPr>
      </w:pPr>
      <w:r w:rsidRPr="005625E5">
        <w:rPr>
          <w:rFonts w:ascii="Calibri" w:hAnsi="Calibri" w:cs="Calibri"/>
          <w:sz w:val="22"/>
          <w:szCs w:val="22"/>
        </w:rPr>
        <w:t>a</w:t>
      </w:r>
    </w:p>
    <w:p w14:paraId="4D144005" w14:textId="77777777" w:rsidR="00344D17" w:rsidRPr="005625E5" w:rsidRDefault="00344D17" w:rsidP="00344D17">
      <w:pPr>
        <w:rPr>
          <w:rFonts w:ascii="Calibri" w:hAnsi="Calibri" w:cs="Calibri"/>
          <w:sz w:val="22"/>
          <w:szCs w:val="22"/>
        </w:rPr>
      </w:pPr>
    </w:p>
    <w:p w14:paraId="1CE8DB3B" w14:textId="77777777" w:rsidR="00344D17" w:rsidRPr="005625E5" w:rsidRDefault="00344D17" w:rsidP="00344D17">
      <w:pPr>
        <w:rPr>
          <w:rFonts w:ascii="Calibri" w:hAnsi="Calibri" w:cs="Calibri"/>
          <w:b/>
          <w:sz w:val="22"/>
          <w:szCs w:val="22"/>
        </w:rPr>
      </w:pPr>
      <w:r w:rsidRPr="005625E5">
        <w:rPr>
          <w:rFonts w:ascii="Calibri" w:hAnsi="Calibri" w:cs="Calibri"/>
          <w:b/>
          <w:sz w:val="22"/>
          <w:szCs w:val="22"/>
        </w:rPr>
        <w:t xml:space="preserve">Ing. Jiří </w:t>
      </w:r>
      <w:proofErr w:type="spellStart"/>
      <w:r w:rsidRPr="005625E5">
        <w:rPr>
          <w:rFonts w:ascii="Calibri" w:hAnsi="Calibri" w:cs="Calibri"/>
          <w:b/>
          <w:sz w:val="22"/>
          <w:szCs w:val="22"/>
        </w:rPr>
        <w:t>Přáda</w:t>
      </w:r>
      <w:proofErr w:type="spellEnd"/>
    </w:p>
    <w:p w14:paraId="2C2F30FD" w14:textId="77777777" w:rsidR="00344D17" w:rsidRPr="005625E5" w:rsidRDefault="00344D17" w:rsidP="00344D17">
      <w:pPr>
        <w:rPr>
          <w:rFonts w:ascii="Calibri" w:hAnsi="Calibri" w:cs="Calibri"/>
          <w:sz w:val="22"/>
          <w:szCs w:val="22"/>
        </w:rPr>
      </w:pPr>
      <w:r w:rsidRPr="005625E5">
        <w:rPr>
          <w:rFonts w:ascii="Calibri" w:hAnsi="Calibri" w:cs="Calibri"/>
          <w:sz w:val="22"/>
          <w:szCs w:val="22"/>
        </w:rPr>
        <w:t>se sídlem: Na Cibulce 748, 266 01 Beroun-Závodí</w:t>
      </w:r>
    </w:p>
    <w:p w14:paraId="2977297C" w14:textId="77777777" w:rsidR="00344D17" w:rsidRPr="005625E5" w:rsidRDefault="00344D17" w:rsidP="00344D17">
      <w:pPr>
        <w:rPr>
          <w:rFonts w:ascii="Calibri" w:hAnsi="Calibri" w:cs="Calibri"/>
          <w:sz w:val="22"/>
          <w:szCs w:val="22"/>
        </w:rPr>
      </w:pPr>
      <w:r w:rsidRPr="005625E5">
        <w:rPr>
          <w:rFonts w:ascii="Calibri" w:hAnsi="Calibri" w:cs="Calibri"/>
          <w:sz w:val="22"/>
          <w:szCs w:val="22"/>
        </w:rPr>
        <w:t>IČO: 44369352, DIČ:CZ7105153616</w:t>
      </w:r>
    </w:p>
    <w:p w14:paraId="5B7F5023" w14:textId="77777777" w:rsidR="00344D17" w:rsidRPr="005625E5" w:rsidRDefault="00344D17" w:rsidP="00344D17">
      <w:pPr>
        <w:rPr>
          <w:rFonts w:ascii="Calibri" w:hAnsi="Calibri" w:cs="Calibri"/>
          <w:sz w:val="22"/>
          <w:szCs w:val="22"/>
        </w:rPr>
      </w:pPr>
      <w:r w:rsidRPr="005625E5">
        <w:rPr>
          <w:rFonts w:ascii="Calibri" w:hAnsi="Calibri" w:cs="Calibri"/>
          <w:sz w:val="22"/>
          <w:szCs w:val="22"/>
        </w:rPr>
        <w:t xml:space="preserve">zastoupený: Ing. Jiřím </w:t>
      </w:r>
      <w:proofErr w:type="spellStart"/>
      <w:r w:rsidRPr="005625E5">
        <w:rPr>
          <w:rFonts w:ascii="Calibri" w:hAnsi="Calibri" w:cs="Calibri"/>
          <w:sz w:val="22"/>
          <w:szCs w:val="22"/>
        </w:rPr>
        <w:t>Přádou</w:t>
      </w:r>
      <w:proofErr w:type="spellEnd"/>
    </w:p>
    <w:p w14:paraId="3E32439A" w14:textId="77777777" w:rsidR="00344D17" w:rsidRPr="005625E5" w:rsidRDefault="00344D17" w:rsidP="00344D17">
      <w:pPr>
        <w:rPr>
          <w:rFonts w:ascii="Calibri" w:hAnsi="Calibri" w:cs="Calibri"/>
          <w:sz w:val="22"/>
          <w:szCs w:val="22"/>
        </w:rPr>
      </w:pPr>
      <w:r w:rsidRPr="005625E5">
        <w:rPr>
          <w:rFonts w:ascii="Calibri" w:hAnsi="Calibri" w:cs="Calibri"/>
          <w:sz w:val="22"/>
          <w:szCs w:val="22"/>
        </w:rPr>
        <w:t>(dále jen „</w:t>
      </w:r>
      <w:r w:rsidRPr="005625E5">
        <w:rPr>
          <w:rFonts w:ascii="Calibri" w:hAnsi="Calibri" w:cs="Calibri"/>
          <w:b/>
          <w:sz w:val="22"/>
          <w:szCs w:val="22"/>
        </w:rPr>
        <w:t>nájemce</w:t>
      </w:r>
      <w:r w:rsidRPr="005625E5">
        <w:rPr>
          <w:rFonts w:ascii="Calibri" w:hAnsi="Calibri" w:cs="Calibri"/>
          <w:sz w:val="22"/>
          <w:szCs w:val="22"/>
        </w:rPr>
        <w:t>“)</w:t>
      </w:r>
    </w:p>
    <w:p w14:paraId="5376B5E5" w14:textId="1B28A6E8" w:rsidR="00B1452C" w:rsidRPr="004A2F8F" w:rsidRDefault="00B1452C">
      <w:pPr>
        <w:pBdr>
          <w:top w:val="nil"/>
          <w:left w:val="nil"/>
          <w:bottom w:val="nil"/>
          <w:right w:val="nil"/>
          <w:between w:val="nil"/>
        </w:pBdr>
        <w:rPr>
          <w:rFonts w:asciiTheme="majorHAnsi" w:eastAsia="Calibri" w:hAnsiTheme="majorHAnsi" w:cstheme="majorHAnsi"/>
          <w:color w:val="000000"/>
          <w:sz w:val="22"/>
          <w:szCs w:val="22"/>
        </w:rPr>
      </w:pPr>
    </w:p>
    <w:p w14:paraId="0C2CF387" w14:textId="77777777" w:rsidR="00B1452C" w:rsidRPr="004A2F8F" w:rsidRDefault="00B1452C">
      <w:pPr>
        <w:pBdr>
          <w:top w:val="nil"/>
          <w:left w:val="nil"/>
          <w:bottom w:val="nil"/>
          <w:right w:val="nil"/>
          <w:between w:val="nil"/>
        </w:pBdr>
        <w:rPr>
          <w:rFonts w:asciiTheme="majorHAnsi" w:eastAsia="Calibri" w:hAnsiTheme="majorHAnsi" w:cstheme="majorHAnsi"/>
          <w:color w:val="000000"/>
          <w:sz w:val="22"/>
          <w:szCs w:val="22"/>
        </w:rPr>
      </w:pPr>
    </w:p>
    <w:p w14:paraId="338733A6"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64D52438" w14:textId="77777777" w:rsidR="00B1452C" w:rsidRDefault="0082023E">
      <w:pPr>
        <w:pBdr>
          <w:top w:val="nil"/>
          <w:left w:val="nil"/>
          <w:bottom w:val="nil"/>
          <w:right w:val="nil"/>
          <w:between w:val="nil"/>
        </w:pBdr>
        <w:jc w:val="center"/>
        <w:rPr>
          <w:rFonts w:ascii="Calibri" w:eastAsia="Calibri" w:hAnsi="Calibri" w:cs="Calibri"/>
          <w:b/>
          <w:color w:val="000000"/>
          <w:sz w:val="22"/>
          <w:szCs w:val="22"/>
        </w:rPr>
      </w:pPr>
      <w:r w:rsidRPr="00F82A21">
        <w:rPr>
          <w:rFonts w:ascii="Calibri" w:eastAsia="Calibri" w:hAnsi="Calibri" w:cs="Calibri"/>
          <w:b/>
          <w:color w:val="000000"/>
          <w:sz w:val="24"/>
          <w:szCs w:val="24"/>
        </w:rPr>
        <w:t>smlouvu o nájmu prostor sloužících k podnikání:</w:t>
      </w:r>
      <w:r>
        <w:rPr>
          <w:rFonts w:ascii="Calibri" w:eastAsia="Calibri" w:hAnsi="Calibri" w:cs="Calibri"/>
          <w:b/>
          <w:color w:val="000000"/>
          <w:sz w:val="22"/>
          <w:szCs w:val="22"/>
        </w:rPr>
        <w:br/>
        <w:t>(dále jen „nájemní smlouva“)</w:t>
      </w:r>
    </w:p>
    <w:p w14:paraId="5E2300EC" w14:textId="77777777" w:rsidR="00691AF2" w:rsidRDefault="00691AF2">
      <w:pPr>
        <w:pBdr>
          <w:top w:val="nil"/>
          <w:left w:val="nil"/>
          <w:bottom w:val="nil"/>
          <w:right w:val="nil"/>
          <w:between w:val="nil"/>
        </w:pBdr>
        <w:jc w:val="center"/>
        <w:rPr>
          <w:rFonts w:ascii="Calibri" w:eastAsia="Calibri" w:hAnsi="Calibri" w:cs="Calibri"/>
          <w:b/>
          <w:color w:val="000000"/>
          <w:sz w:val="22"/>
          <w:szCs w:val="22"/>
        </w:rPr>
      </w:pPr>
    </w:p>
    <w:p w14:paraId="7FCC5A20" w14:textId="77777777" w:rsidR="00B1452C" w:rsidRPr="00362223"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r>
      <w:r w:rsidRPr="00362223">
        <w:rPr>
          <w:rFonts w:ascii="Calibri" w:eastAsia="Calibri" w:hAnsi="Calibri" w:cs="Calibri"/>
          <w:b/>
          <w:color w:val="000000"/>
          <w:sz w:val="22"/>
          <w:szCs w:val="22"/>
        </w:rPr>
        <w:t>Úvodní ustanovení</w:t>
      </w:r>
    </w:p>
    <w:p w14:paraId="5DAA7B0E" w14:textId="77777777" w:rsidR="00B1452C" w:rsidRPr="00362223"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1" w:name="30j0zll" w:colFirst="0" w:colLast="0"/>
      <w:bookmarkEnd w:id="1"/>
      <w:r w:rsidRPr="00362223">
        <w:rPr>
          <w:rFonts w:ascii="Calibri" w:eastAsia="Calibri" w:hAnsi="Calibri" w:cs="Calibri"/>
          <w:color w:val="000000"/>
          <w:sz w:val="22"/>
          <w:szCs w:val="22"/>
        </w:rPr>
        <w:t>Pronajímatel je příslušný hospodařit s nemovitostí ve vlastnictví státu:</w:t>
      </w:r>
    </w:p>
    <w:p w14:paraId="14A349A8" w14:textId="77777777" w:rsidR="004A2F8F" w:rsidRPr="00362223" w:rsidRDefault="004A2F8F" w:rsidP="004A2F8F">
      <w:pPr>
        <w:pStyle w:val="odstavce"/>
        <w:ind w:firstLine="0"/>
        <w:rPr>
          <w:lang w:val="cs-CZ"/>
        </w:rPr>
      </w:pPr>
      <w:r w:rsidRPr="00362223">
        <w:rPr>
          <w:b/>
          <w:lang w:val="cs-CZ"/>
        </w:rPr>
        <w:t>Interiér Studniční věže o výměře 43 m</w:t>
      </w:r>
      <w:r w:rsidRPr="00362223">
        <w:rPr>
          <w:b/>
          <w:vertAlign w:val="superscript"/>
          <w:lang w:val="cs-CZ"/>
        </w:rPr>
        <w:t>2</w:t>
      </w:r>
      <w:r w:rsidRPr="00362223">
        <w:t>, státní hrad Karlštejn, Karlštejn 172, 267 18  Karlštejn, zapsané na listu vlastnictví č. 94 katastrální území Budňany</w:t>
      </w:r>
      <w:r w:rsidRPr="00362223">
        <w:rPr>
          <w:lang w:val="cs-CZ"/>
        </w:rPr>
        <w:t xml:space="preserve"> (dále jen „předmět nájmu“).</w:t>
      </w:r>
    </w:p>
    <w:p w14:paraId="549B4E1D" w14:textId="77777777" w:rsidR="00B1452C" w:rsidRPr="00362223"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362223">
        <w:rPr>
          <w:rFonts w:ascii="Calibri" w:eastAsia="Calibri" w:hAnsi="Calibri" w:cs="Calibri"/>
          <w:color w:val="000000"/>
          <w:sz w:val="22"/>
          <w:szCs w:val="22"/>
        </w:rPr>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14:paraId="65108D2B"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64405497" w14:textId="77777777" w:rsidR="00691AF2" w:rsidRDefault="00691AF2">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15B8F941"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Předmět nájmu</w:t>
      </w:r>
    </w:p>
    <w:p w14:paraId="743EF273" w14:textId="77777777" w:rsidR="00B1452C"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0092A241" w14:textId="77777777" w:rsidR="00B1452C" w:rsidRDefault="00B1452C">
      <w:pPr>
        <w:pBdr>
          <w:top w:val="nil"/>
          <w:left w:val="nil"/>
          <w:bottom w:val="nil"/>
          <w:right w:val="nil"/>
          <w:between w:val="nil"/>
        </w:pBdr>
        <w:ind w:left="426"/>
        <w:jc w:val="both"/>
        <w:rPr>
          <w:rFonts w:ascii="Calibri" w:eastAsia="Calibri" w:hAnsi="Calibri" w:cs="Calibri"/>
          <w:color w:val="000000"/>
          <w:sz w:val="22"/>
          <w:szCs w:val="22"/>
        </w:rPr>
      </w:pPr>
    </w:p>
    <w:p w14:paraId="14674C11"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Účel nájmu</w:t>
      </w:r>
    </w:p>
    <w:p w14:paraId="59DDE159" w14:textId="4B1B4241" w:rsidR="00B1452C" w:rsidRPr="00362223" w:rsidRDefault="0082023E">
      <w:pPr>
        <w:numPr>
          <w:ilvl w:val="1"/>
          <w:numId w:val="14"/>
        </w:numPr>
        <w:pBdr>
          <w:top w:val="nil"/>
          <w:left w:val="nil"/>
          <w:bottom w:val="nil"/>
          <w:right w:val="nil"/>
          <w:between w:val="nil"/>
        </w:pBdr>
        <w:spacing w:after="60"/>
        <w:jc w:val="both"/>
        <w:rPr>
          <w:rFonts w:asciiTheme="majorHAnsi" w:eastAsia="Calibri" w:hAnsiTheme="majorHAnsi" w:cstheme="majorHAnsi"/>
          <w:color w:val="000000"/>
          <w:sz w:val="22"/>
          <w:szCs w:val="22"/>
        </w:rPr>
      </w:pPr>
      <w:r w:rsidRPr="00362223">
        <w:rPr>
          <w:rFonts w:asciiTheme="majorHAnsi" w:eastAsia="Calibri" w:hAnsiTheme="majorHAnsi" w:cstheme="majorHAnsi"/>
          <w:color w:val="000000"/>
          <w:sz w:val="22"/>
          <w:szCs w:val="22"/>
        </w:rPr>
        <w:t>Předmět nájmu bude užíván výlučně za účelem provozování podnikatelské činnosti spočívající v</w:t>
      </w:r>
      <w:r w:rsidR="00362223" w:rsidRPr="00362223">
        <w:rPr>
          <w:rFonts w:asciiTheme="majorHAnsi" w:hAnsiTheme="majorHAnsi" w:cstheme="majorHAnsi"/>
          <w:sz w:val="22"/>
          <w:szCs w:val="22"/>
        </w:rPr>
        <w:t> prodeji především keramiky, vína a drobných předmětů.</w:t>
      </w:r>
    </w:p>
    <w:p w14:paraId="301AE904" w14:textId="77777777" w:rsidR="00B1452C" w:rsidRPr="00362223"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362223">
        <w:rPr>
          <w:rFonts w:ascii="Calibri" w:eastAsia="Calibri" w:hAnsi="Calibri" w:cs="Calibri"/>
          <w:color w:val="000000"/>
          <w:sz w:val="22"/>
          <w:szCs w:val="22"/>
        </w:rPr>
        <w:lastRenderedPageBreak/>
        <w:t xml:space="preserve">Za porušení povinnosti uvedené v odst. 1 tohoto článku, je nájemce povinen zaplatit smluvní pokutu ve výši </w:t>
      </w:r>
      <w:r w:rsidRPr="00362223">
        <w:rPr>
          <w:rFonts w:ascii="Calibri" w:eastAsia="Calibri" w:hAnsi="Calibri" w:cs="Calibri"/>
          <w:b/>
          <w:color w:val="000000"/>
          <w:sz w:val="22"/>
          <w:szCs w:val="22"/>
        </w:rPr>
        <w:t>10 000 Kč</w:t>
      </w:r>
      <w:r w:rsidRPr="00362223">
        <w:rPr>
          <w:rFonts w:ascii="Calibri" w:eastAsia="Calibri" w:hAnsi="Calibri" w:cs="Calibri"/>
          <w:color w:val="000000"/>
          <w:sz w:val="22"/>
          <w:szCs w:val="22"/>
        </w:rPr>
        <w:t xml:space="preserve"> za každý takovýto případ.</w:t>
      </w:r>
    </w:p>
    <w:p w14:paraId="1369F9CD" w14:textId="77777777" w:rsidR="00B1452C" w:rsidRPr="00362223"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362223">
        <w:rPr>
          <w:rFonts w:ascii="Calibri" w:eastAsia="Calibri" w:hAnsi="Calibri" w:cs="Calibri"/>
          <w:color w:val="000000"/>
          <w:sz w:val="22"/>
          <w:szCs w:val="22"/>
        </w:rPr>
        <w:t>Nájemce prohlašuje, že je mu stav předmětu nájmu znám a v takovémto stavu jej k dočasnému užívání přijímá.</w:t>
      </w:r>
    </w:p>
    <w:p w14:paraId="63A0DB8D" w14:textId="77777777" w:rsidR="00B1452C" w:rsidRPr="00362223"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362223">
        <w:rPr>
          <w:rFonts w:ascii="Calibri" w:eastAsia="Calibri" w:hAnsi="Calibri" w:cs="Calibri"/>
          <w:color w:val="000000"/>
          <w:sz w:val="22"/>
          <w:szCs w:val="22"/>
        </w:rPr>
        <w:t>Nájemce prohlašuje, že je oprávněn provozovat podnikatelskou činnost dle tohoto článku.</w:t>
      </w:r>
    </w:p>
    <w:p w14:paraId="65B7CA89"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p w14:paraId="56E1E9BF"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Cena nájmu, jeho splatnost a způsob úhrady </w:t>
      </w:r>
    </w:p>
    <w:p w14:paraId="33D1278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stanovena minimálně ve výši v místě a v čase obvyklé.</w:t>
      </w:r>
    </w:p>
    <w:p w14:paraId="79E5D8B4"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složena takto:</w:t>
      </w:r>
    </w:p>
    <w:p w14:paraId="77F2E7FB" w14:textId="259438B3" w:rsidR="00362223" w:rsidRPr="00B915D3" w:rsidRDefault="00362223" w:rsidP="00480822">
      <w:pPr>
        <w:pStyle w:val="odstavce"/>
        <w:ind w:left="993" w:firstLine="0"/>
      </w:pPr>
      <w:r w:rsidRPr="0067288E">
        <w:t>Nájemné za jeden kalendářní měsíc nájmu</w:t>
      </w:r>
      <w:r w:rsidRPr="006059ED">
        <w:rPr>
          <w:lang w:val="cs-CZ"/>
        </w:rPr>
        <w:t xml:space="preserve"> v období </w:t>
      </w:r>
      <w:r>
        <w:rPr>
          <w:lang w:val="cs-CZ"/>
        </w:rPr>
        <w:t>leden</w:t>
      </w:r>
      <w:r w:rsidRPr="006059ED">
        <w:rPr>
          <w:lang w:val="cs-CZ"/>
        </w:rPr>
        <w:t xml:space="preserve"> 202</w:t>
      </w:r>
      <w:r w:rsidR="00344D17">
        <w:rPr>
          <w:lang w:val="cs-CZ"/>
        </w:rPr>
        <w:t>5</w:t>
      </w:r>
      <w:r w:rsidRPr="006059ED">
        <w:rPr>
          <w:lang w:val="cs-CZ"/>
        </w:rPr>
        <w:t xml:space="preserve"> – prosinec 202</w:t>
      </w:r>
      <w:r w:rsidR="00344D17">
        <w:rPr>
          <w:lang w:val="cs-CZ"/>
        </w:rPr>
        <w:t>5</w:t>
      </w:r>
      <w:r w:rsidRPr="006059ED">
        <w:rPr>
          <w:lang w:val="cs-CZ"/>
        </w:rPr>
        <w:t xml:space="preserve"> </w:t>
      </w:r>
      <w:r w:rsidRPr="0067288E">
        <w:t>činí</w:t>
      </w:r>
      <w:r w:rsidRPr="006059ED">
        <w:rPr>
          <w:lang w:val="cs-CZ"/>
        </w:rPr>
        <w:t>:</w:t>
      </w:r>
    </w:p>
    <w:tbl>
      <w:tblPr>
        <w:tblW w:w="5600" w:type="dxa"/>
        <w:tblInd w:w="2011" w:type="dxa"/>
        <w:tblCellMar>
          <w:left w:w="70" w:type="dxa"/>
          <w:right w:w="70" w:type="dxa"/>
        </w:tblCellMar>
        <w:tblLook w:val="04A0" w:firstRow="1" w:lastRow="0" w:firstColumn="1" w:lastColumn="0" w:noHBand="0" w:noVBand="1"/>
      </w:tblPr>
      <w:tblGrid>
        <w:gridCol w:w="1380"/>
        <w:gridCol w:w="1380"/>
        <w:gridCol w:w="1380"/>
        <w:gridCol w:w="1460"/>
      </w:tblGrid>
      <w:tr w:rsidR="00344D17" w:rsidRPr="000E5524" w14:paraId="017AD6FE" w14:textId="77777777" w:rsidTr="00265625">
        <w:trPr>
          <w:trHeight w:val="915"/>
        </w:trPr>
        <w:tc>
          <w:tcPr>
            <w:tcW w:w="13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BA8431" w14:textId="6820FF85" w:rsidR="00344D17" w:rsidRPr="000E5524" w:rsidRDefault="00344D17" w:rsidP="00344D17">
            <w:pPr>
              <w:jc w:val="center"/>
              <w:rPr>
                <w:rFonts w:cs="Calibri"/>
                <w:b/>
                <w:bCs/>
                <w:color w:val="000000"/>
                <w:szCs w:val="22"/>
              </w:rPr>
            </w:pPr>
            <w:r w:rsidRPr="0042465B">
              <w:rPr>
                <w:rFonts w:ascii="Calibri" w:hAnsi="Calibri" w:cs="Calibri"/>
                <w:b/>
                <w:bCs/>
                <w:color w:val="000000"/>
                <w:sz w:val="22"/>
                <w:szCs w:val="22"/>
              </w:rPr>
              <w:t>Měsíc</w:t>
            </w:r>
          </w:p>
        </w:tc>
        <w:tc>
          <w:tcPr>
            <w:tcW w:w="1380" w:type="dxa"/>
            <w:tcBorders>
              <w:top w:val="single" w:sz="8" w:space="0" w:color="auto"/>
              <w:left w:val="nil"/>
              <w:bottom w:val="single" w:sz="8" w:space="0" w:color="auto"/>
              <w:right w:val="single" w:sz="4" w:space="0" w:color="auto"/>
            </w:tcBorders>
            <w:shd w:val="clear" w:color="auto" w:fill="auto"/>
            <w:noWrap/>
            <w:vAlign w:val="center"/>
            <w:hideMark/>
          </w:tcPr>
          <w:p w14:paraId="5A6E16F4" w14:textId="361289F5" w:rsidR="00344D17" w:rsidRPr="000E5524" w:rsidRDefault="00344D17" w:rsidP="00344D17">
            <w:pPr>
              <w:jc w:val="center"/>
              <w:rPr>
                <w:rFonts w:cs="Calibri"/>
                <w:b/>
                <w:bCs/>
                <w:color w:val="000000"/>
                <w:szCs w:val="22"/>
              </w:rPr>
            </w:pPr>
            <w:r w:rsidRPr="0042465B">
              <w:rPr>
                <w:rFonts w:ascii="Calibri" w:hAnsi="Calibri" w:cs="Calibri"/>
                <w:b/>
                <w:bCs/>
                <w:color w:val="000000"/>
                <w:sz w:val="22"/>
                <w:szCs w:val="22"/>
              </w:rPr>
              <w:t>Nájemné za předmět nájmu (DPH osvobozeno)</w:t>
            </w:r>
          </w:p>
        </w:tc>
        <w:tc>
          <w:tcPr>
            <w:tcW w:w="1380" w:type="dxa"/>
            <w:tcBorders>
              <w:top w:val="single" w:sz="8" w:space="0" w:color="auto"/>
              <w:left w:val="nil"/>
              <w:bottom w:val="single" w:sz="8" w:space="0" w:color="auto"/>
              <w:right w:val="single" w:sz="4" w:space="0" w:color="auto"/>
            </w:tcBorders>
            <w:shd w:val="clear" w:color="auto" w:fill="auto"/>
            <w:noWrap/>
            <w:vAlign w:val="center"/>
            <w:hideMark/>
          </w:tcPr>
          <w:p w14:paraId="4C736F99" w14:textId="6586FC9A" w:rsidR="00344D17" w:rsidRPr="000E5524" w:rsidRDefault="00092B68" w:rsidP="00344D17">
            <w:pPr>
              <w:jc w:val="center"/>
              <w:rPr>
                <w:rFonts w:cs="Calibri"/>
                <w:b/>
                <w:bCs/>
                <w:color w:val="000000"/>
                <w:szCs w:val="22"/>
              </w:rPr>
            </w:pPr>
            <w:r>
              <w:rPr>
                <w:rFonts w:ascii="Calibri" w:hAnsi="Calibri" w:cs="Calibri"/>
                <w:b/>
                <w:bCs/>
                <w:color w:val="000000"/>
                <w:sz w:val="22"/>
                <w:szCs w:val="22"/>
              </w:rPr>
              <w:t>El. energie</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4426042C" w14:textId="2956DC7B" w:rsidR="00344D17" w:rsidRPr="000E5524" w:rsidRDefault="00344D17" w:rsidP="00344D17">
            <w:pPr>
              <w:jc w:val="center"/>
              <w:rPr>
                <w:rFonts w:cs="Calibri"/>
                <w:b/>
                <w:bCs/>
                <w:color w:val="000000"/>
                <w:szCs w:val="22"/>
              </w:rPr>
            </w:pPr>
            <w:r w:rsidRPr="0042465B">
              <w:rPr>
                <w:rFonts w:ascii="Calibri" w:hAnsi="Calibri" w:cs="Calibri"/>
                <w:b/>
                <w:bCs/>
                <w:color w:val="000000"/>
                <w:sz w:val="22"/>
                <w:szCs w:val="22"/>
              </w:rPr>
              <w:t xml:space="preserve">Nájemné celkem vč. </w:t>
            </w:r>
            <w:proofErr w:type="gramStart"/>
            <w:r w:rsidRPr="0042465B">
              <w:rPr>
                <w:rFonts w:ascii="Calibri" w:hAnsi="Calibri" w:cs="Calibri"/>
                <w:b/>
                <w:bCs/>
                <w:color w:val="000000"/>
                <w:sz w:val="22"/>
                <w:szCs w:val="22"/>
              </w:rPr>
              <w:t>21%</w:t>
            </w:r>
            <w:proofErr w:type="gramEnd"/>
            <w:r w:rsidRPr="0042465B">
              <w:rPr>
                <w:rFonts w:ascii="Calibri" w:hAnsi="Calibri" w:cs="Calibri"/>
                <w:b/>
                <w:bCs/>
                <w:color w:val="000000"/>
                <w:sz w:val="22"/>
                <w:szCs w:val="22"/>
              </w:rPr>
              <w:t xml:space="preserve"> DPH</w:t>
            </w:r>
          </w:p>
        </w:tc>
      </w:tr>
      <w:tr w:rsidR="00265625" w:rsidRPr="000E5524" w14:paraId="6EDE96E9" w14:textId="77777777" w:rsidTr="00265625">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60967AEE" w14:textId="77777777" w:rsidR="00265625" w:rsidRPr="000E5524" w:rsidRDefault="00265625" w:rsidP="00FF002F">
            <w:pPr>
              <w:rPr>
                <w:rFonts w:cs="Calibri"/>
                <w:color w:val="000000"/>
                <w:szCs w:val="22"/>
              </w:rPr>
            </w:pPr>
            <w:proofErr w:type="gramStart"/>
            <w:r w:rsidRPr="000E5524">
              <w:rPr>
                <w:rFonts w:cs="Calibri"/>
                <w:color w:val="000000"/>
                <w:szCs w:val="22"/>
              </w:rPr>
              <w:t>Leden</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14:paraId="07F6E032" w14:textId="3BFCEDD8" w:rsidR="00265625" w:rsidRPr="000E5524" w:rsidRDefault="00265625" w:rsidP="00FF002F">
            <w:pPr>
              <w:jc w:val="right"/>
              <w:rPr>
                <w:rFonts w:cs="Calibri"/>
                <w:color w:val="000000"/>
                <w:szCs w:val="22"/>
              </w:rPr>
            </w:pPr>
            <w:r>
              <w:rPr>
                <w:rFonts w:cs="Calibri"/>
                <w:color w:val="000000"/>
                <w:szCs w:val="22"/>
              </w:rPr>
              <w:t>2 500</w:t>
            </w:r>
            <w:r w:rsidRPr="000E5524">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vAlign w:val="bottom"/>
            <w:hideMark/>
          </w:tcPr>
          <w:p w14:paraId="2503940A" w14:textId="77777777" w:rsidR="00265625" w:rsidRPr="000E5524" w:rsidRDefault="00265625" w:rsidP="00FF002F">
            <w:pPr>
              <w:jc w:val="right"/>
              <w:rPr>
                <w:rFonts w:cs="Calibri"/>
                <w:color w:val="000000"/>
                <w:szCs w:val="22"/>
              </w:rPr>
            </w:pPr>
            <w:r>
              <w:rPr>
                <w:rFonts w:cs="Calibri"/>
                <w:color w:val="000000"/>
                <w:szCs w:val="22"/>
              </w:rPr>
              <w:t>500</w:t>
            </w:r>
            <w:r w:rsidRPr="000E5524">
              <w:rPr>
                <w:rFonts w:cs="Calibri"/>
                <w:color w:val="000000"/>
                <w:szCs w:val="22"/>
              </w:rPr>
              <w:t xml:space="preserve"> Kč</w:t>
            </w:r>
          </w:p>
        </w:tc>
        <w:tc>
          <w:tcPr>
            <w:tcW w:w="1460" w:type="dxa"/>
            <w:tcBorders>
              <w:top w:val="nil"/>
              <w:left w:val="nil"/>
              <w:bottom w:val="single" w:sz="4" w:space="0" w:color="auto"/>
              <w:right w:val="single" w:sz="8" w:space="0" w:color="auto"/>
            </w:tcBorders>
            <w:shd w:val="clear" w:color="auto" w:fill="auto"/>
            <w:noWrap/>
            <w:vAlign w:val="bottom"/>
            <w:hideMark/>
          </w:tcPr>
          <w:p w14:paraId="02721D67" w14:textId="4A388BF1" w:rsidR="00265625" w:rsidRPr="000E5524" w:rsidRDefault="00265625" w:rsidP="00FF002F">
            <w:pPr>
              <w:jc w:val="right"/>
              <w:rPr>
                <w:rFonts w:cs="Calibri"/>
                <w:b/>
                <w:bCs/>
                <w:color w:val="000000"/>
                <w:szCs w:val="22"/>
              </w:rPr>
            </w:pPr>
            <w:r>
              <w:rPr>
                <w:rFonts w:cs="Calibri"/>
                <w:b/>
                <w:bCs/>
                <w:color w:val="000000"/>
                <w:szCs w:val="22"/>
              </w:rPr>
              <w:t>3 000</w:t>
            </w:r>
            <w:r w:rsidRPr="000E5524">
              <w:rPr>
                <w:rFonts w:cs="Calibri"/>
                <w:b/>
                <w:bCs/>
                <w:color w:val="000000"/>
                <w:szCs w:val="22"/>
              </w:rPr>
              <w:t xml:space="preserve"> Kč</w:t>
            </w:r>
          </w:p>
        </w:tc>
      </w:tr>
      <w:tr w:rsidR="00265625" w:rsidRPr="000E5524" w14:paraId="3E7D3288" w14:textId="77777777" w:rsidTr="00265625">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6C506613" w14:textId="77777777" w:rsidR="00265625" w:rsidRPr="000E5524" w:rsidRDefault="00265625" w:rsidP="00FF002F">
            <w:pPr>
              <w:rPr>
                <w:rFonts w:cs="Calibri"/>
                <w:color w:val="000000"/>
                <w:szCs w:val="22"/>
              </w:rPr>
            </w:pPr>
            <w:r w:rsidRPr="000E5524">
              <w:rPr>
                <w:rFonts w:cs="Calibri"/>
                <w:color w:val="000000"/>
                <w:szCs w:val="22"/>
              </w:rPr>
              <w:t>Únor</w:t>
            </w:r>
          </w:p>
        </w:tc>
        <w:tc>
          <w:tcPr>
            <w:tcW w:w="1380" w:type="dxa"/>
            <w:tcBorders>
              <w:top w:val="nil"/>
              <w:left w:val="nil"/>
              <w:bottom w:val="single" w:sz="4" w:space="0" w:color="auto"/>
              <w:right w:val="single" w:sz="4" w:space="0" w:color="auto"/>
            </w:tcBorders>
            <w:shd w:val="clear" w:color="auto" w:fill="auto"/>
            <w:noWrap/>
            <w:vAlign w:val="bottom"/>
            <w:hideMark/>
          </w:tcPr>
          <w:p w14:paraId="6368DA5D" w14:textId="6D303D7F" w:rsidR="00265625" w:rsidRPr="000E5524" w:rsidRDefault="00265625" w:rsidP="00FF002F">
            <w:pPr>
              <w:jc w:val="right"/>
              <w:rPr>
                <w:rFonts w:cs="Calibri"/>
                <w:color w:val="000000"/>
                <w:szCs w:val="22"/>
              </w:rPr>
            </w:pPr>
            <w:r>
              <w:rPr>
                <w:rFonts w:cs="Calibri"/>
                <w:color w:val="000000"/>
                <w:szCs w:val="22"/>
              </w:rPr>
              <w:t>2 500</w:t>
            </w:r>
            <w:r w:rsidRPr="000E5524">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hideMark/>
          </w:tcPr>
          <w:p w14:paraId="488E1E8A" w14:textId="77777777" w:rsidR="00265625" w:rsidRDefault="00265625" w:rsidP="00FF002F">
            <w:pPr>
              <w:jc w:val="right"/>
            </w:pPr>
            <w:r w:rsidRPr="006D29AC">
              <w:rPr>
                <w:rFonts w:cs="Calibri"/>
                <w:color w:val="000000"/>
                <w:szCs w:val="22"/>
              </w:rPr>
              <w:t>500 Kč</w:t>
            </w:r>
          </w:p>
        </w:tc>
        <w:tc>
          <w:tcPr>
            <w:tcW w:w="1460" w:type="dxa"/>
            <w:tcBorders>
              <w:top w:val="nil"/>
              <w:left w:val="nil"/>
              <w:bottom w:val="single" w:sz="4" w:space="0" w:color="auto"/>
              <w:right w:val="single" w:sz="8" w:space="0" w:color="auto"/>
            </w:tcBorders>
            <w:shd w:val="clear" w:color="auto" w:fill="auto"/>
            <w:noWrap/>
            <w:vAlign w:val="bottom"/>
            <w:hideMark/>
          </w:tcPr>
          <w:p w14:paraId="51442646" w14:textId="72DCF37A" w:rsidR="00265625" w:rsidRPr="000E5524" w:rsidRDefault="00265625" w:rsidP="00FF002F">
            <w:pPr>
              <w:jc w:val="right"/>
              <w:rPr>
                <w:rFonts w:cs="Calibri"/>
                <w:b/>
                <w:bCs/>
                <w:color w:val="000000"/>
                <w:szCs w:val="22"/>
              </w:rPr>
            </w:pPr>
            <w:r>
              <w:rPr>
                <w:rFonts w:cs="Calibri"/>
                <w:b/>
                <w:bCs/>
                <w:color w:val="000000"/>
                <w:szCs w:val="22"/>
              </w:rPr>
              <w:t>3 000</w:t>
            </w:r>
            <w:r w:rsidRPr="000E5524">
              <w:rPr>
                <w:rFonts w:cs="Calibri"/>
                <w:b/>
                <w:bCs/>
                <w:color w:val="000000"/>
                <w:szCs w:val="22"/>
              </w:rPr>
              <w:t xml:space="preserve"> Kč</w:t>
            </w:r>
          </w:p>
        </w:tc>
      </w:tr>
      <w:tr w:rsidR="00265625" w:rsidRPr="000E5524" w14:paraId="7A694F08" w14:textId="77777777" w:rsidTr="00265625">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640862D8" w14:textId="77777777" w:rsidR="00265625" w:rsidRPr="000E5524" w:rsidRDefault="00265625" w:rsidP="00FF002F">
            <w:pPr>
              <w:rPr>
                <w:rFonts w:cs="Calibri"/>
                <w:color w:val="000000"/>
                <w:szCs w:val="22"/>
              </w:rPr>
            </w:pPr>
            <w:r w:rsidRPr="000E5524">
              <w:rPr>
                <w:rFonts w:cs="Calibri"/>
                <w:color w:val="000000"/>
                <w:szCs w:val="22"/>
              </w:rPr>
              <w:t>Březen</w:t>
            </w:r>
          </w:p>
        </w:tc>
        <w:tc>
          <w:tcPr>
            <w:tcW w:w="1380" w:type="dxa"/>
            <w:tcBorders>
              <w:top w:val="nil"/>
              <w:left w:val="nil"/>
              <w:bottom w:val="single" w:sz="4" w:space="0" w:color="auto"/>
              <w:right w:val="single" w:sz="4" w:space="0" w:color="auto"/>
            </w:tcBorders>
            <w:shd w:val="clear" w:color="auto" w:fill="auto"/>
            <w:noWrap/>
            <w:vAlign w:val="bottom"/>
            <w:hideMark/>
          </w:tcPr>
          <w:p w14:paraId="30C4F7B3" w14:textId="746B37D0" w:rsidR="00265625" w:rsidRPr="000E5524" w:rsidRDefault="00265625" w:rsidP="00FF002F">
            <w:pPr>
              <w:jc w:val="right"/>
              <w:rPr>
                <w:rFonts w:cs="Calibri"/>
                <w:color w:val="000000"/>
                <w:szCs w:val="22"/>
              </w:rPr>
            </w:pPr>
            <w:r w:rsidRPr="000E5524">
              <w:rPr>
                <w:rFonts w:cs="Calibri"/>
                <w:color w:val="000000"/>
                <w:szCs w:val="22"/>
              </w:rPr>
              <w:t xml:space="preserve">3 </w:t>
            </w:r>
            <w:r>
              <w:rPr>
                <w:rFonts w:cs="Calibri"/>
                <w:color w:val="000000"/>
                <w:szCs w:val="22"/>
              </w:rPr>
              <w:t>900</w:t>
            </w:r>
            <w:r w:rsidRPr="000E5524">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hideMark/>
          </w:tcPr>
          <w:p w14:paraId="0F5F51D7" w14:textId="77777777" w:rsidR="00265625" w:rsidRDefault="00265625" w:rsidP="00FF002F">
            <w:pPr>
              <w:jc w:val="right"/>
            </w:pPr>
            <w:r w:rsidRPr="006D29AC">
              <w:rPr>
                <w:rFonts w:cs="Calibri"/>
                <w:color w:val="000000"/>
                <w:szCs w:val="22"/>
              </w:rPr>
              <w:t>500 Kč</w:t>
            </w:r>
          </w:p>
        </w:tc>
        <w:tc>
          <w:tcPr>
            <w:tcW w:w="1460" w:type="dxa"/>
            <w:tcBorders>
              <w:top w:val="nil"/>
              <w:left w:val="nil"/>
              <w:bottom w:val="single" w:sz="4" w:space="0" w:color="auto"/>
              <w:right w:val="single" w:sz="8" w:space="0" w:color="auto"/>
            </w:tcBorders>
            <w:shd w:val="clear" w:color="auto" w:fill="auto"/>
            <w:noWrap/>
            <w:vAlign w:val="bottom"/>
            <w:hideMark/>
          </w:tcPr>
          <w:p w14:paraId="2E0B1675" w14:textId="6767C498" w:rsidR="00265625" w:rsidRPr="000E5524" w:rsidRDefault="00265625" w:rsidP="00FF002F">
            <w:pPr>
              <w:jc w:val="right"/>
              <w:rPr>
                <w:rFonts w:cs="Calibri"/>
                <w:b/>
                <w:bCs/>
                <w:color w:val="000000"/>
                <w:szCs w:val="22"/>
              </w:rPr>
            </w:pPr>
            <w:r>
              <w:rPr>
                <w:rFonts w:cs="Calibri"/>
                <w:b/>
                <w:bCs/>
                <w:color w:val="000000"/>
                <w:szCs w:val="22"/>
              </w:rPr>
              <w:t>4 400</w:t>
            </w:r>
            <w:r w:rsidRPr="000E5524">
              <w:rPr>
                <w:rFonts w:cs="Calibri"/>
                <w:b/>
                <w:bCs/>
                <w:color w:val="000000"/>
                <w:szCs w:val="22"/>
              </w:rPr>
              <w:t xml:space="preserve"> Kč</w:t>
            </w:r>
          </w:p>
        </w:tc>
      </w:tr>
      <w:tr w:rsidR="00265625" w:rsidRPr="000E5524" w14:paraId="7974009F" w14:textId="77777777" w:rsidTr="00265625">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3509DF84" w14:textId="77777777" w:rsidR="00265625" w:rsidRPr="000E5524" w:rsidRDefault="00265625" w:rsidP="00FF002F">
            <w:pPr>
              <w:rPr>
                <w:rFonts w:cs="Calibri"/>
                <w:color w:val="000000"/>
                <w:szCs w:val="22"/>
              </w:rPr>
            </w:pPr>
            <w:proofErr w:type="gramStart"/>
            <w:r w:rsidRPr="000E5524">
              <w:rPr>
                <w:rFonts w:cs="Calibri"/>
                <w:color w:val="000000"/>
                <w:szCs w:val="22"/>
              </w:rPr>
              <w:t>Duben</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14:paraId="56D09D4C" w14:textId="1310CB9E" w:rsidR="00265625" w:rsidRPr="000E5524" w:rsidRDefault="00265625" w:rsidP="00FF002F">
            <w:pPr>
              <w:jc w:val="right"/>
              <w:rPr>
                <w:rFonts w:cs="Calibri"/>
                <w:color w:val="000000"/>
                <w:szCs w:val="22"/>
              </w:rPr>
            </w:pPr>
            <w:r w:rsidRPr="000E5524">
              <w:rPr>
                <w:rFonts w:cs="Calibri"/>
                <w:color w:val="000000"/>
                <w:szCs w:val="22"/>
              </w:rPr>
              <w:t xml:space="preserve">8 </w:t>
            </w:r>
            <w:r>
              <w:rPr>
                <w:rFonts w:cs="Calibri"/>
                <w:color w:val="000000"/>
                <w:szCs w:val="22"/>
              </w:rPr>
              <w:t>300</w:t>
            </w:r>
            <w:r w:rsidRPr="000E5524">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hideMark/>
          </w:tcPr>
          <w:p w14:paraId="1C2F5E5A" w14:textId="77777777" w:rsidR="00265625" w:rsidRDefault="00265625" w:rsidP="00FF002F">
            <w:pPr>
              <w:jc w:val="right"/>
            </w:pPr>
            <w:r w:rsidRPr="006D29AC">
              <w:rPr>
                <w:rFonts w:cs="Calibri"/>
                <w:color w:val="000000"/>
                <w:szCs w:val="22"/>
              </w:rPr>
              <w:t>500 Kč</w:t>
            </w:r>
          </w:p>
        </w:tc>
        <w:tc>
          <w:tcPr>
            <w:tcW w:w="1460" w:type="dxa"/>
            <w:tcBorders>
              <w:top w:val="nil"/>
              <w:left w:val="nil"/>
              <w:bottom w:val="single" w:sz="4" w:space="0" w:color="auto"/>
              <w:right w:val="single" w:sz="8" w:space="0" w:color="auto"/>
            </w:tcBorders>
            <w:shd w:val="clear" w:color="auto" w:fill="auto"/>
            <w:noWrap/>
            <w:vAlign w:val="bottom"/>
            <w:hideMark/>
          </w:tcPr>
          <w:p w14:paraId="3A91764B" w14:textId="0CF8D5E8" w:rsidR="00265625" w:rsidRPr="000E5524" w:rsidRDefault="00265625" w:rsidP="00FF002F">
            <w:pPr>
              <w:jc w:val="right"/>
              <w:rPr>
                <w:rFonts w:cs="Calibri"/>
                <w:b/>
                <w:bCs/>
                <w:color w:val="000000"/>
                <w:szCs w:val="22"/>
              </w:rPr>
            </w:pPr>
            <w:r>
              <w:rPr>
                <w:rFonts w:cs="Calibri"/>
                <w:b/>
                <w:bCs/>
                <w:color w:val="000000"/>
                <w:szCs w:val="22"/>
              </w:rPr>
              <w:t>8 800</w:t>
            </w:r>
            <w:r w:rsidRPr="000E5524">
              <w:rPr>
                <w:rFonts w:cs="Calibri"/>
                <w:b/>
                <w:bCs/>
                <w:color w:val="000000"/>
                <w:szCs w:val="22"/>
              </w:rPr>
              <w:t xml:space="preserve"> Kč</w:t>
            </w:r>
          </w:p>
        </w:tc>
      </w:tr>
      <w:tr w:rsidR="00265625" w:rsidRPr="000E5524" w14:paraId="7C51CE66" w14:textId="77777777" w:rsidTr="00265625">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7248CABF" w14:textId="77777777" w:rsidR="00265625" w:rsidRPr="000E5524" w:rsidRDefault="00265625" w:rsidP="00FF002F">
            <w:pPr>
              <w:rPr>
                <w:rFonts w:cs="Calibri"/>
                <w:color w:val="000000"/>
                <w:szCs w:val="22"/>
              </w:rPr>
            </w:pPr>
            <w:proofErr w:type="gramStart"/>
            <w:r w:rsidRPr="000E5524">
              <w:rPr>
                <w:rFonts w:cs="Calibri"/>
                <w:color w:val="000000"/>
                <w:szCs w:val="22"/>
              </w:rPr>
              <w:t>Květen</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14:paraId="6D96EC4F" w14:textId="111B19CB" w:rsidR="00265625" w:rsidRPr="000E5524" w:rsidRDefault="00265625" w:rsidP="00FF002F">
            <w:pPr>
              <w:jc w:val="right"/>
              <w:rPr>
                <w:rFonts w:cs="Calibri"/>
                <w:color w:val="000000"/>
                <w:szCs w:val="22"/>
              </w:rPr>
            </w:pPr>
            <w:r w:rsidRPr="000E5524">
              <w:rPr>
                <w:rFonts w:cs="Calibri"/>
                <w:color w:val="000000"/>
                <w:szCs w:val="22"/>
              </w:rPr>
              <w:t xml:space="preserve">9 </w:t>
            </w:r>
            <w:r>
              <w:rPr>
                <w:rFonts w:cs="Calibri"/>
                <w:color w:val="000000"/>
                <w:szCs w:val="22"/>
              </w:rPr>
              <w:t>500</w:t>
            </w:r>
            <w:r w:rsidRPr="000E5524">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hideMark/>
          </w:tcPr>
          <w:p w14:paraId="51F47454" w14:textId="77777777" w:rsidR="00265625" w:rsidRDefault="00265625" w:rsidP="00FF002F">
            <w:pPr>
              <w:jc w:val="right"/>
            </w:pPr>
            <w:r w:rsidRPr="006D29AC">
              <w:rPr>
                <w:rFonts w:cs="Calibri"/>
                <w:color w:val="000000"/>
                <w:szCs w:val="22"/>
              </w:rPr>
              <w:t>500 Kč</w:t>
            </w:r>
          </w:p>
        </w:tc>
        <w:tc>
          <w:tcPr>
            <w:tcW w:w="1460" w:type="dxa"/>
            <w:tcBorders>
              <w:top w:val="nil"/>
              <w:left w:val="nil"/>
              <w:bottom w:val="single" w:sz="4" w:space="0" w:color="auto"/>
              <w:right w:val="single" w:sz="8" w:space="0" w:color="auto"/>
            </w:tcBorders>
            <w:shd w:val="clear" w:color="auto" w:fill="auto"/>
            <w:noWrap/>
            <w:vAlign w:val="bottom"/>
            <w:hideMark/>
          </w:tcPr>
          <w:p w14:paraId="5B703FF0" w14:textId="37F518AA" w:rsidR="00265625" w:rsidRPr="000E5524" w:rsidRDefault="00265625" w:rsidP="00FF002F">
            <w:pPr>
              <w:jc w:val="right"/>
              <w:rPr>
                <w:rFonts w:cs="Calibri"/>
                <w:b/>
                <w:bCs/>
                <w:color w:val="000000"/>
                <w:szCs w:val="22"/>
              </w:rPr>
            </w:pPr>
            <w:r>
              <w:rPr>
                <w:rFonts w:cs="Calibri"/>
                <w:b/>
                <w:bCs/>
                <w:color w:val="000000"/>
                <w:szCs w:val="22"/>
              </w:rPr>
              <w:t>10 000</w:t>
            </w:r>
            <w:r w:rsidRPr="000E5524">
              <w:rPr>
                <w:rFonts w:cs="Calibri"/>
                <w:b/>
                <w:bCs/>
                <w:color w:val="000000"/>
                <w:szCs w:val="22"/>
              </w:rPr>
              <w:t xml:space="preserve"> Kč</w:t>
            </w:r>
          </w:p>
        </w:tc>
      </w:tr>
      <w:tr w:rsidR="00265625" w:rsidRPr="000E5524" w14:paraId="72A75DF8" w14:textId="77777777" w:rsidTr="00265625">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696814B1" w14:textId="77777777" w:rsidR="00265625" w:rsidRPr="000E5524" w:rsidRDefault="00265625" w:rsidP="00FF002F">
            <w:pPr>
              <w:rPr>
                <w:rFonts w:cs="Calibri"/>
                <w:color w:val="000000"/>
                <w:szCs w:val="22"/>
              </w:rPr>
            </w:pPr>
            <w:proofErr w:type="gramStart"/>
            <w:r w:rsidRPr="000E5524">
              <w:rPr>
                <w:rFonts w:cs="Calibri"/>
                <w:color w:val="000000"/>
                <w:szCs w:val="22"/>
              </w:rPr>
              <w:t>Červen</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14:paraId="58EEAB08" w14:textId="167C3044" w:rsidR="00265625" w:rsidRPr="000E5524" w:rsidRDefault="00265625" w:rsidP="00FF002F">
            <w:pPr>
              <w:jc w:val="right"/>
              <w:rPr>
                <w:rFonts w:cs="Calibri"/>
                <w:color w:val="000000"/>
                <w:szCs w:val="22"/>
              </w:rPr>
            </w:pPr>
            <w:r w:rsidRPr="000E5524">
              <w:rPr>
                <w:rFonts w:cs="Calibri"/>
                <w:color w:val="000000"/>
                <w:szCs w:val="22"/>
              </w:rPr>
              <w:t xml:space="preserve">9 </w:t>
            </w:r>
            <w:r>
              <w:rPr>
                <w:rFonts w:cs="Calibri"/>
                <w:color w:val="000000"/>
                <w:szCs w:val="22"/>
              </w:rPr>
              <w:t>500</w:t>
            </w:r>
            <w:r w:rsidRPr="000E5524">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hideMark/>
          </w:tcPr>
          <w:p w14:paraId="57243EDA" w14:textId="77777777" w:rsidR="00265625" w:rsidRDefault="00265625" w:rsidP="00FF002F">
            <w:pPr>
              <w:jc w:val="right"/>
            </w:pPr>
            <w:r w:rsidRPr="006D29AC">
              <w:rPr>
                <w:rFonts w:cs="Calibri"/>
                <w:color w:val="000000"/>
                <w:szCs w:val="22"/>
              </w:rPr>
              <w:t>500 Kč</w:t>
            </w:r>
          </w:p>
        </w:tc>
        <w:tc>
          <w:tcPr>
            <w:tcW w:w="1460" w:type="dxa"/>
            <w:tcBorders>
              <w:top w:val="nil"/>
              <w:left w:val="nil"/>
              <w:bottom w:val="single" w:sz="4" w:space="0" w:color="auto"/>
              <w:right w:val="single" w:sz="8" w:space="0" w:color="auto"/>
            </w:tcBorders>
            <w:shd w:val="clear" w:color="auto" w:fill="auto"/>
            <w:noWrap/>
            <w:vAlign w:val="bottom"/>
            <w:hideMark/>
          </w:tcPr>
          <w:p w14:paraId="2C0C65BA" w14:textId="7B5956D1" w:rsidR="00265625" w:rsidRPr="000E5524" w:rsidRDefault="00265625" w:rsidP="00FF002F">
            <w:pPr>
              <w:jc w:val="right"/>
              <w:rPr>
                <w:rFonts w:cs="Calibri"/>
                <w:b/>
                <w:bCs/>
                <w:color w:val="000000"/>
                <w:szCs w:val="22"/>
              </w:rPr>
            </w:pPr>
            <w:r>
              <w:rPr>
                <w:rFonts w:cs="Calibri"/>
                <w:b/>
                <w:bCs/>
                <w:color w:val="000000"/>
                <w:szCs w:val="22"/>
              </w:rPr>
              <w:t>10 000</w:t>
            </w:r>
            <w:r w:rsidRPr="000E5524">
              <w:rPr>
                <w:rFonts w:cs="Calibri"/>
                <w:b/>
                <w:bCs/>
                <w:color w:val="000000"/>
                <w:szCs w:val="22"/>
              </w:rPr>
              <w:t xml:space="preserve"> Kč</w:t>
            </w:r>
          </w:p>
        </w:tc>
      </w:tr>
      <w:tr w:rsidR="00265625" w:rsidRPr="000E5524" w14:paraId="346425E4" w14:textId="77777777" w:rsidTr="00265625">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19CCE54A" w14:textId="77777777" w:rsidR="00265625" w:rsidRPr="000E5524" w:rsidRDefault="00265625" w:rsidP="00FF002F">
            <w:pPr>
              <w:rPr>
                <w:rFonts w:cs="Calibri"/>
                <w:color w:val="000000"/>
                <w:szCs w:val="22"/>
              </w:rPr>
            </w:pPr>
            <w:proofErr w:type="gramStart"/>
            <w:r w:rsidRPr="000E5524">
              <w:rPr>
                <w:rFonts w:cs="Calibri"/>
                <w:color w:val="000000"/>
                <w:szCs w:val="22"/>
              </w:rPr>
              <w:t>Červenec</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14:paraId="6484F477" w14:textId="0A4B4466" w:rsidR="00265625" w:rsidRPr="000E5524" w:rsidRDefault="00265625" w:rsidP="00FF002F">
            <w:pPr>
              <w:jc w:val="right"/>
              <w:rPr>
                <w:rFonts w:cs="Calibri"/>
                <w:color w:val="000000"/>
                <w:szCs w:val="22"/>
              </w:rPr>
            </w:pPr>
            <w:r w:rsidRPr="000E5524">
              <w:rPr>
                <w:rFonts w:cs="Calibri"/>
                <w:color w:val="000000"/>
                <w:szCs w:val="22"/>
              </w:rPr>
              <w:t>1</w:t>
            </w:r>
            <w:r>
              <w:rPr>
                <w:rFonts w:cs="Calibri"/>
                <w:color w:val="000000"/>
                <w:szCs w:val="22"/>
              </w:rPr>
              <w:t>2 000</w:t>
            </w:r>
            <w:r w:rsidRPr="000E5524">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hideMark/>
          </w:tcPr>
          <w:p w14:paraId="5BA355FE" w14:textId="77777777" w:rsidR="00265625" w:rsidRDefault="00265625" w:rsidP="00FF002F">
            <w:pPr>
              <w:jc w:val="right"/>
            </w:pPr>
            <w:r w:rsidRPr="006D29AC">
              <w:rPr>
                <w:rFonts w:cs="Calibri"/>
                <w:color w:val="000000"/>
                <w:szCs w:val="22"/>
              </w:rPr>
              <w:t>500 Kč</w:t>
            </w:r>
          </w:p>
        </w:tc>
        <w:tc>
          <w:tcPr>
            <w:tcW w:w="1460" w:type="dxa"/>
            <w:tcBorders>
              <w:top w:val="nil"/>
              <w:left w:val="nil"/>
              <w:bottom w:val="single" w:sz="4" w:space="0" w:color="auto"/>
              <w:right w:val="single" w:sz="8" w:space="0" w:color="auto"/>
            </w:tcBorders>
            <w:shd w:val="clear" w:color="auto" w:fill="auto"/>
            <w:noWrap/>
            <w:vAlign w:val="bottom"/>
            <w:hideMark/>
          </w:tcPr>
          <w:p w14:paraId="44D82DDC" w14:textId="17A3B1FD" w:rsidR="00265625" w:rsidRPr="000E5524" w:rsidRDefault="00265625" w:rsidP="00FF002F">
            <w:pPr>
              <w:jc w:val="right"/>
              <w:rPr>
                <w:rFonts w:cs="Calibri"/>
                <w:b/>
                <w:bCs/>
                <w:color w:val="000000"/>
                <w:szCs w:val="22"/>
              </w:rPr>
            </w:pPr>
            <w:r w:rsidRPr="000E5524">
              <w:rPr>
                <w:rFonts w:cs="Calibri"/>
                <w:b/>
                <w:bCs/>
                <w:color w:val="000000"/>
                <w:szCs w:val="22"/>
              </w:rPr>
              <w:t>1</w:t>
            </w:r>
            <w:r>
              <w:rPr>
                <w:rFonts w:cs="Calibri"/>
                <w:b/>
                <w:bCs/>
                <w:color w:val="000000"/>
                <w:szCs w:val="22"/>
              </w:rPr>
              <w:t>2 500</w:t>
            </w:r>
            <w:r w:rsidRPr="000E5524">
              <w:rPr>
                <w:rFonts w:cs="Calibri"/>
                <w:b/>
                <w:bCs/>
                <w:color w:val="000000"/>
                <w:szCs w:val="22"/>
              </w:rPr>
              <w:t xml:space="preserve"> Kč</w:t>
            </w:r>
          </w:p>
        </w:tc>
      </w:tr>
      <w:tr w:rsidR="00265625" w:rsidRPr="000E5524" w14:paraId="29C3FB58" w14:textId="77777777" w:rsidTr="00265625">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010E74EC" w14:textId="77777777" w:rsidR="00265625" w:rsidRPr="000E5524" w:rsidRDefault="00265625" w:rsidP="00FF002F">
            <w:pPr>
              <w:rPr>
                <w:rFonts w:cs="Calibri"/>
                <w:color w:val="000000"/>
                <w:szCs w:val="22"/>
              </w:rPr>
            </w:pPr>
            <w:r w:rsidRPr="000E5524">
              <w:rPr>
                <w:rFonts w:cs="Calibri"/>
                <w:color w:val="000000"/>
                <w:szCs w:val="22"/>
              </w:rPr>
              <w:t>Srpen</w:t>
            </w:r>
          </w:p>
        </w:tc>
        <w:tc>
          <w:tcPr>
            <w:tcW w:w="1380" w:type="dxa"/>
            <w:tcBorders>
              <w:top w:val="nil"/>
              <w:left w:val="nil"/>
              <w:bottom w:val="single" w:sz="4" w:space="0" w:color="auto"/>
              <w:right w:val="single" w:sz="4" w:space="0" w:color="auto"/>
            </w:tcBorders>
            <w:shd w:val="clear" w:color="auto" w:fill="auto"/>
            <w:noWrap/>
            <w:vAlign w:val="bottom"/>
            <w:hideMark/>
          </w:tcPr>
          <w:p w14:paraId="22A83417" w14:textId="7E0BA28F" w:rsidR="00265625" w:rsidRPr="000E5524" w:rsidRDefault="00265625" w:rsidP="00FF002F">
            <w:pPr>
              <w:jc w:val="right"/>
              <w:rPr>
                <w:rFonts w:cs="Calibri"/>
                <w:color w:val="000000"/>
                <w:szCs w:val="22"/>
              </w:rPr>
            </w:pPr>
            <w:r w:rsidRPr="000E5524">
              <w:rPr>
                <w:rFonts w:cs="Calibri"/>
                <w:color w:val="000000"/>
                <w:szCs w:val="22"/>
              </w:rPr>
              <w:t>1</w:t>
            </w:r>
            <w:r>
              <w:rPr>
                <w:rFonts w:cs="Calibri"/>
                <w:color w:val="000000"/>
                <w:szCs w:val="22"/>
              </w:rPr>
              <w:t>2</w:t>
            </w:r>
            <w:r w:rsidRPr="000E5524">
              <w:rPr>
                <w:rFonts w:cs="Calibri"/>
                <w:color w:val="000000"/>
                <w:szCs w:val="22"/>
              </w:rPr>
              <w:t xml:space="preserve"> 000 Kč</w:t>
            </w:r>
          </w:p>
        </w:tc>
        <w:tc>
          <w:tcPr>
            <w:tcW w:w="1380" w:type="dxa"/>
            <w:tcBorders>
              <w:top w:val="nil"/>
              <w:left w:val="nil"/>
              <w:bottom w:val="single" w:sz="4" w:space="0" w:color="auto"/>
              <w:right w:val="single" w:sz="4" w:space="0" w:color="auto"/>
            </w:tcBorders>
            <w:shd w:val="clear" w:color="auto" w:fill="auto"/>
            <w:noWrap/>
            <w:hideMark/>
          </w:tcPr>
          <w:p w14:paraId="29E30C3B" w14:textId="77777777" w:rsidR="00265625" w:rsidRDefault="00265625" w:rsidP="00FF002F">
            <w:pPr>
              <w:jc w:val="right"/>
            </w:pPr>
            <w:r w:rsidRPr="006D29AC">
              <w:rPr>
                <w:rFonts w:cs="Calibri"/>
                <w:color w:val="000000"/>
                <w:szCs w:val="22"/>
              </w:rPr>
              <w:t>500 Kč</w:t>
            </w:r>
          </w:p>
        </w:tc>
        <w:tc>
          <w:tcPr>
            <w:tcW w:w="1460" w:type="dxa"/>
            <w:tcBorders>
              <w:top w:val="nil"/>
              <w:left w:val="nil"/>
              <w:bottom w:val="single" w:sz="4" w:space="0" w:color="auto"/>
              <w:right w:val="single" w:sz="8" w:space="0" w:color="auto"/>
            </w:tcBorders>
            <w:shd w:val="clear" w:color="auto" w:fill="auto"/>
            <w:noWrap/>
            <w:vAlign w:val="bottom"/>
            <w:hideMark/>
          </w:tcPr>
          <w:p w14:paraId="57210B86" w14:textId="5F9E3411" w:rsidR="00265625" w:rsidRPr="000E5524" w:rsidRDefault="00265625" w:rsidP="00FF002F">
            <w:pPr>
              <w:jc w:val="right"/>
              <w:rPr>
                <w:rFonts w:cs="Calibri"/>
                <w:b/>
                <w:bCs/>
                <w:color w:val="000000"/>
                <w:szCs w:val="22"/>
              </w:rPr>
            </w:pPr>
            <w:r w:rsidRPr="000E5524">
              <w:rPr>
                <w:rFonts w:cs="Calibri"/>
                <w:b/>
                <w:bCs/>
                <w:color w:val="000000"/>
                <w:szCs w:val="22"/>
              </w:rPr>
              <w:t>1</w:t>
            </w:r>
            <w:r>
              <w:rPr>
                <w:rFonts w:cs="Calibri"/>
                <w:b/>
                <w:bCs/>
                <w:color w:val="000000"/>
                <w:szCs w:val="22"/>
              </w:rPr>
              <w:t>2</w:t>
            </w:r>
            <w:r w:rsidRPr="000E5524">
              <w:rPr>
                <w:rFonts w:cs="Calibri"/>
                <w:b/>
                <w:bCs/>
                <w:color w:val="000000"/>
                <w:szCs w:val="22"/>
              </w:rPr>
              <w:t xml:space="preserve"> </w:t>
            </w:r>
            <w:r>
              <w:rPr>
                <w:rFonts w:cs="Calibri"/>
                <w:b/>
                <w:bCs/>
                <w:color w:val="000000"/>
                <w:szCs w:val="22"/>
              </w:rPr>
              <w:t>50</w:t>
            </w:r>
            <w:r w:rsidRPr="000E5524">
              <w:rPr>
                <w:rFonts w:cs="Calibri"/>
                <w:b/>
                <w:bCs/>
                <w:color w:val="000000"/>
                <w:szCs w:val="22"/>
              </w:rPr>
              <w:t>0 Kč</w:t>
            </w:r>
          </w:p>
        </w:tc>
      </w:tr>
      <w:tr w:rsidR="00265625" w:rsidRPr="000E5524" w14:paraId="5A54244E" w14:textId="77777777" w:rsidTr="00265625">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5E8E3117" w14:textId="77777777" w:rsidR="00265625" w:rsidRPr="000E5524" w:rsidRDefault="00265625" w:rsidP="00FF002F">
            <w:pPr>
              <w:rPr>
                <w:rFonts w:cs="Calibri"/>
                <w:color w:val="000000"/>
                <w:szCs w:val="22"/>
              </w:rPr>
            </w:pPr>
            <w:r w:rsidRPr="000E5524">
              <w:rPr>
                <w:rFonts w:cs="Calibri"/>
                <w:color w:val="000000"/>
                <w:szCs w:val="22"/>
              </w:rPr>
              <w:t>Září</w:t>
            </w:r>
          </w:p>
        </w:tc>
        <w:tc>
          <w:tcPr>
            <w:tcW w:w="1380" w:type="dxa"/>
            <w:tcBorders>
              <w:top w:val="nil"/>
              <w:left w:val="nil"/>
              <w:bottom w:val="single" w:sz="4" w:space="0" w:color="auto"/>
              <w:right w:val="single" w:sz="4" w:space="0" w:color="auto"/>
            </w:tcBorders>
            <w:shd w:val="clear" w:color="auto" w:fill="auto"/>
            <w:noWrap/>
            <w:vAlign w:val="bottom"/>
            <w:hideMark/>
          </w:tcPr>
          <w:p w14:paraId="0FFE1C32" w14:textId="7C1B2F24" w:rsidR="00265625" w:rsidRPr="000E5524" w:rsidRDefault="00265625" w:rsidP="00FF002F">
            <w:pPr>
              <w:jc w:val="right"/>
              <w:rPr>
                <w:rFonts w:cs="Calibri"/>
                <w:color w:val="000000"/>
                <w:szCs w:val="22"/>
              </w:rPr>
            </w:pPr>
            <w:r w:rsidRPr="000E5524">
              <w:rPr>
                <w:rFonts w:cs="Calibri"/>
                <w:color w:val="000000"/>
                <w:szCs w:val="22"/>
              </w:rPr>
              <w:t xml:space="preserve">9 </w:t>
            </w:r>
            <w:r>
              <w:rPr>
                <w:rFonts w:cs="Calibri"/>
                <w:color w:val="000000"/>
                <w:szCs w:val="22"/>
              </w:rPr>
              <w:t>5</w:t>
            </w:r>
            <w:r w:rsidRPr="000E5524">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hideMark/>
          </w:tcPr>
          <w:p w14:paraId="228C5FAA" w14:textId="77777777" w:rsidR="00265625" w:rsidRDefault="00265625" w:rsidP="00FF002F">
            <w:pPr>
              <w:jc w:val="right"/>
            </w:pPr>
            <w:r w:rsidRPr="006D29AC">
              <w:rPr>
                <w:rFonts w:cs="Calibri"/>
                <w:color w:val="000000"/>
                <w:szCs w:val="22"/>
              </w:rPr>
              <w:t>500 Kč</w:t>
            </w:r>
          </w:p>
        </w:tc>
        <w:tc>
          <w:tcPr>
            <w:tcW w:w="1460" w:type="dxa"/>
            <w:tcBorders>
              <w:top w:val="nil"/>
              <w:left w:val="nil"/>
              <w:bottom w:val="single" w:sz="4" w:space="0" w:color="auto"/>
              <w:right w:val="single" w:sz="8" w:space="0" w:color="auto"/>
            </w:tcBorders>
            <w:shd w:val="clear" w:color="auto" w:fill="auto"/>
            <w:noWrap/>
            <w:vAlign w:val="bottom"/>
            <w:hideMark/>
          </w:tcPr>
          <w:p w14:paraId="6810748D" w14:textId="77777777" w:rsidR="00265625" w:rsidRPr="000E5524" w:rsidRDefault="00265625" w:rsidP="00FF002F">
            <w:pPr>
              <w:jc w:val="right"/>
              <w:rPr>
                <w:rFonts w:cs="Calibri"/>
                <w:b/>
                <w:bCs/>
                <w:color w:val="000000"/>
                <w:szCs w:val="22"/>
              </w:rPr>
            </w:pPr>
            <w:r>
              <w:rPr>
                <w:rFonts w:cs="Calibri"/>
                <w:b/>
                <w:bCs/>
                <w:color w:val="000000"/>
                <w:szCs w:val="22"/>
              </w:rPr>
              <w:t>10</w:t>
            </w:r>
            <w:r w:rsidRPr="000E5524">
              <w:rPr>
                <w:rFonts w:cs="Calibri"/>
                <w:b/>
                <w:bCs/>
                <w:color w:val="000000"/>
                <w:szCs w:val="22"/>
              </w:rPr>
              <w:t xml:space="preserve"> </w:t>
            </w:r>
            <w:r>
              <w:rPr>
                <w:rFonts w:cs="Calibri"/>
                <w:b/>
                <w:bCs/>
                <w:color w:val="000000"/>
                <w:szCs w:val="22"/>
              </w:rPr>
              <w:t>0</w:t>
            </w:r>
            <w:r w:rsidRPr="000E5524">
              <w:rPr>
                <w:rFonts w:cs="Calibri"/>
                <w:b/>
                <w:bCs/>
                <w:color w:val="000000"/>
                <w:szCs w:val="22"/>
              </w:rPr>
              <w:t>00 Kč</w:t>
            </w:r>
          </w:p>
        </w:tc>
      </w:tr>
      <w:tr w:rsidR="00265625" w:rsidRPr="000E5524" w14:paraId="0E83EF68" w14:textId="77777777" w:rsidTr="00265625">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6901B16E" w14:textId="77777777" w:rsidR="00265625" w:rsidRPr="000E5524" w:rsidRDefault="00265625" w:rsidP="00FF002F">
            <w:pPr>
              <w:rPr>
                <w:rFonts w:cs="Calibri"/>
                <w:color w:val="000000"/>
                <w:szCs w:val="22"/>
              </w:rPr>
            </w:pPr>
            <w:r w:rsidRPr="000E5524">
              <w:rPr>
                <w:rFonts w:cs="Calibri"/>
                <w:color w:val="000000"/>
                <w:szCs w:val="22"/>
              </w:rPr>
              <w:t>Říjen</w:t>
            </w:r>
          </w:p>
        </w:tc>
        <w:tc>
          <w:tcPr>
            <w:tcW w:w="1380" w:type="dxa"/>
            <w:tcBorders>
              <w:top w:val="nil"/>
              <w:left w:val="nil"/>
              <w:bottom w:val="single" w:sz="4" w:space="0" w:color="auto"/>
              <w:right w:val="single" w:sz="4" w:space="0" w:color="auto"/>
            </w:tcBorders>
            <w:shd w:val="clear" w:color="auto" w:fill="auto"/>
            <w:noWrap/>
            <w:vAlign w:val="bottom"/>
            <w:hideMark/>
          </w:tcPr>
          <w:p w14:paraId="0100B4C9" w14:textId="13BF2BA0" w:rsidR="00265625" w:rsidRPr="000E5524" w:rsidRDefault="00265625" w:rsidP="00FF002F">
            <w:pPr>
              <w:jc w:val="right"/>
              <w:rPr>
                <w:rFonts w:cs="Calibri"/>
                <w:color w:val="000000"/>
                <w:szCs w:val="22"/>
              </w:rPr>
            </w:pPr>
            <w:r w:rsidRPr="000E5524">
              <w:rPr>
                <w:rFonts w:cs="Calibri"/>
                <w:color w:val="000000"/>
                <w:szCs w:val="22"/>
              </w:rPr>
              <w:t xml:space="preserve">8 </w:t>
            </w:r>
            <w:r>
              <w:rPr>
                <w:rFonts w:cs="Calibri"/>
                <w:color w:val="000000"/>
                <w:szCs w:val="22"/>
              </w:rPr>
              <w:t>30</w:t>
            </w:r>
            <w:r w:rsidRPr="000E5524">
              <w:rPr>
                <w:rFonts w:cs="Calibri"/>
                <w:color w:val="000000"/>
                <w:szCs w:val="22"/>
              </w:rPr>
              <w:t>0 Kč</w:t>
            </w:r>
          </w:p>
        </w:tc>
        <w:tc>
          <w:tcPr>
            <w:tcW w:w="1380" w:type="dxa"/>
            <w:tcBorders>
              <w:top w:val="nil"/>
              <w:left w:val="nil"/>
              <w:bottom w:val="single" w:sz="4" w:space="0" w:color="auto"/>
              <w:right w:val="single" w:sz="4" w:space="0" w:color="auto"/>
            </w:tcBorders>
            <w:shd w:val="clear" w:color="auto" w:fill="auto"/>
            <w:noWrap/>
            <w:hideMark/>
          </w:tcPr>
          <w:p w14:paraId="1324451C" w14:textId="77777777" w:rsidR="00265625" w:rsidRDefault="00265625" w:rsidP="00FF002F">
            <w:pPr>
              <w:jc w:val="right"/>
            </w:pPr>
            <w:r w:rsidRPr="006D29AC">
              <w:rPr>
                <w:rFonts w:cs="Calibri"/>
                <w:color w:val="000000"/>
                <w:szCs w:val="22"/>
              </w:rPr>
              <w:t>500 Kč</w:t>
            </w:r>
          </w:p>
        </w:tc>
        <w:tc>
          <w:tcPr>
            <w:tcW w:w="1460" w:type="dxa"/>
            <w:tcBorders>
              <w:top w:val="nil"/>
              <w:left w:val="nil"/>
              <w:bottom w:val="single" w:sz="4" w:space="0" w:color="auto"/>
              <w:right w:val="single" w:sz="8" w:space="0" w:color="auto"/>
            </w:tcBorders>
            <w:shd w:val="clear" w:color="auto" w:fill="auto"/>
            <w:noWrap/>
            <w:vAlign w:val="bottom"/>
            <w:hideMark/>
          </w:tcPr>
          <w:p w14:paraId="75EFE07C" w14:textId="2C8B6C73" w:rsidR="00265625" w:rsidRPr="000E5524" w:rsidRDefault="00265625" w:rsidP="00FF002F">
            <w:pPr>
              <w:jc w:val="right"/>
              <w:rPr>
                <w:rFonts w:cs="Calibri"/>
                <w:b/>
                <w:bCs/>
                <w:color w:val="000000"/>
                <w:szCs w:val="22"/>
              </w:rPr>
            </w:pPr>
            <w:r>
              <w:rPr>
                <w:rFonts w:cs="Calibri"/>
                <w:b/>
                <w:bCs/>
                <w:color w:val="000000"/>
                <w:szCs w:val="22"/>
              </w:rPr>
              <w:t>8 800</w:t>
            </w:r>
            <w:r w:rsidRPr="000E5524">
              <w:rPr>
                <w:rFonts w:cs="Calibri"/>
                <w:b/>
                <w:bCs/>
                <w:color w:val="000000"/>
                <w:szCs w:val="22"/>
              </w:rPr>
              <w:t xml:space="preserve"> Kč</w:t>
            </w:r>
          </w:p>
        </w:tc>
      </w:tr>
      <w:tr w:rsidR="00265625" w:rsidRPr="000E5524" w14:paraId="47F7AA5E" w14:textId="77777777" w:rsidTr="00265625">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76843415" w14:textId="77777777" w:rsidR="00265625" w:rsidRPr="000E5524" w:rsidRDefault="00265625" w:rsidP="00FF002F">
            <w:pPr>
              <w:rPr>
                <w:rFonts w:cs="Calibri"/>
                <w:color w:val="000000"/>
                <w:szCs w:val="22"/>
              </w:rPr>
            </w:pPr>
            <w:proofErr w:type="gramStart"/>
            <w:r w:rsidRPr="000E5524">
              <w:rPr>
                <w:rFonts w:cs="Calibri"/>
                <w:color w:val="000000"/>
                <w:szCs w:val="22"/>
              </w:rPr>
              <w:t>Listopad</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14:paraId="48CEF886" w14:textId="25803924" w:rsidR="00265625" w:rsidRPr="000E5524" w:rsidRDefault="00265625" w:rsidP="00FF002F">
            <w:pPr>
              <w:jc w:val="right"/>
              <w:rPr>
                <w:rFonts w:cs="Calibri"/>
                <w:color w:val="000000"/>
                <w:szCs w:val="22"/>
              </w:rPr>
            </w:pPr>
            <w:r w:rsidRPr="000E5524">
              <w:rPr>
                <w:rFonts w:cs="Calibri"/>
                <w:color w:val="000000"/>
                <w:szCs w:val="22"/>
              </w:rPr>
              <w:t xml:space="preserve">4 </w:t>
            </w:r>
            <w:r>
              <w:rPr>
                <w:rFonts w:cs="Calibri"/>
                <w:color w:val="000000"/>
                <w:szCs w:val="22"/>
              </w:rPr>
              <w:t>5</w:t>
            </w:r>
            <w:r w:rsidRPr="000E5524">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hideMark/>
          </w:tcPr>
          <w:p w14:paraId="4720FFED" w14:textId="77777777" w:rsidR="00265625" w:rsidRDefault="00265625" w:rsidP="00FF002F">
            <w:pPr>
              <w:jc w:val="right"/>
            </w:pPr>
            <w:r w:rsidRPr="006D29AC">
              <w:rPr>
                <w:rFonts w:cs="Calibri"/>
                <w:color w:val="000000"/>
                <w:szCs w:val="22"/>
              </w:rPr>
              <w:t>500 Kč</w:t>
            </w:r>
          </w:p>
        </w:tc>
        <w:tc>
          <w:tcPr>
            <w:tcW w:w="1460" w:type="dxa"/>
            <w:tcBorders>
              <w:top w:val="nil"/>
              <w:left w:val="nil"/>
              <w:bottom w:val="single" w:sz="4" w:space="0" w:color="auto"/>
              <w:right w:val="single" w:sz="8" w:space="0" w:color="auto"/>
            </w:tcBorders>
            <w:shd w:val="clear" w:color="auto" w:fill="auto"/>
            <w:noWrap/>
            <w:vAlign w:val="bottom"/>
            <w:hideMark/>
          </w:tcPr>
          <w:p w14:paraId="3FC01BCF" w14:textId="30C1B5BC" w:rsidR="00265625" w:rsidRPr="000E5524" w:rsidRDefault="00265625" w:rsidP="00FF002F">
            <w:pPr>
              <w:jc w:val="right"/>
              <w:rPr>
                <w:rFonts w:cs="Calibri"/>
                <w:b/>
                <w:bCs/>
                <w:color w:val="000000"/>
                <w:szCs w:val="22"/>
              </w:rPr>
            </w:pPr>
            <w:r>
              <w:rPr>
                <w:rFonts w:cs="Calibri"/>
                <w:b/>
                <w:bCs/>
                <w:color w:val="000000"/>
                <w:szCs w:val="22"/>
              </w:rPr>
              <w:t>5 000</w:t>
            </w:r>
            <w:r w:rsidRPr="000E5524">
              <w:rPr>
                <w:rFonts w:cs="Calibri"/>
                <w:b/>
                <w:bCs/>
                <w:color w:val="000000"/>
                <w:szCs w:val="22"/>
              </w:rPr>
              <w:t xml:space="preserve"> Kč</w:t>
            </w:r>
          </w:p>
        </w:tc>
      </w:tr>
      <w:tr w:rsidR="00265625" w:rsidRPr="000E5524" w14:paraId="77FDA422" w14:textId="77777777" w:rsidTr="00265625">
        <w:trPr>
          <w:trHeight w:val="315"/>
        </w:trPr>
        <w:tc>
          <w:tcPr>
            <w:tcW w:w="1380" w:type="dxa"/>
            <w:tcBorders>
              <w:top w:val="nil"/>
              <w:left w:val="single" w:sz="8" w:space="0" w:color="auto"/>
              <w:bottom w:val="nil"/>
              <w:right w:val="single" w:sz="4" w:space="0" w:color="auto"/>
            </w:tcBorders>
            <w:shd w:val="clear" w:color="auto" w:fill="auto"/>
            <w:noWrap/>
            <w:vAlign w:val="bottom"/>
            <w:hideMark/>
          </w:tcPr>
          <w:p w14:paraId="034FBC08" w14:textId="77777777" w:rsidR="00265625" w:rsidRPr="000E5524" w:rsidRDefault="00265625" w:rsidP="00FF002F">
            <w:pPr>
              <w:rPr>
                <w:rFonts w:cs="Calibri"/>
                <w:color w:val="000000"/>
                <w:szCs w:val="22"/>
              </w:rPr>
            </w:pPr>
            <w:r w:rsidRPr="000E5524">
              <w:rPr>
                <w:rFonts w:cs="Calibri"/>
                <w:color w:val="000000"/>
                <w:szCs w:val="22"/>
              </w:rPr>
              <w:t>Prosinec</w:t>
            </w:r>
          </w:p>
        </w:tc>
        <w:tc>
          <w:tcPr>
            <w:tcW w:w="1380" w:type="dxa"/>
            <w:tcBorders>
              <w:top w:val="nil"/>
              <w:left w:val="nil"/>
              <w:bottom w:val="nil"/>
              <w:right w:val="single" w:sz="4" w:space="0" w:color="auto"/>
            </w:tcBorders>
            <w:shd w:val="clear" w:color="auto" w:fill="auto"/>
            <w:noWrap/>
            <w:vAlign w:val="bottom"/>
            <w:hideMark/>
          </w:tcPr>
          <w:p w14:paraId="24ED3741" w14:textId="45201A13" w:rsidR="00265625" w:rsidRPr="000E5524" w:rsidRDefault="00265625" w:rsidP="00FF002F">
            <w:pPr>
              <w:jc w:val="right"/>
              <w:rPr>
                <w:rFonts w:cs="Calibri"/>
                <w:color w:val="000000"/>
                <w:szCs w:val="22"/>
              </w:rPr>
            </w:pPr>
            <w:r w:rsidRPr="000E5524">
              <w:rPr>
                <w:rFonts w:cs="Calibri"/>
                <w:color w:val="000000"/>
                <w:szCs w:val="22"/>
              </w:rPr>
              <w:t>4 3</w:t>
            </w:r>
            <w:r>
              <w:rPr>
                <w:rFonts w:cs="Calibri"/>
                <w:color w:val="000000"/>
                <w:szCs w:val="22"/>
              </w:rPr>
              <w:t>5</w:t>
            </w:r>
            <w:r w:rsidRPr="000E5524">
              <w:rPr>
                <w:rFonts w:cs="Calibri"/>
                <w:color w:val="000000"/>
                <w:szCs w:val="22"/>
              </w:rPr>
              <w:t>0 Kč</w:t>
            </w:r>
          </w:p>
        </w:tc>
        <w:tc>
          <w:tcPr>
            <w:tcW w:w="1380" w:type="dxa"/>
            <w:tcBorders>
              <w:top w:val="nil"/>
              <w:left w:val="nil"/>
              <w:bottom w:val="nil"/>
              <w:right w:val="single" w:sz="4" w:space="0" w:color="auto"/>
            </w:tcBorders>
            <w:shd w:val="clear" w:color="auto" w:fill="auto"/>
            <w:noWrap/>
            <w:hideMark/>
          </w:tcPr>
          <w:p w14:paraId="3B6D82DF" w14:textId="77777777" w:rsidR="00265625" w:rsidRDefault="00265625" w:rsidP="00FF002F">
            <w:pPr>
              <w:jc w:val="right"/>
            </w:pPr>
            <w:r w:rsidRPr="006D29AC">
              <w:rPr>
                <w:rFonts w:cs="Calibri"/>
                <w:color w:val="000000"/>
                <w:szCs w:val="22"/>
              </w:rPr>
              <w:t>500 Kč</w:t>
            </w:r>
          </w:p>
        </w:tc>
        <w:tc>
          <w:tcPr>
            <w:tcW w:w="1460" w:type="dxa"/>
            <w:tcBorders>
              <w:top w:val="nil"/>
              <w:left w:val="nil"/>
              <w:bottom w:val="nil"/>
              <w:right w:val="single" w:sz="8" w:space="0" w:color="auto"/>
            </w:tcBorders>
            <w:shd w:val="clear" w:color="auto" w:fill="auto"/>
            <w:noWrap/>
            <w:vAlign w:val="bottom"/>
            <w:hideMark/>
          </w:tcPr>
          <w:p w14:paraId="350ABCE6" w14:textId="60B1EB39" w:rsidR="00265625" w:rsidRPr="000E5524" w:rsidRDefault="00265625" w:rsidP="00FF002F">
            <w:pPr>
              <w:jc w:val="right"/>
              <w:rPr>
                <w:rFonts w:cs="Calibri"/>
                <w:b/>
                <w:bCs/>
                <w:color w:val="000000"/>
                <w:szCs w:val="22"/>
              </w:rPr>
            </w:pPr>
            <w:r>
              <w:rPr>
                <w:rFonts w:cs="Calibri"/>
                <w:b/>
                <w:bCs/>
                <w:color w:val="000000"/>
                <w:szCs w:val="22"/>
              </w:rPr>
              <w:t>4 850</w:t>
            </w:r>
            <w:r w:rsidRPr="000E5524">
              <w:rPr>
                <w:rFonts w:cs="Calibri"/>
                <w:b/>
                <w:bCs/>
                <w:color w:val="000000"/>
                <w:szCs w:val="22"/>
              </w:rPr>
              <w:t xml:space="preserve"> Kč</w:t>
            </w:r>
          </w:p>
        </w:tc>
      </w:tr>
      <w:tr w:rsidR="00265625" w:rsidRPr="00265625" w14:paraId="75ABC1B0" w14:textId="77777777" w:rsidTr="00265625">
        <w:trPr>
          <w:trHeight w:val="315"/>
        </w:trPr>
        <w:tc>
          <w:tcPr>
            <w:tcW w:w="13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88EB1B9" w14:textId="77777777" w:rsidR="00265625" w:rsidRPr="00265625" w:rsidRDefault="00265625" w:rsidP="00FF002F">
            <w:pPr>
              <w:rPr>
                <w:rFonts w:cs="Calibri"/>
                <w:b/>
                <w:bCs/>
                <w:color w:val="000000"/>
                <w:szCs w:val="22"/>
              </w:rPr>
            </w:pPr>
            <w:r w:rsidRPr="00265625">
              <w:rPr>
                <w:rFonts w:cs="Calibri"/>
                <w:b/>
                <w:bCs/>
                <w:color w:val="000000"/>
                <w:szCs w:val="22"/>
              </w:rPr>
              <w:t>Celkem</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14:paraId="7544EC55" w14:textId="0EBC4C0D" w:rsidR="00265625" w:rsidRPr="00265625" w:rsidRDefault="00265625" w:rsidP="00FF002F">
            <w:pPr>
              <w:jc w:val="right"/>
              <w:rPr>
                <w:rFonts w:cs="Calibri"/>
                <w:b/>
                <w:bCs/>
                <w:color w:val="000000"/>
                <w:szCs w:val="22"/>
              </w:rPr>
            </w:pPr>
            <w:r w:rsidRPr="00265625">
              <w:rPr>
                <w:rFonts w:cs="Calibri"/>
                <w:b/>
                <w:bCs/>
                <w:color w:val="000000"/>
                <w:szCs w:val="22"/>
              </w:rPr>
              <w:t>86 850 Kč</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14:paraId="702B68D2" w14:textId="77777777" w:rsidR="00265625" w:rsidRPr="00265625" w:rsidRDefault="00265625" w:rsidP="00FF002F">
            <w:pPr>
              <w:jc w:val="right"/>
              <w:rPr>
                <w:rFonts w:cs="Calibri"/>
                <w:b/>
                <w:bCs/>
                <w:color w:val="000000"/>
                <w:szCs w:val="22"/>
              </w:rPr>
            </w:pPr>
            <w:r w:rsidRPr="00265625">
              <w:rPr>
                <w:rFonts w:cs="Calibri"/>
                <w:b/>
                <w:bCs/>
                <w:color w:val="000000"/>
                <w:szCs w:val="22"/>
              </w:rPr>
              <w:t>6 000 Kč</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14:paraId="2D321711" w14:textId="35A57E4A" w:rsidR="00265625" w:rsidRPr="00265625" w:rsidRDefault="00265625" w:rsidP="00FF002F">
            <w:pPr>
              <w:jc w:val="right"/>
              <w:rPr>
                <w:rFonts w:cs="Calibri"/>
                <w:b/>
                <w:bCs/>
                <w:color w:val="000000"/>
                <w:szCs w:val="22"/>
              </w:rPr>
            </w:pPr>
            <w:r w:rsidRPr="00265625">
              <w:rPr>
                <w:rFonts w:cs="Calibri"/>
                <w:b/>
                <w:bCs/>
                <w:color w:val="000000"/>
                <w:szCs w:val="22"/>
              </w:rPr>
              <w:t>92 850 Kč</w:t>
            </w:r>
          </w:p>
        </w:tc>
      </w:tr>
    </w:tbl>
    <w:p w14:paraId="5E6D8CCF" w14:textId="77777777" w:rsidR="00A44EA6" w:rsidRDefault="00A44EA6" w:rsidP="00A44EA6">
      <w:pPr>
        <w:widowControl w:val="0"/>
        <w:pBdr>
          <w:top w:val="nil"/>
          <w:left w:val="nil"/>
          <w:bottom w:val="nil"/>
          <w:right w:val="nil"/>
          <w:between w:val="nil"/>
        </w:pBdr>
        <w:spacing w:after="60"/>
        <w:ind w:left="425"/>
        <w:jc w:val="both"/>
        <w:rPr>
          <w:rFonts w:ascii="Calibri" w:eastAsia="Calibri" w:hAnsi="Calibri" w:cs="Calibri"/>
          <w:color w:val="000000"/>
          <w:sz w:val="22"/>
          <w:szCs w:val="22"/>
        </w:rPr>
      </w:pPr>
    </w:p>
    <w:p w14:paraId="34BED76F" w14:textId="7876BDC6" w:rsidR="00B1452C"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265625">
        <w:rPr>
          <w:rFonts w:ascii="Calibri" w:eastAsia="Calibri" w:hAnsi="Calibri" w:cs="Calibri"/>
          <w:color w:val="000000"/>
          <w:sz w:val="22"/>
          <w:szCs w:val="22"/>
        </w:rPr>
        <w:t xml:space="preserve">Nájemné je splatné na základě daňového dokladu-faktury vystavené pronajímatelem vždy k prvnímu dni příslušného měsíce se splatností 21 dnů ode dne vystavení. Faktura může být vyhotovena v elektronické podobě a zaslána elektronicky.  </w:t>
      </w:r>
    </w:p>
    <w:p w14:paraId="0F52F97A" w14:textId="3BBE401F" w:rsidR="00344D17" w:rsidRPr="00344D17" w:rsidRDefault="00344D17" w:rsidP="00344D17">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344D17">
        <w:rPr>
          <w:rFonts w:ascii="Calibri" w:eastAsia="Calibri" w:hAnsi="Calibri" w:cs="Calibri"/>
          <w:color w:val="000000"/>
          <w:sz w:val="22"/>
          <w:szCs w:val="22"/>
        </w:rPr>
        <w:t>Pronajímatel je dle svého uvážení a aktuální situace na trhu oprávněn nájemné a paušální částky za el. energii počínaje rokem 2026 valorizovat vždy k 1. 1. každého roku Harmonizovaným indexem spotřebitelských cen (HICP) vyhlášeným Českým statistickým úřadem (či obdobným úřadem oprávněným k vyhlašování zmíněného indexu) za uplynulý kalendářní rok. Toto zvýšení nájemného a paušální částky za el. energii je pronajímatel povinen nájemci písemně oznámit do 31. března příslušného roku. Nepřesáhne-li na základě této inflační doložky roční zvýšení nájemného a paušální částky za el. energii částku 200,- Kč, zvýšení nájemného a paušální částky za el. energii se neuplatní. Nezaplacené nájemné a paušální částky za el. energii z důvodu zvýšení za příslušné měsíce je splatné spolu s nejbližším nájemným následujícím po doručení písemného oznámení pronajímatele v každém takovém roce. V případě záporné inflace se výše nájemného a paušální částky za el. energii pro daný rok neupravuje. Výsledná výše nájemného a paušální částky za el. energii se vždy zaokrouhlí na desetikoruny směrem nahoru</w:t>
      </w:r>
      <w:r w:rsidRPr="00344D17">
        <w:rPr>
          <w:rFonts w:ascii="Calibri" w:eastAsia="Calibri" w:hAnsi="Calibri" w:cs="Calibri"/>
          <w:i/>
          <w:color w:val="000000"/>
          <w:sz w:val="22"/>
          <w:szCs w:val="22"/>
        </w:rPr>
        <w:t>.</w:t>
      </w:r>
      <w:r w:rsidRPr="00344D17">
        <w:rPr>
          <w:rFonts w:ascii="Calibri" w:eastAsia="Calibri" w:hAnsi="Calibri" w:cs="Calibri"/>
          <w:color w:val="000000"/>
          <w:sz w:val="22"/>
          <w:szCs w:val="22"/>
        </w:rPr>
        <w:t xml:space="preserve"> Zvýšení nájemného a paušální částky za el. energii pronajímatel nájemci oznámí bez nutnosti uzavírat dodatek k této smlouvě, strany spolu mohou uzavřít dodatek s deklaratorními účinky.</w:t>
      </w:r>
    </w:p>
    <w:p w14:paraId="0B6FC732" w14:textId="18880C30" w:rsidR="00B1452C" w:rsidRPr="00265625"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265625">
        <w:rPr>
          <w:rFonts w:ascii="Calibri" w:eastAsia="Calibri" w:hAnsi="Calibri" w:cs="Calibri"/>
          <w:color w:val="000000"/>
          <w:sz w:val="22"/>
          <w:szCs w:val="22"/>
        </w:rPr>
        <w:lastRenderedPageBreak/>
        <w:t xml:space="preserve">Nájemné se považuje za uhrazené dnem připsání částky nájemného na účet pronajímatele. V případě prodlení s platbami nájemného či služeb je nájemce povinen uhradit smluvní pokutu ve výši </w:t>
      </w:r>
      <w:r w:rsidR="004150FE" w:rsidRPr="00265625">
        <w:rPr>
          <w:rFonts w:ascii="Calibri" w:eastAsia="Calibri" w:hAnsi="Calibri" w:cs="Calibri"/>
          <w:color w:val="000000"/>
          <w:sz w:val="22"/>
          <w:szCs w:val="22"/>
        </w:rPr>
        <w:t>0,25</w:t>
      </w:r>
      <w:r w:rsidRPr="00265625">
        <w:rPr>
          <w:rFonts w:ascii="Calibri" w:eastAsia="Calibri" w:hAnsi="Calibri" w:cs="Calibri"/>
          <w:color w:val="000000"/>
          <w:sz w:val="22"/>
          <w:szCs w:val="22"/>
        </w:rPr>
        <w:t xml:space="preserve"> % z dlužné částky včetně DPH za každý započatý den prodlení. </w:t>
      </w:r>
    </w:p>
    <w:p w14:paraId="5A396FC0"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ukončení nájmu je nájemce povinen hradit nájemné až do okamžiku vyklizení a předání předmětu nájmu pronajímateli.</w:t>
      </w:r>
    </w:p>
    <w:p w14:paraId="6881077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9095872" w14:textId="77777777" w:rsidR="00B1452C" w:rsidRPr="00265625" w:rsidRDefault="0082023E">
      <w:pPr>
        <w:keepNext/>
        <w:keepLines/>
        <w:widowControl w:val="0"/>
        <w:numPr>
          <w:ilvl w:val="0"/>
          <w:numId w:val="12"/>
        </w:numPr>
        <w:pBdr>
          <w:top w:val="nil"/>
          <w:left w:val="nil"/>
          <w:bottom w:val="nil"/>
          <w:right w:val="nil"/>
          <w:between w:val="nil"/>
        </w:pBdr>
        <w:ind w:left="652"/>
        <w:jc w:val="center"/>
        <w:rPr>
          <w:rFonts w:asciiTheme="majorHAnsi" w:eastAsia="Calibri" w:hAnsiTheme="majorHAnsi" w:cstheme="majorHAnsi"/>
          <w:b/>
          <w:color w:val="000000"/>
          <w:sz w:val="22"/>
          <w:szCs w:val="22"/>
        </w:rPr>
      </w:pPr>
      <w:r>
        <w:rPr>
          <w:rFonts w:ascii="Calibri" w:eastAsia="Calibri" w:hAnsi="Calibri" w:cs="Calibri"/>
          <w:b/>
          <w:color w:val="000000"/>
          <w:sz w:val="22"/>
          <w:szCs w:val="22"/>
        </w:rPr>
        <w:br/>
      </w:r>
      <w:r w:rsidRPr="00265625">
        <w:rPr>
          <w:rFonts w:asciiTheme="majorHAnsi" w:eastAsia="Calibri" w:hAnsiTheme="majorHAnsi" w:cstheme="majorHAnsi"/>
          <w:b/>
          <w:color w:val="000000"/>
          <w:sz w:val="22"/>
          <w:szCs w:val="22"/>
        </w:rPr>
        <w:t xml:space="preserve">Služby související s nájemním vztahem, jejich cena a splatnost </w:t>
      </w:r>
    </w:p>
    <w:p w14:paraId="3692E7EE" w14:textId="77777777" w:rsidR="00B1452C" w:rsidRPr="00265625" w:rsidRDefault="0082023E">
      <w:pPr>
        <w:numPr>
          <w:ilvl w:val="1"/>
          <w:numId w:val="12"/>
        </w:numPr>
        <w:pBdr>
          <w:top w:val="nil"/>
          <w:left w:val="nil"/>
          <w:bottom w:val="nil"/>
          <w:right w:val="nil"/>
          <w:between w:val="nil"/>
        </w:pBdr>
        <w:spacing w:after="60"/>
        <w:jc w:val="both"/>
        <w:rPr>
          <w:rFonts w:asciiTheme="majorHAnsi" w:eastAsia="Calibri" w:hAnsiTheme="majorHAnsi" w:cstheme="majorHAnsi"/>
          <w:color w:val="000000"/>
          <w:sz w:val="22"/>
          <w:szCs w:val="22"/>
        </w:rPr>
      </w:pPr>
      <w:r w:rsidRPr="00265625">
        <w:rPr>
          <w:rFonts w:asciiTheme="majorHAnsi" w:eastAsia="Calibri" w:hAnsiTheme="majorHAnsi" w:cstheme="majorHAnsi"/>
          <w:color w:val="000000"/>
          <w:sz w:val="22"/>
          <w:szCs w:val="22"/>
        </w:rPr>
        <w:t>V souvislosti s nájmem poskytuje pronajímatel nájemci tyto služby:</w:t>
      </w:r>
    </w:p>
    <w:p w14:paraId="3CD8591F" w14:textId="77777777" w:rsidR="00B1452C" w:rsidRPr="00265625" w:rsidRDefault="0082023E">
      <w:pPr>
        <w:pBdr>
          <w:top w:val="nil"/>
          <w:left w:val="nil"/>
          <w:bottom w:val="nil"/>
          <w:right w:val="nil"/>
          <w:between w:val="nil"/>
        </w:pBdr>
        <w:ind w:firstLine="708"/>
        <w:rPr>
          <w:rFonts w:asciiTheme="majorHAnsi" w:eastAsia="Calibri" w:hAnsiTheme="majorHAnsi" w:cstheme="majorHAnsi"/>
          <w:color w:val="000000"/>
          <w:sz w:val="22"/>
          <w:szCs w:val="22"/>
        </w:rPr>
      </w:pPr>
      <w:r w:rsidRPr="00265625">
        <w:rPr>
          <w:rFonts w:asciiTheme="majorHAnsi" w:eastAsia="Calibri" w:hAnsiTheme="majorHAnsi" w:cstheme="majorHAnsi"/>
          <w:color w:val="000000"/>
          <w:sz w:val="22"/>
          <w:szCs w:val="22"/>
        </w:rPr>
        <w:t>- el. energie,</w:t>
      </w:r>
    </w:p>
    <w:p w14:paraId="2595D416" w14:textId="77777777" w:rsidR="00B1452C" w:rsidRPr="00265625" w:rsidRDefault="0082023E">
      <w:pPr>
        <w:numPr>
          <w:ilvl w:val="1"/>
          <w:numId w:val="12"/>
        </w:numPr>
        <w:pBdr>
          <w:top w:val="nil"/>
          <w:left w:val="nil"/>
          <w:bottom w:val="nil"/>
          <w:right w:val="nil"/>
          <w:between w:val="nil"/>
        </w:pBdr>
        <w:spacing w:after="60"/>
        <w:jc w:val="both"/>
        <w:rPr>
          <w:rFonts w:asciiTheme="majorHAnsi" w:eastAsia="Calibri" w:hAnsiTheme="majorHAnsi" w:cstheme="majorHAnsi"/>
          <w:color w:val="000000"/>
          <w:sz w:val="22"/>
          <w:szCs w:val="22"/>
        </w:rPr>
      </w:pPr>
      <w:bookmarkStart w:id="2" w:name="3znysh7" w:colFirst="0" w:colLast="0"/>
      <w:bookmarkEnd w:id="2"/>
      <w:r w:rsidRPr="00265625">
        <w:rPr>
          <w:rFonts w:asciiTheme="majorHAnsi" w:eastAsia="Calibri" w:hAnsiTheme="majorHAnsi" w:cstheme="majorHAnsi"/>
          <w:color w:val="000000"/>
          <w:sz w:val="22"/>
          <w:szCs w:val="22"/>
        </w:rPr>
        <w:t>Způsob vyúčtování těchto služeb:</w:t>
      </w:r>
    </w:p>
    <w:p w14:paraId="7FF62256" w14:textId="5B3B9005" w:rsidR="00B1452C" w:rsidRPr="00265625" w:rsidRDefault="0082023E">
      <w:pPr>
        <w:pBdr>
          <w:top w:val="nil"/>
          <w:left w:val="nil"/>
          <w:bottom w:val="nil"/>
          <w:right w:val="nil"/>
          <w:between w:val="nil"/>
        </w:pBdr>
        <w:ind w:firstLine="708"/>
        <w:rPr>
          <w:rFonts w:asciiTheme="majorHAnsi" w:eastAsia="Calibri" w:hAnsiTheme="majorHAnsi" w:cstheme="majorHAnsi"/>
          <w:color w:val="000000"/>
          <w:sz w:val="22"/>
          <w:szCs w:val="22"/>
        </w:rPr>
      </w:pPr>
      <w:r w:rsidRPr="00265625">
        <w:rPr>
          <w:rFonts w:asciiTheme="majorHAnsi" w:eastAsia="Calibri" w:hAnsiTheme="majorHAnsi" w:cstheme="majorHAnsi"/>
          <w:color w:val="000000"/>
          <w:sz w:val="22"/>
          <w:szCs w:val="22"/>
        </w:rPr>
        <w:t xml:space="preserve">el. energie </w:t>
      </w:r>
      <w:r w:rsidR="00265625" w:rsidRPr="00265625">
        <w:rPr>
          <w:rFonts w:asciiTheme="majorHAnsi" w:eastAsia="Calibri" w:hAnsiTheme="majorHAnsi" w:cstheme="majorHAnsi"/>
          <w:color w:val="000000"/>
          <w:sz w:val="22"/>
          <w:szCs w:val="22"/>
        </w:rPr>
        <w:t>–</w:t>
      </w:r>
      <w:r w:rsidRPr="00265625">
        <w:rPr>
          <w:rFonts w:asciiTheme="majorHAnsi" w:eastAsia="Calibri" w:hAnsiTheme="majorHAnsi" w:cstheme="majorHAnsi"/>
          <w:color w:val="000000"/>
          <w:sz w:val="22"/>
          <w:szCs w:val="22"/>
        </w:rPr>
        <w:t xml:space="preserve"> paušál</w:t>
      </w:r>
      <w:r w:rsidR="00265625" w:rsidRPr="00265625">
        <w:rPr>
          <w:rFonts w:asciiTheme="majorHAnsi" w:eastAsia="Calibri" w:hAnsiTheme="majorHAnsi" w:cstheme="majorHAnsi"/>
          <w:color w:val="000000"/>
          <w:sz w:val="22"/>
          <w:szCs w:val="22"/>
        </w:rPr>
        <w:t>ní platba</w:t>
      </w:r>
    </w:p>
    <w:p w14:paraId="6042340B" w14:textId="77777777" w:rsidR="00265625" w:rsidRPr="00265625" w:rsidRDefault="0082023E" w:rsidP="00265625">
      <w:pPr>
        <w:numPr>
          <w:ilvl w:val="1"/>
          <w:numId w:val="12"/>
        </w:numPr>
        <w:pBdr>
          <w:top w:val="nil"/>
          <w:left w:val="nil"/>
          <w:bottom w:val="nil"/>
          <w:right w:val="nil"/>
          <w:between w:val="nil"/>
        </w:pBdr>
        <w:spacing w:after="60"/>
        <w:jc w:val="both"/>
        <w:rPr>
          <w:rFonts w:asciiTheme="majorHAnsi" w:eastAsia="Calibri" w:hAnsiTheme="majorHAnsi" w:cstheme="majorHAnsi"/>
          <w:color w:val="000000"/>
          <w:sz w:val="22"/>
          <w:szCs w:val="22"/>
        </w:rPr>
      </w:pPr>
      <w:bookmarkStart w:id="3" w:name="2et92p0" w:colFirst="0" w:colLast="0"/>
      <w:bookmarkEnd w:id="3"/>
      <w:r w:rsidRPr="00265625">
        <w:rPr>
          <w:rFonts w:asciiTheme="majorHAnsi" w:eastAsia="Calibri" w:hAnsiTheme="majorHAnsi" w:cstheme="majorHAnsi"/>
          <w:color w:val="000000"/>
          <w:sz w:val="22"/>
          <w:szCs w:val="22"/>
        </w:rPr>
        <w:t xml:space="preserve">Cena služeb: </w:t>
      </w:r>
    </w:p>
    <w:p w14:paraId="548A43F0" w14:textId="77777777" w:rsidR="00265625" w:rsidRPr="00265625" w:rsidRDefault="0082023E" w:rsidP="00265625">
      <w:pPr>
        <w:numPr>
          <w:ilvl w:val="1"/>
          <w:numId w:val="12"/>
        </w:numPr>
        <w:pBdr>
          <w:top w:val="nil"/>
          <w:left w:val="nil"/>
          <w:bottom w:val="nil"/>
          <w:right w:val="nil"/>
          <w:between w:val="nil"/>
        </w:pBdr>
        <w:spacing w:after="60"/>
        <w:jc w:val="both"/>
        <w:rPr>
          <w:rFonts w:asciiTheme="majorHAnsi" w:eastAsia="Calibri" w:hAnsiTheme="majorHAnsi" w:cstheme="majorHAnsi"/>
          <w:color w:val="000000"/>
          <w:sz w:val="22"/>
          <w:szCs w:val="22"/>
        </w:rPr>
      </w:pPr>
      <w:r w:rsidRPr="00265625">
        <w:rPr>
          <w:rFonts w:asciiTheme="majorHAnsi" w:eastAsia="Calibri" w:hAnsiTheme="majorHAnsi" w:cstheme="majorHAnsi"/>
          <w:color w:val="000000"/>
          <w:sz w:val="22"/>
          <w:szCs w:val="22"/>
        </w:rPr>
        <w:t xml:space="preserve">el. energie </w:t>
      </w:r>
      <w:r w:rsidR="00265625" w:rsidRPr="00265625">
        <w:rPr>
          <w:rFonts w:asciiTheme="majorHAnsi" w:eastAsia="Calibri" w:hAnsiTheme="majorHAnsi" w:cstheme="majorHAnsi"/>
          <w:color w:val="000000"/>
          <w:sz w:val="22"/>
          <w:szCs w:val="22"/>
        </w:rPr>
        <w:t>–</w:t>
      </w:r>
      <w:r w:rsidRPr="00265625">
        <w:rPr>
          <w:rFonts w:asciiTheme="majorHAnsi" w:eastAsia="Calibri" w:hAnsiTheme="majorHAnsi" w:cstheme="majorHAnsi"/>
          <w:color w:val="000000"/>
          <w:sz w:val="22"/>
          <w:szCs w:val="22"/>
        </w:rPr>
        <w:t xml:space="preserve"> paušál</w:t>
      </w:r>
      <w:r w:rsidR="00265625" w:rsidRPr="00265625">
        <w:rPr>
          <w:rFonts w:asciiTheme="majorHAnsi" w:eastAsia="Calibri" w:hAnsiTheme="majorHAnsi" w:cstheme="majorHAnsi"/>
          <w:color w:val="000000"/>
          <w:sz w:val="22"/>
          <w:szCs w:val="22"/>
        </w:rPr>
        <w:t xml:space="preserve">ní platba </w:t>
      </w:r>
      <w:r w:rsidR="00265625" w:rsidRPr="00265625">
        <w:rPr>
          <w:rFonts w:asciiTheme="majorHAnsi" w:hAnsiTheme="majorHAnsi" w:cstheme="majorHAnsi"/>
          <w:sz w:val="22"/>
          <w:szCs w:val="22"/>
        </w:rPr>
        <w:t xml:space="preserve">uvedena ve článku IV. bod 2 této smlouvy. </w:t>
      </w:r>
    </w:p>
    <w:p w14:paraId="7C72A92E" w14:textId="77777777" w:rsidR="00B1452C" w:rsidRPr="00265625"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265625">
        <w:rPr>
          <w:rFonts w:ascii="Calibri" w:eastAsia="Calibri" w:hAnsi="Calibri" w:cs="Calibri"/>
          <w:color w:val="000000"/>
          <w:sz w:val="22"/>
          <w:szCs w:val="22"/>
        </w:rPr>
        <w:t>Úhrada za služby (případně záloha na tyto služby) je splatná ve stejném termínu jako v případě plateb nájemného, a to na stejný účet.</w:t>
      </w:r>
    </w:p>
    <w:p w14:paraId="1E19A867" w14:textId="77777777" w:rsidR="00691AF2" w:rsidRDefault="00691AF2">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5AF0E8D" w14:textId="4779DF06" w:rsidR="00B1452C" w:rsidRDefault="0082023E" w:rsidP="00691AF2">
      <w:pPr>
        <w:keepNext/>
        <w:keepLines/>
        <w:widowControl w:val="0"/>
        <w:numPr>
          <w:ilvl w:val="0"/>
          <w:numId w:val="12"/>
        </w:numPr>
        <w:pBdr>
          <w:top w:val="nil"/>
          <w:left w:val="nil"/>
          <w:bottom w:val="nil"/>
          <w:right w:val="nil"/>
          <w:between w:val="nil"/>
        </w:pBdr>
        <w:ind w:left="284" w:firstLine="566"/>
        <w:jc w:val="center"/>
        <w:rPr>
          <w:rFonts w:ascii="Calibri" w:eastAsia="Calibri" w:hAnsi="Calibri" w:cs="Calibri"/>
          <w:b/>
          <w:color w:val="000000"/>
          <w:sz w:val="22"/>
          <w:szCs w:val="22"/>
        </w:rPr>
      </w:pPr>
      <w:r>
        <w:rPr>
          <w:rFonts w:ascii="Calibri" w:eastAsia="Calibri" w:hAnsi="Calibri" w:cs="Calibri"/>
          <w:b/>
          <w:color w:val="000000"/>
          <w:sz w:val="22"/>
          <w:szCs w:val="22"/>
        </w:rPr>
        <w:br/>
        <w:t>Podnájem</w:t>
      </w:r>
    </w:p>
    <w:p w14:paraId="37CE2046" w14:textId="77777777" w:rsidR="00B1452C"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79B8EA3A" w14:textId="77777777" w:rsidR="00B1452C" w:rsidRPr="00265625"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265625">
        <w:rPr>
          <w:rFonts w:ascii="Calibri" w:eastAsia="Calibri" w:hAnsi="Calibri" w:cs="Calibri"/>
          <w:color w:val="000000"/>
          <w:sz w:val="22"/>
          <w:szCs w:val="22"/>
        </w:rPr>
        <w:t xml:space="preserve">Za porušení povinnosti uvedené v odst. 1 tohoto článku, je nájemce povinen zaplatit smluvní pokutu ve výši </w:t>
      </w:r>
      <w:r w:rsidRPr="00265625">
        <w:rPr>
          <w:rFonts w:ascii="Calibri" w:eastAsia="Calibri" w:hAnsi="Calibri" w:cs="Calibri"/>
          <w:b/>
          <w:color w:val="000000"/>
          <w:sz w:val="22"/>
          <w:szCs w:val="22"/>
        </w:rPr>
        <w:t>50 000 Kč</w:t>
      </w:r>
      <w:r w:rsidRPr="00265625">
        <w:rPr>
          <w:rFonts w:ascii="Calibri" w:eastAsia="Calibri" w:hAnsi="Calibri" w:cs="Calibri"/>
          <w:color w:val="000000"/>
          <w:sz w:val="22"/>
          <w:szCs w:val="22"/>
        </w:rPr>
        <w:t xml:space="preserve"> za každý takovýto případ. </w:t>
      </w:r>
    </w:p>
    <w:p w14:paraId="1123F0E1" w14:textId="77777777" w:rsidR="00691AF2" w:rsidRDefault="00691AF2">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83BAA13" w14:textId="77777777" w:rsidR="00B1452C" w:rsidRDefault="0082023E" w:rsidP="00691AF2">
      <w:pPr>
        <w:keepNext/>
        <w:keepLines/>
        <w:widowControl w:val="0"/>
        <w:numPr>
          <w:ilvl w:val="0"/>
          <w:numId w:val="12"/>
        </w:numPr>
        <w:pBdr>
          <w:top w:val="nil"/>
          <w:left w:val="nil"/>
          <w:bottom w:val="nil"/>
          <w:right w:val="nil"/>
          <w:between w:val="nil"/>
        </w:pBdr>
        <w:ind w:left="0" w:firstLine="709"/>
        <w:jc w:val="center"/>
        <w:rPr>
          <w:rFonts w:ascii="Calibri" w:eastAsia="Calibri" w:hAnsi="Calibri" w:cs="Calibri"/>
          <w:b/>
          <w:color w:val="000000"/>
          <w:sz w:val="22"/>
          <w:szCs w:val="22"/>
        </w:rPr>
      </w:pPr>
      <w:r>
        <w:rPr>
          <w:rFonts w:ascii="Calibri" w:eastAsia="Calibri" w:hAnsi="Calibri" w:cs="Calibri"/>
          <w:b/>
          <w:color w:val="000000"/>
          <w:sz w:val="22"/>
          <w:szCs w:val="22"/>
        </w:rPr>
        <w:br/>
        <w:t>Stavební a jiné úpravy</w:t>
      </w:r>
    </w:p>
    <w:p w14:paraId="03F874A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6DA08ED2"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udržovat řádný vzhled předmětu nájmu.</w:t>
      </w:r>
    </w:p>
    <w:p w14:paraId="4394122A"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2289A31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15433873"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01920EA6"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br/>
        <w:t>Práva a povinnosti pronajímatele</w:t>
      </w:r>
    </w:p>
    <w:p w14:paraId="5B48B611" w14:textId="08ED54F2"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13E077B9" w14:textId="196E0F61" w:rsidR="00340050" w:rsidRPr="00340050" w:rsidRDefault="00340050" w:rsidP="00340050">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Pronajímatel má právo provádět kontrolu zabezpečování bezpečnosti práce a protipožární ochrany. Nájemce je povinen být při kontrolách součinný.</w:t>
      </w:r>
    </w:p>
    <w:p w14:paraId="0F7D9A2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608E647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51AFF9F9"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6715A4C4"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445ECED7" w14:textId="5545112B"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v rámci definovaného účelu nájmu dle čl. III této nájemní smlouvy nájemci písemně určit minimální rozsah nabízeného zboží, služeb nebo jejich minimální kvalitu.</w:t>
      </w:r>
    </w:p>
    <w:p w14:paraId="67CBB046" w14:textId="1466CB3C" w:rsidR="000813E4" w:rsidRDefault="000813E4" w:rsidP="000813E4">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Podmínky dle předchozích dvou odstavců musí být písemně stanoveny v příloze této smlouvy. Takto stanovené podmínky mohou být v případě potřeby pronajímatelem písmeně změněny. </w:t>
      </w:r>
    </w:p>
    <w:p w14:paraId="468F7B10" w14:textId="5948F287" w:rsidR="000813E4" w:rsidRDefault="000813E4" w:rsidP="000813E4">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v případě porušení podmínek stanovených pronajímatelem, dle předchozích tří odstavců uhradit smluvní pokutu ve výši 500 Kč za každý takový případ. </w:t>
      </w:r>
    </w:p>
    <w:p w14:paraId="6542B16E" w14:textId="77777777" w:rsidR="00340050" w:rsidRPr="0042465B" w:rsidRDefault="00340050" w:rsidP="00340050">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4A9DC198" w14:textId="77777777" w:rsidR="00340050" w:rsidRPr="0042465B" w:rsidRDefault="00340050" w:rsidP="00340050">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2118CEFE" w14:textId="77777777" w:rsidR="00340050" w:rsidRPr="0042465B" w:rsidRDefault="00340050" w:rsidP="00340050">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Pronajímatel neodpovídá za škody způsobené nájemci v důsledku živelné události.</w:t>
      </w:r>
    </w:p>
    <w:p w14:paraId="0F7059A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642D5288" w14:textId="77777777" w:rsidR="00B1452C" w:rsidRPr="00A44EA6"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r>
      <w:r w:rsidRPr="00A44EA6">
        <w:rPr>
          <w:rFonts w:ascii="Calibri" w:eastAsia="Calibri" w:hAnsi="Calibri" w:cs="Calibri"/>
          <w:b/>
          <w:color w:val="000000"/>
          <w:sz w:val="22"/>
          <w:szCs w:val="22"/>
        </w:rPr>
        <w:t>Práva a povinnosti nájemce</w:t>
      </w:r>
    </w:p>
    <w:p w14:paraId="06432D38" w14:textId="493EC57D" w:rsidR="000813E4" w:rsidRPr="00A44EA6" w:rsidRDefault="0082023E" w:rsidP="000813E4">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4EA6">
        <w:rPr>
          <w:rFonts w:ascii="Calibri" w:eastAsia="Calibri" w:hAnsi="Calibri" w:cs="Calibri"/>
          <w:color w:val="000000"/>
          <w:sz w:val="22"/>
          <w:szCs w:val="22"/>
        </w:rPr>
        <w:t>Nájemce je povinen umožnit pronajímateli výkon jeho práv vyplývajících z této nájemní smlouvy a obecně závazných předpisů.</w:t>
      </w:r>
    </w:p>
    <w:p w14:paraId="3B090E97" w14:textId="77777777" w:rsidR="00A44EA6" w:rsidRPr="00A44EA6" w:rsidRDefault="00A44EA6" w:rsidP="00A44EA6">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44EA6">
        <w:rPr>
          <w:rFonts w:ascii="Calibri" w:eastAsia="Calibri" w:hAnsi="Calibri" w:cs="Calibri"/>
          <w:color w:val="000000"/>
          <w:sz w:val="22"/>
          <w:szCs w:val="22"/>
        </w:rPr>
        <w:t>Nájemce je povinen provozovat předmět nájmu pravidelně a to každý den dle otevírací doby hradu, která se mění dle ročního období a která je uvedena v příloze č. 1 smlouvy. Otevírací doba hradu se může v průběhu platnosti této smlouvy</w:t>
      </w:r>
      <w:r w:rsidRPr="0042465B">
        <w:rPr>
          <w:rFonts w:ascii="Calibri" w:eastAsia="Calibri" w:hAnsi="Calibri" w:cs="Calibri"/>
          <w:color w:val="000000"/>
          <w:sz w:val="22"/>
          <w:szCs w:val="22"/>
        </w:rPr>
        <w:t xml:space="preserve"> měnit. Nezasáhne-li vyšší moc, provádí se případné korekce otevírací doby hradu vždy od 1.2. následujícího roku. Nájemce bere na vědomí a souhlasí s tím, že provoz hradu může být výjimečně dočasně omezen z technických </w:t>
      </w:r>
      <w:r w:rsidRPr="00A44EA6">
        <w:rPr>
          <w:rFonts w:ascii="Calibri" w:eastAsia="Calibri" w:hAnsi="Calibri" w:cs="Calibri"/>
          <w:color w:val="000000"/>
          <w:sz w:val="22"/>
          <w:szCs w:val="22"/>
        </w:rPr>
        <w:t>důvodů a nájemci v tomto případě nepřísluší žádná finanční kompenzace.</w:t>
      </w:r>
    </w:p>
    <w:p w14:paraId="34570207" w14:textId="63E93FD8" w:rsidR="00B1452C" w:rsidRPr="000813E4" w:rsidRDefault="0082023E" w:rsidP="000813E4">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0813E4">
        <w:rPr>
          <w:rFonts w:ascii="Calibri" w:eastAsia="Calibri" w:hAnsi="Calibri" w:cs="Calibri"/>
          <w:color w:val="000000"/>
          <w:sz w:val="22"/>
          <w:szCs w:val="22"/>
        </w:rPr>
        <w:lastRenderedPageBreak/>
        <w:t>Nájemce je povinen na svůj náklad provádět běžnou údržbu předmětu nájmu</w:t>
      </w:r>
      <w:r w:rsidR="000813E4" w:rsidRPr="000813E4">
        <w:rPr>
          <w:rFonts w:ascii="Calibri" w:eastAsia="Calibri" w:hAnsi="Calibri" w:cs="Calibri"/>
          <w:color w:val="000000"/>
          <w:sz w:val="22"/>
          <w:szCs w:val="22"/>
        </w:rPr>
        <w:t xml:space="preserve">, spočívající především v pravidelném běžném úklidu. </w:t>
      </w:r>
    </w:p>
    <w:p w14:paraId="08F59A77" w14:textId="3DA62D9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62ED9B73" w14:textId="30C6F7CB"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Nájemce bere na vědomí souhlasí s tím, že předmět nájmu je mimo otevírací dobu zajištěn zabezpečovacím systém a pokud vyžaduje vstup mimo otevírací dobu hradu, je nezbytné nahlásit se u pověřených pracovníků pronajímatele a to před vstupem do předmětu nájmu. V případě opomenutí této povinnosti budou vzniklé náklady předepsány nájemci k</w:t>
      </w:r>
      <w:r>
        <w:rPr>
          <w:rFonts w:ascii="Calibri" w:eastAsia="Calibri" w:hAnsi="Calibri" w:cs="Calibri"/>
          <w:color w:val="000000"/>
          <w:sz w:val="22"/>
          <w:szCs w:val="22"/>
        </w:rPr>
        <w:t> </w:t>
      </w:r>
      <w:r w:rsidRPr="0042465B">
        <w:rPr>
          <w:rFonts w:ascii="Calibri" w:eastAsia="Calibri" w:hAnsi="Calibri" w:cs="Calibri"/>
          <w:color w:val="000000"/>
          <w:sz w:val="22"/>
          <w:szCs w:val="22"/>
        </w:rPr>
        <w:t>úhradě</w:t>
      </w:r>
      <w:r>
        <w:rPr>
          <w:rFonts w:ascii="Calibri" w:eastAsia="Calibri" w:hAnsi="Calibri" w:cs="Calibri"/>
          <w:color w:val="000000"/>
          <w:sz w:val="22"/>
          <w:szCs w:val="22"/>
        </w:rPr>
        <w:t>.</w:t>
      </w:r>
    </w:p>
    <w:p w14:paraId="2B2FC6E2" w14:textId="404B193F" w:rsidR="00340050" w:rsidRPr="00340050" w:rsidRDefault="00340050" w:rsidP="00340050">
      <w:pPr>
        <w:pStyle w:val="odstavce"/>
        <w:numPr>
          <w:ilvl w:val="1"/>
          <w:numId w:val="9"/>
        </w:numPr>
      </w:pPr>
      <w:r w:rsidRPr="0042465B">
        <w:t>Nájemce bere na vědomí, že v areálu objektu je instalován kamerový systém a dochází tak ke zpracování osobních údajů osob, kte</w:t>
      </w:r>
      <w:r w:rsidRPr="0042465B">
        <w:rPr>
          <w:lang w:val="cs-CZ"/>
        </w:rPr>
        <w:t>ré</w:t>
      </w:r>
      <w:r w:rsidRPr="0042465B">
        <w:t xml:space="preserve"> vstupují do monitorovaného prostoru. Pronajímatel při jejich zpracování postupuje dle platných právních předpisů. </w:t>
      </w:r>
    </w:p>
    <w:p w14:paraId="51338B7D"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417B2675"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5597C982" w14:textId="77777777"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 xml:space="preserve">Nájemce bere na vědomí, že k předmětu nájmu není poskytován žádný další skladovací prostor a zásobování je možné provádět pouze v čase od 7:00 do 9:00 a následně po skončení provozní doby hradu. Konkrétní hodiny je možné domluvit se správou hradu. </w:t>
      </w:r>
    </w:p>
    <w:p w14:paraId="2CBFE8C8" w14:textId="77777777"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Nájemce se zavazuje během užívání předmětu nájmu dodržovat organizační a bezpečnostní pokyny odpovědných zaměstnanců pronajímatele.</w:t>
      </w:r>
    </w:p>
    <w:p w14:paraId="5952165D" w14:textId="77777777"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3D30D6F3" w14:textId="6CE7838A"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 xml:space="preserve">Nájemce odpovídá za všechny osoby, kterým umožní přístup do předmětu nájmu. Nájemce odpovídá za škodu, které tyto osoby způsobí. </w:t>
      </w:r>
    </w:p>
    <w:p w14:paraId="15B2EC51" w14:textId="77777777"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Nájemce se zavazuje dodržovat a zajistit, že v předmětu nájmu nebude používán otevřený oheň a nebude se kouřit (s výjimkou k tomu vyhrazených míst, které určí pronajímatel).</w:t>
      </w:r>
    </w:p>
    <w:p w14:paraId="0C209035" w14:textId="77777777"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2BC8E502" w14:textId="77777777"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5506473B" w14:textId="77777777"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 xml:space="preserve">Nájemce je povinen předmět nájmu pojistit proti riziku škody způsobené třetím osobám činností vykonávanou v předmětu nájmu, škody způsobené na předmětu nájmu nájemcem a proti živelným pohromám a haváriím (únik vody apod.), a to </w:t>
      </w:r>
      <w:r w:rsidRPr="0042465B">
        <w:rPr>
          <w:rFonts w:ascii="Calibri" w:eastAsia="Calibri" w:hAnsi="Calibri" w:cs="Calibri"/>
          <w:sz w:val="22"/>
          <w:szCs w:val="22"/>
        </w:rPr>
        <w:t xml:space="preserve">výše 1 000 000 Kč. Pojistnou </w:t>
      </w:r>
      <w:r w:rsidRPr="0042465B">
        <w:rPr>
          <w:rFonts w:ascii="Calibri" w:eastAsia="Calibri" w:hAnsi="Calibri" w:cs="Calibri"/>
          <w:color w:val="000000"/>
          <w:sz w:val="22"/>
          <w:szCs w:val="22"/>
        </w:rPr>
        <w:t>smlouvu prokazující splnění této povinnosti předloží nájemce pronajímateli nejpozději do 10 dnů ode dne podpisu této smlouvy poslední ze smluvních stran.</w:t>
      </w:r>
    </w:p>
    <w:p w14:paraId="6B1BEB95" w14:textId="77777777" w:rsidR="00691AF2" w:rsidRDefault="00691AF2">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565B1D6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Doba nájmu a ukončení nájmu</w:t>
      </w:r>
    </w:p>
    <w:p w14:paraId="66FF065F" w14:textId="319228BD" w:rsidR="00731459" w:rsidRPr="00731459" w:rsidRDefault="00731459" w:rsidP="00731459">
      <w:pPr>
        <w:pStyle w:val="odstavce"/>
        <w:numPr>
          <w:ilvl w:val="1"/>
          <w:numId w:val="12"/>
        </w:numPr>
      </w:pPr>
      <w:bookmarkStart w:id="4" w:name="1t3h5sf" w:colFirst="0" w:colLast="0"/>
      <w:bookmarkEnd w:id="4"/>
      <w:r w:rsidRPr="003733B1">
        <w:t xml:space="preserve">Tato smlouva se uzavírá na dobu určitou, a to od </w:t>
      </w:r>
      <w:r>
        <w:rPr>
          <w:lang w:val="cs-CZ"/>
        </w:rPr>
        <w:t>1. 1. 202</w:t>
      </w:r>
      <w:r w:rsidR="00A44EA6">
        <w:rPr>
          <w:lang w:val="cs-CZ"/>
        </w:rPr>
        <w:t>5</w:t>
      </w:r>
      <w:r w:rsidRPr="003733B1">
        <w:t xml:space="preserve"> do </w:t>
      </w:r>
      <w:r>
        <w:rPr>
          <w:lang w:val="cs-CZ"/>
        </w:rPr>
        <w:t>31. 12. 202</w:t>
      </w:r>
      <w:r w:rsidR="00A44EA6">
        <w:rPr>
          <w:lang w:val="cs-CZ"/>
        </w:rPr>
        <w:t>9</w:t>
      </w:r>
      <w:r w:rsidRPr="003733B1">
        <w:t>.</w:t>
      </w:r>
      <w:r w:rsidR="0082023E" w:rsidRPr="00731459">
        <w:rPr>
          <w:rFonts w:eastAsia="Calibri" w:cs="Calibri"/>
          <w:color w:val="000000"/>
        </w:rPr>
        <w:t xml:space="preserve"> </w:t>
      </w:r>
    </w:p>
    <w:p w14:paraId="3B626FE2" w14:textId="694A6B30" w:rsidR="00340050" w:rsidRPr="0042465B" w:rsidRDefault="00340050" w:rsidP="00340050">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lastRenderedPageBreak/>
        <w:t>Smluvní strany mohou smlouvu vypovědět v souladu s § 2308 a § 2309 zákona č. 89/2012 Sb., občanský zákoník, ve znění pozdějších předpisů, s výpovědní lhůtou 2 měsíců. Výpověď musí být písemná a musí být uveden její důvod, jinak je neplatná. Výpovědní doba běží od prvního dne kalendářního měsíce následujícího poté, co výpověď došla druhé straně.</w:t>
      </w:r>
    </w:p>
    <w:p w14:paraId="4D7C9B04" w14:textId="2D0F349F" w:rsidR="00B1452C" w:rsidRDefault="0082023E" w:rsidP="00340050">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31D9FF25" w14:textId="77777777" w:rsidR="00340050" w:rsidRPr="0042465B" w:rsidRDefault="00340050" w:rsidP="00340050">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jestliže nájemce užívá předmět nájmu jiným způsobem nebo k jinému než sjednanému účelu, nebo nedodržuje závazné podmínky stanovené pro užívání předmětu nájmu (např. nebude mít platnou pojistnou smlouvu nebo bude provádět neoprávněné stavební zásahy do zdí a konstrukcí…)</w:t>
      </w:r>
    </w:p>
    <w:p w14:paraId="131DFBFF" w14:textId="77777777" w:rsidR="00340050" w:rsidRDefault="00340050" w:rsidP="00340050">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jestliže nájemce poškozuje předmět nájmu závažným nebo nenapravitelným způsobem nebo způsobí-li jinak závažnou škodu na předmětu nájmu,</w:t>
      </w:r>
    </w:p>
    <w:p w14:paraId="0059190B" w14:textId="7968A91A" w:rsidR="00340050" w:rsidRPr="00D01A78" w:rsidRDefault="00340050" w:rsidP="00340050">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D01A78">
        <w:rPr>
          <w:rFonts w:ascii="Calibri" w:eastAsia="Calibri" w:hAnsi="Calibri" w:cs="Calibri"/>
          <w:color w:val="000000"/>
          <w:sz w:val="22"/>
          <w:szCs w:val="22"/>
        </w:rPr>
        <w:t xml:space="preserve">jestliže nájemce bude v prodlení s placením nájemného a služeb spojených s nájmem po dobu delší 15 dnů. </w:t>
      </w:r>
    </w:p>
    <w:p w14:paraId="4BAEC869"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0B4B4422"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6181739D"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w:t>
      </w:r>
      <w:r w:rsidRPr="00340050">
        <w:rPr>
          <w:rFonts w:ascii="Calibri" w:eastAsia="Calibri" w:hAnsi="Calibri" w:cs="Calibri"/>
          <w:color w:val="000000"/>
          <w:sz w:val="22"/>
          <w:szCs w:val="22"/>
        </w:rPr>
        <w:t>smluvní pokutu 3.000,- Kč za každý</w:t>
      </w:r>
      <w:r>
        <w:rPr>
          <w:rFonts w:ascii="Calibri" w:eastAsia="Calibri" w:hAnsi="Calibri" w:cs="Calibri"/>
          <w:color w:val="000000"/>
          <w:sz w:val="22"/>
          <w:szCs w:val="22"/>
        </w:rPr>
        <w:t xml:space="preserve"> den prodlení se splněním této povinnosti a to bez ohledu na jeho zavinění. </w:t>
      </w:r>
    </w:p>
    <w:p w14:paraId="3E3D2EC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si sjednávají, že při skončení nájmu se nepoužije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2315 zákona č. 89/2012 Sb., občanský zákoník, ve znění pozdějších předpisů, o náhradě za převzetí zákaznické základny.</w:t>
      </w:r>
    </w:p>
    <w:p w14:paraId="4C380226"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1BB749B1"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sjednaly, že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2230 zákona č. 89/2012 Sb., občanský zákoník, v platném znění, o automatickém prodloužení nájmu se neuplatní.</w:t>
      </w:r>
    </w:p>
    <w:p w14:paraId="3E44E779" w14:textId="77777777" w:rsidR="00691AF2" w:rsidRDefault="00691AF2">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91A6285" w14:textId="77777777" w:rsidR="00B1452C" w:rsidRDefault="0082023E" w:rsidP="00731459">
      <w:pPr>
        <w:keepNext/>
        <w:keepLines/>
        <w:widowControl w:val="0"/>
        <w:numPr>
          <w:ilvl w:val="0"/>
          <w:numId w:val="12"/>
        </w:numPr>
        <w:pBdr>
          <w:top w:val="nil"/>
          <w:left w:val="nil"/>
          <w:bottom w:val="nil"/>
          <w:right w:val="nil"/>
          <w:between w:val="nil"/>
        </w:pBdr>
        <w:ind w:left="-142" w:firstLine="1134"/>
        <w:jc w:val="center"/>
        <w:rPr>
          <w:rFonts w:ascii="Calibri" w:eastAsia="Calibri" w:hAnsi="Calibri" w:cs="Calibri"/>
          <w:b/>
          <w:color w:val="000000"/>
          <w:sz w:val="22"/>
          <w:szCs w:val="22"/>
        </w:rPr>
      </w:pPr>
      <w:r>
        <w:rPr>
          <w:rFonts w:ascii="Calibri" w:eastAsia="Calibri" w:hAnsi="Calibri" w:cs="Calibri"/>
          <w:b/>
          <w:color w:val="000000"/>
          <w:sz w:val="22"/>
          <w:szCs w:val="22"/>
        </w:rPr>
        <w:br/>
        <w:t>Závěrečná ustanovení</w:t>
      </w:r>
    </w:p>
    <w:p w14:paraId="64426AC5"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401E30A2" w14:textId="77777777" w:rsidR="00340050" w:rsidRPr="0042465B" w:rsidRDefault="00340050" w:rsidP="00340050">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42465B">
        <w:rPr>
          <w:rFonts w:ascii="Calibri" w:eastAsia="Calibri" w:hAnsi="Calibri" w:cs="Calibri"/>
          <w:color w:val="000000"/>
          <w:sz w:val="22"/>
          <w:szCs w:val="22"/>
        </w:rPr>
        <w:t xml:space="preserve">Tato smlouva byla sepsána ve dvou vyhotoveních. Každá ze smluvních stran obdržela po jednom totožném vyhotovení. </w:t>
      </w:r>
    </w:p>
    <w:p w14:paraId="613C9602" w14:textId="77777777" w:rsidR="00340050" w:rsidRPr="0042465B" w:rsidRDefault="00340050" w:rsidP="00340050">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42465B">
        <w:rPr>
          <w:rFonts w:ascii="Calibri" w:eastAsia="Calibri" w:hAnsi="Calibri" w:cs="Calibri"/>
          <w:color w:val="000000"/>
          <w:sz w:val="22"/>
          <w:szCs w:val="22"/>
        </w:rPr>
        <w:t>Tato smlouva podléhá povinnosti uveřejnění dle zákona č. 340/2015 Sb., o zvláštních podmínkách účinnosti některých smluv, uveřejňování těchto smluv a o registru smluv (zákon o registru smluv) a nabude účinnosti dnem uveřejnění a její uveřejnění zajistí pronajímatel. Smluvní strany berou na vědomí, že tato smlouva může být předmětem zveřejnění i dle jiných právních předpisů.</w:t>
      </w:r>
    </w:p>
    <w:p w14:paraId="6A686DB2"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434548CA"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Smlouvu je možno měnit či doplňovat výhradně písemnými číslovanými dodatky. </w:t>
      </w:r>
    </w:p>
    <w:p w14:paraId="54064247"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0F296FEB" w14:textId="77777777" w:rsidR="00B1452C" w:rsidRPr="00691AF2"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9">
        <w:r>
          <w:rPr>
            <w:rFonts w:ascii="Calibri" w:eastAsia="Calibri" w:hAnsi="Calibri" w:cs="Calibri"/>
            <w:color w:val="0000FF"/>
            <w:sz w:val="22"/>
            <w:szCs w:val="22"/>
            <w:u w:val="single"/>
          </w:rPr>
          <w:t>www.npu.cz</w:t>
        </w:r>
      </w:hyperlink>
      <w:r>
        <w:rPr>
          <w:rFonts w:ascii="Calibri" w:eastAsia="Calibri" w:hAnsi="Calibri" w:cs="Calibri"/>
          <w:color w:val="000000"/>
          <w:sz w:val="22"/>
          <w:szCs w:val="22"/>
        </w:rPr>
        <w:t xml:space="preserve"> </w:t>
      </w:r>
      <w:r w:rsidRPr="00691AF2">
        <w:rPr>
          <w:rFonts w:ascii="Calibri" w:eastAsia="Calibri" w:hAnsi="Calibri" w:cs="Calibri"/>
          <w:color w:val="000000"/>
          <w:sz w:val="22"/>
          <w:szCs w:val="22"/>
        </w:rPr>
        <w:t>v sekci „Ochrana osobních údajů“.</w:t>
      </w:r>
    </w:p>
    <w:p w14:paraId="7D1FF945" w14:textId="77777777" w:rsidR="008D43B1" w:rsidRPr="00C3010D" w:rsidRDefault="00691AF2" w:rsidP="008D43B1">
      <w:pPr>
        <w:rPr>
          <w:rFonts w:ascii="Calibri" w:eastAsia="Calibri" w:hAnsi="Calibri" w:cs="Calibri"/>
          <w:color w:val="000000"/>
          <w:sz w:val="22"/>
          <w:szCs w:val="22"/>
        </w:rPr>
      </w:pPr>
      <w:r w:rsidRPr="00691AF2">
        <w:rPr>
          <w:rFonts w:ascii="Calibri" w:eastAsia="Calibri" w:hAnsi="Calibri" w:cs="Calibri"/>
          <w:color w:val="000000"/>
          <w:sz w:val="22"/>
          <w:szCs w:val="22"/>
        </w:rPr>
        <w:t xml:space="preserve"> </w:t>
      </w:r>
      <w:r w:rsidR="008D43B1" w:rsidRPr="00C3010D">
        <w:rPr>
          <w:rFonts w:ascii="Calibri" w:eastAsia="Calibri" w:hAnsi="Calibri" w:cs="Calibri"/>
          <w:color w:val="000000"/>
          <w:sz w:val="22"/>
          <w:szCs w:val="22"/>
        </w:rPr>
        <w:t xml:space="preserve"> (Příloha č. 1: </w:t>
      </w:r>
      <w:r w:rsidR="008D43B1" w:rsidRPr="00C3010D">
        <w:rPr>
          <w:rFonts w:ascii="Calibri" w:hAnsi="Calibri" w:cs="Calibri"/>
          <w:color w:val="000000"/>
          <w:sz w:val="22"/>
          <w:szCs w:val="22"/>
        </w:rPr>
        <w:t>Otevírací doba hradu a provozní podmínky</w:t>
      </w:r>
      <w:r w:rsidR="008D43B1" w:rsidRPr="00C3010D">
        <w:rPr>
          <w:rFonts w:ascii="Calibri" w:eastAsia="Calibri" w:hAnsi="Calibri" w:cs="Calibri"/>
          <w:color w:val="000000"/>
          <w:sz w:val="22"/>
          <w:szCs w:val="22"/>
        </w:rPr>
        <w:t>)</w:t>
      </w:r>
    </w:p>
    <w:p w14:paraId="683F7A54" w14:textId="7948E902" w:rsidR="00B1452C" w:rsidRDefault="00B1452C">
      <w:pPr>
        <w:pBdr>
          <w:top w:val="nil"/>
          <w:left w:val="nil"/>
          <w:bottom w:val="nil"/>
          <w:right w:val="nil"/>
          <w:between w:val="nil"/>
        </w:pBdr>
        <w:jc w:val="both"/>
        <w:rPr>
          <w:rFonts w:ascii="Calibri" w:eastAsia="Calibri" w:hAnsi="Calibri" w:cs="Calibri"/>
          <w:color w:val="000000"/>
          <w:sz w:val="22"/>
          <w:szCs w:val="22"/>
        </w:rPr>
      </w:pPr>
    </w:p>
    <w:tbl>
      <w:tblPr>
        <w:tblStyle w:val="a"/>
        <w:tblW w:w="9212" w:type="dxa"/>
        <w:jc w:val="center"/>
        <w:tblInd w:w="0" w:type="dxa"/>
        <w:tblLayout w:type="fixed"/>
        <w:tblLook w:val="0000" w:firstRow="0" w:lastRow="0" w:firstColumn="0" w:lastColumn="0" w:noHBand="0" w:noVBand="0"/>
      </w:tblPr>
      <w:tblGrid>
        <w:gridCol w:w="4606"/>
        <w:gridCol w:w="4606"/>
      </w:tblGrid>
      <w:tr w:rsidR="00B1452C" w14:paraId="02A83146" w14:textId="77777777">
        <w:trPr>
          <w:jc w:val="center"/>
        </w:trPr>
        <w:tc>
          <w:tcPr>
            <w:tcW w:w="4606" w:type="dxa"/>
          </w:tcPr>
          <w:p w14:paraId="7ADA80F2" w14:textId="79E52C9E"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  </w:t>
            </w:r>
            <w:r w:rsidR="005155D1">
              <w:rPr>
                <w:rFonts w:ascii="Calibri" w:eastAsia="Calibri" w:hAnsi="Calibri" w:cs="Calibri"/>
                <w:color w:val="000000"/>
                <w:sz w:val="22"/>
                <w:szCs w:val="22"/>
              </w:rPr>
              <w:t xml:space="preserve">     </w:t>
            </w:r>
            <w:r>
              <w:rPr>
                <w:rFonts w:ascii="Calibri" w:eastAsia="Calibri" w:hAnsi="Calibri" w:cs="Calibri"/>
                <w:color w:val="000000"/>
                <w:sz w:val="22"/>
                <w:szCs w:val="22"/>
              </w:rPr>
              <w:t>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2B91C29F" w14:textId="38CA07AF"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399592F3" w14:textId="3A334DF8"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D42E6D4" w14:textId="6A9E34A5"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25691C8"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11E4073C"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73F6487C"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39B8FA17" w14:textId="735501F2" w:rsidR="00B1452C" w:rsidRDefault="00295EE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PhDr. Petr Hrubý, ředitel</w:t>
            </w:r>
          </w:p>
        </w:tc>
        <w:tc>
          <w:tcPr>
            <w:tcW w:w="4606" w:type="dxa"/>
          </w:tcPr>
          <w:p w14:paraId="085F09E5" w14:textId="0E42EEA6"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V </w:t>
            </w:r>
            <w:r w:rsidR="005155D1">
              <w:rPr>
                <w:rFonts w:ascii="Calibri" w:eastAsia="Calibri" w:hAnsi="Calibri" w:cs="Calibri"/>
                <w:color w:val="000000"/>
                <w:sz w:val="22"/>
                <w:szCs w:val="22"/>
              </w:rPr>
              <w:t xml:space="preserve">     </w:t>
            </w:r>
            <w:r>
              <w:rPr>
                <w:rFonts w:ascii="Calibri" w:eastAsia="Calibri" w:hAnsi="Calibri" w:cs="Calibri"/>
                <w:color w:val="000000"/>
                <w:sz w:val="22"/>
                <w:szCs w:val="22"/>
              </w:rPr>
              <w:t>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410B38E2"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669213C3" w14:textId="5E237873"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11D0C8F8" w14:textId="11BA88DF"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3C217E05" w14:textId="6BEC69B2"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679FB05F"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0D0CFBA1"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61E1685"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nájemce)</w:t>
            </w:r>
          </w:p>
          <w:p w14:paraId="0B52CDA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r>
    </w:tbl>
    <w:p w14:paraId="0977075A" w14:textId="77777777" w:rsidR="00B1452C" w:rsidRDefault="00B1452C" w:rsidP="008D43B1">
      <w:pPr>
        <w:pBdr>
          <w:top w:val="nil"/>
          <w:left w:val="nil"/>
          <w:bottom w:val="nil"/>
          <w:right w:val="nil"/>
          <w:between w:val="nil"/>
        </w:pBdr>
        <w:rPr>
          <w:rFonts w:ascii="Calibri" w:eastAsia="Calibri" w:hAnsi="Calibri" w:cs="Calibri"/>
          <w:color w:val="000000"/>
          <w:sz w:val="22"/>
          <w:szCs w:val="22"/>
        </w:rPr>
      </w:pPr>
    </w:p>
    <w:sectPr w:rsidR="00B1452C">
      <w:headerReference w:type="default" r:id="rId10"/>
      <w:footerReference w:type="default" r:id="rId11"/>
      <w:headerReference w:type="first" r:id="rId12"/>
      <w:pgSz w:w="11906" w:h="16838"/>
      <w:pgMar w:top="1985"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67026" w14:textId="77777777" w:rsidR="00356925" w:rsidRDefault="00356925">
      <w:r>
        <w:separator/>
      </w:r>
    </w:p>
  </w:endnote>
  <w:endnote w:type="continuationSeparator" w:id="0">
    <w:p w14:paraId="69E91488" w14:textId="77777777" w:rsidR="00356925" w:rsidRDefault="0035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E90A" w14:textId="0E69F433" w:rsidR="005155D1" w:rsidRDefault="005155D1">
    <w:pPr>
      <w:pBdr>
        <w:top w:val="nil"/>
        <w:left w:val="nil"/>
        <w:bottom w:val="nil"/>
        <w:right w:val="nil"/>
        <w:between w:val="nil"/>
      </w:pBdr>
      <w:tabs>
        <w:tab w:val="center" w:pos="4536"/>
        <w:tab w:val="right" w:pos="9072"/>
      </w:tabs>
      <w:rPr>
        <w:rFonts w:ascii="Calibri" w:eastAsia="Calibri" w:hAnsi="Calibri" w:cs="Calibri"/>
        <w:color w:val="000000"/>
        <w:sz w:val="22"/>
        <w:szCs w:val="22"/>
      </w:rPr>
    </w:pPr>
    <w:proofErr w:type="spellStart"/>
    <w:r>
      <w:rPr>
        <w:rFonts w:ascii="Calibri" w:eastAsia="Calibri" w:hAnsi="Calibri" w:cs="Calibri"/>
        <w:color w:val="000000"/>
        <w:sz w:val="22"/>
        <w:szCs w:val="22"/>
      </w:rPr>
      <w:t>Sp</w:t>
    </w:r>
    <w:proofErr w:type="spellEnd"/>
    <w:r>
      <w:rPr>
        <w:rFonts w:ascii="Calibri" w:eastAsia="Calibri" w:hAnsi="Calibri" w:cs="Calibri"/>
        <w:color w:val="000000"/>
        <w:sz w:val="22"/>
        <w:szCs w:val="22"/>
      </w:rPr>
      <w:t>. zn. 11.4.3</w:t>
    </w:r>
    <w:r>
      <w:rPr>
        <w:rFonts w:ascii="Calibri" w:eastAsia="Calibri" w:hAnsi="Calibri" w:cs="Calibri"/>
        <w:color w:val="000000"/>
        <w:sz w:val="22"/>
        <w:szCs w:val="22"/>
      </w:rPr>
      <w:tab/>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3</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(celkem 7)</w:t>
    </w:r>
    <w:r>
      <w:rPr>
        <w:rFonts w:ascii="Calibri" w:eastAsia="Calibri" w:hAnsi="Calibri" w:cs="Calibri"/>
        <w:color w:val="000000"/>
        <w:sz w:val="22"/>
        <w:szCs w:val="22"/>
      </w:rPr>
      <w:tab/>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14EA4" w14:textId="77777777" w:rsidR="00356925" w:rsidRDefault="00356925">
      <w:r>
        <w:separator/>
      </w:r>
    </w:p>
  </w:footnote>
  <w:footnote w:type="continuationSeparator" w:id="0">
    <w:p w14:paraId="016307B8" w14:textId="77777777" w:rsidR="00356925" w:rsidRDefault="0035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C8F3" w14:textId="78FEEE5A" w:rsidR="00E63E07" w:rsidRDefault="00D13B94" w:rsidP="00E63E07">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noProof/>
        <w:color w:val="000000"/>
      </w:rPr>
      <w:drawing>
        <wp:anchor distT="0" distB="0" distL="114300" distR="114300" simplePos="0" relativeHeight="251658240" behindDoc="1" locked="0" layoutInCell="1" allowOverlap="1" wp14:anchorId="753512A7" wp14:editId="2716A308">
          <wp:simplePos x="0" y="0"/>
          <wp:positionH relativeFrom="column">
            <wp:posOffset>3810</wp:posOffset>
          </wp:positionH>
          <wp:positionV relativeFrom="paragraph">
            <wp:posOffset>-2540</wp:posOffset>
          </wp:positionV>
          <wp:extent cx="1743075" cy="466725"/>
          <wp:effectExtent l="0" t="0" r="9525" b="9525"/>
          <wp:wrapTight wrapText="bothSides">
            <wp:wrapPolygon edited="0">
              <wp:start x="0" y="0"/>
              <wp:lineTo x="0" y="21159"/>
              <wp:lineTo x="21482" y="21159"/>
              <wp:lineTo x="2148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color w:val="000000"/>
      </w:rPr>
      <w:tab/>
    </w:r>
    <w:r w:rsidR="00622FA7">
      <w:rPr>
        <w:rFonts w:ascii="Calibri" w:eastAsia="Calibri" w:hAnsi="Calibri" w:cs="Calibri"/>
        <w:color w:val="000000"/>
      </w:rPr>
      <w:tab/>
    </w:r>
  </w:p>
  <w:p w14:paraId="0F9EA1C7" w14:textId="1162E096" w:rsidR="00B1452C" w:rsidRDefault="00B1452C" w:rsidP="00622FA7">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26F7" w14:textId="77777777" w:rsidR="00B1452C" w:rsidRDefault="00B1452C">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A27AF9"/>
    <w:multiLevelType w:val="multilevel"/>
    <w:tmpl w:val="4E4E5668"/>
    <w:lvl w:ilvl="0">
      <w:start w:val="1"/>
      <w:numFmt w:val="upperRoman"/>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ED095F"/>
    <w:multiLevelType w:val="multilevel"/>
    <w:tmpl w:val="49B89AB0"/>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50312A9"/>
    <w:multiLevelType w:val="multilevel"/>
    <w:tmpl w:val="0E309C9E"/>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7"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90D041D"/>
    <w:multiLevelType w:val="multilevel"/>
    <w:tmpl w:val="DDDE0DB4"/>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9"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43030972"/>
    <w:multiLevelType w:val="multilevel"/>
    <w:tmpl w:val="0E3087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BE40CF3"/>
    <w:multiLevelType w:val="multilevel"/>
    <w:tmpl w:val="11E28F5C"/>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5FD7118B"/>
    <w:multiLevelType w:val="multilevel"/>
    <w:tmpl w:val="7EAC050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 w15:restartNumberingAfterBreak="0">
    <w:nsid w:val="6EA334BF"/>
    <w:multiLevelType w:val="multilevel"/>
    <w:tmpl w:val="86EC8DD6"/>
    <w:lvl w:ilvl="0">
      <w:start w:val="1"/>
      <w:numFmt w:val="decimal"/>
      <w:lvlText w:val="%1."/>
      <w:lvlJc w:val="left"/>
      <w:pPr>
        <w:ind w:left="1004" w:hanging="360"/>
      </w:pPr>
      <w:rPr>
        <w:vertAlign w:val="baseline"/>
      </w:rPr>
    </w:lvl>
    <w:lvl w:ilvl="1">
      <w:start w:val="1"/>
      <w:numFmt w:val="lowerLetter"/>
      <w:lvlText w:val="%2."/>
      <w:lvlJc w:val="left"/>
      <w:pPr>
        <w:ind w:left="1724" w:hanging="360"/>
      </w:pPr>
      <w:rPr>
        <w:b w:val="0"/>
        <w:i w:val="0"/>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781479D4"/>
    <w:multiLevelType w:val="multilevel"/>
    <w:tmpl w:val="1FD8267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2"/>
  </w:num>
  <w:num w:numId="3">
    <w:abstractNumId w:val="12"/>
  </w:num>
  <w:num w:numId="4">
    <w:abstractNumId w:val="3"/>
  </w:num>
  <w:num w:numId="5">
    <w:abstractNumId w:val="13"/>
  </w:num>
  <w:num w:numId="6">
    <w:abstractNumId w:val="10"/>
  </w:num>
  <w:num w:numId="7">
    <w:abstractNumId w:val="0"/>
  </w:num>
  <w:num w:numId="8">
    <w:abstractNumId w:val="4"/>
  </w:num>
  <w:num w:numId="9">
    <w:abstractNumId w:val="7"/>
  </w:num>
  <w:num w:numId="10">
    <w:abstractNumId w:val="5"/>
  </w:num>
  <w:num w:numId="11">
    <w:abstractNumId w:val="11"/>
  </w:num>
  <w:num w:numId="12">
    <w:abstractNumId w:val="9"/>
  </w:num>
  <w:num w:numId="13">
    <w:abstractNumId w:val="6"/>
  </w:num>
  <w:num w:numId="14">
    <w:abstractNumId w:val="16"/>
  </w:num>
  <w:num w:numId="15">
    <w:abstractNumId w:val="14"/>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C"/>
    <w:rsid w:val="00076E70"/>
    <w:rsid w:val="000813E4"/>
    <w:rsid w:val="00092B68"/>
    <w:rsid w:val="001055AA"/>
    <w:rsid w:val="00265625"/>
    <w:rsid w:val="00295EEE"/>
    <w:rsid w:val="00340050"/>
    <w:rsid w:val="00344D17"/>
    <w:rsid w:val="00356925"/>
    <w:rsid w:val="00362223"/>
    <w:rsid w:val="00393F76"/>
    <w:rsid w:val="0040698C"/>
    <w:rsid w:val="004150FE"/>
    <w:rsid w:val="00480822"/>
    <w:rsid w:val="004874D6"/>
    <w:rsid w:val="004A2F8F"/>
    <w:rsid w:val="005155D1"/>
    <w:rsid w:val="0058285F"/>
    <w:rsid w:val="006047E1"/>
    <w:rsid w:val="00622FA7"/>
    <w:rsid w:val="00691AF2"/>
    <w:rsid w:val="00731459"/>
    <w:rsid w:val="00791318"/>
    <w:rsid w:val="0082023E"/>
    <w:rsid w:val="00825F7D"/>
    <w:rsid w:val="008C3590"/>
    <w:rsid w:val="008D43B1"/>
    <w:rsid w:val="008F6B2A"/>
    <w:rsid w:val="009C4FB3"/>
    <w:rsid w:val="009F5774"/>
    <w:rsid w:val="00A44EA6"/>
    <w:rsid w:val="00B015CE"/>
    <w:rsid w:val="00B1452C"/>
    <w:rsid w:val="00B41581"/>
    <w:rsid w:val="00CE799A"/>
    <w:rsid w:val="00D13B94"/>
    <w:rsid w:val="00E401D7"/>
    <w:rsid w:val="00E63E07"/>
    <w:rsid w:val="00F33CBD"/>
    <w:rsid w:val="00F82A21"/>
    <w:rsid w:val="00FA0527"/>
    <w:rsid w:val="00FE7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491A"/>
  <w15:docId w15:val="{26C0B8ED-3C3A-4F4C-8000-74366683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aliases w:val="článek smlouva"/>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E7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5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5CE"/>
    <w:rPr>
      <w:b/>
      <w:bCs/>
    </w:rPr>
  </w:style>
  <w:style w:type="character" w:customStyle="1" w:styleId="PedmtkomenteChar">
    <w:name w:val="Předmět komentáře Char"/>
    <w:basedOn w:val="TextkomenteChar"/>
    <w:link w:val="Pedmtkomente"/>
    <w:uiPriority w:val="99"/>
    <w:semiHidden/>
    <w:rsid w:val="00B015CE"/>
    <w:rPr>
      <w:b/>
      <w:bCs/>
    </w:rPr>
  </w:style>
  <w:style w:type="paragraph" w:styleId="Odstavecseseznamem">
    <w:name w:val="List Paragraph"/>
    <w:basedOn w:val="Normln"/>
    <w:uiPriority w:val="34"/>
    <w:qFormat/>
    <w:rsid w:val="004150FE"/>
    <w:pPr>
      <w:ind w:left="720"/>
      <w:contextualSpacing/>
    </w:pPr>
  </w:style>
  <w:style w:type="paragraph" w:styleId="Zpat">
    <w:name w:val="footer"/>
    <w:basedOn w:val="Normln"/>
    <w:link w:val="ZpatChar"/>
    <w:uiPriority w:val="99"/>
    <w:unhideWhenUsed/>
    <w:rsid w:val="005155D1"/>
    <w:pPr>
      <w:tabs>
        <w:tab w:val="center" w:pos="4536"/>
        <w:tab w:val="right" w:pos="9072"/>
      </w:tabs>
    </w:pPr>
  </w:style>
  <w:style w:type="character" w:customStyle="1" w:styleId="ZpatChar">
    <w:name w:val="Zápatí Char"/>
    <w:basedOn w:val="Standardnpsmoodstavce"/>
    <w:link w:val="Zpat"/>
    <w:uiPriority w:val="99"/>
    <w:rsid w:val="005155D1"/>
  </w:style>
  <w:style w:type="paragraph" w:styleId="Zhlav">
    <w:name w:val="header"/>
    <w:basedOn w:val="Normln"/>
    <w:link w:val="ZhlavChar"/>
    <w:uiPriority w:val="99"/>
    <w:unhideWhenUsed/>
    <w:rsid w:val="00622FA7"/>
    <w:pPr>
      <w:tabs>
        <w:tab w:val="center" w:pos="4536"/>
        <w:tab w:val="right" w:pos="9072"/>
      </w:tabs>
    </w:pPr>
  </w:style>
  <w:style w:type="character" w:customStyle="1" w:styleId="ZhlavChar">
    <w:name w:val="Záhlaví Char"/>
    <w:basedOn w:val="Standardnpsmoodstavce"/>
    <w:link w:val="Zhlav"/>
    <w:uiPriority w:val="99"/>
    <w:rsid w:val="00622FA7"/>
  </w:style>
  <w:style w:type="paragraph" w:customStyle="1" w:styleId="odstavce">
    <w:name w:val="odstavce"/>
    <w:basedOn w:val="Normln"/>
    <w:link w:val="odstavceChar"/>
    <w:qFormat/>
    <w:rsid w:val="004A2F8F"/>
    <w:pPr>
      <w:spacing w:after="60"/>
      <w:ind w:left="425" w:hanging="425"/>
      <w:jc w:val="both"/>
      <w:outlineLvl w:val="1"/>
    </w:pPr>
    <w:rPr>
      <w:rFonts w:ascii="Calibri" w:hAnsi="Calibri"/>
      <w:sz w:val="22"/>
      <w:szCs w:val="22"/>
      <w:lang w:val="x-none" w:eastAsia="x-none"/>
    </w:rPr>
  </w:style>
  <w:style w:type="paragraph" w:customStyle="1" w:styleId="psm">
    <w:name w:val="písm"/>
    <w:basedOn w:val="odstavce"/>
    <w:qFormat/>
    <w:rsid w:val="004A2F8F"/>
    <w:pPr>
      <w:ind w:left="2505" w:hanging="360"/>
    </w:pPr>
  </w:style>
  <w:style w:type="character" w:customStyle="1" w:styleId="odstavceChar">
    <w:name w:val="odstavce Char"/>
    <w:link w:val="odstavce"/>
    <w:rsid w:val="004A2F8F"/>
    <w:rPr>
      <w:rFonts w:ascii="Calibri" w:hAnsi="Calibri"/>
      <w:sz w:val="22"/>
      <w:szCs w:val="22"/>
      <w:lang w:val="x-none" w:eastAsia="x-none"/>
    </w:rPr>
  </w:style>
  <w:style w:type="character" w:customStyle="1" w:styleId="Drobnpsmo">
    <w:name w:val="Drobné písmo"/>
    <w:basedOn w:val="Standardnpsmoodstavce"/>
    <w:uiPriority w:val="99"/>
    <w:rsid w:val="00344D17"/>
    <w:rPr>
      <w:rFonts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2818</Words>
  <Characters>16627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Kopačková Slávka</dc:creator>
  <cp:lastModifiedBy>Šulcková Andrea</cp:lastModifiedBy>
  <cp:revision>2</cp:revision>
  <dcterms:created xsi:type="dcterms:W3CDTF">2024-12-23T08:51:00Z</dcterms:created>
  <dcterms:modified xsi:type="dcterms:W3CDTF">2024-12-23T08:51:00Z</dcterms:modified>
</cp:coreProperties>
</file>