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658A6CEF" w:rsidR="003A045F" w:rsidRPr="00EF3CDF" w:rsidRDefault="003A045F" w:rsidP="008B63D9">
      <w:pPr>
        <w:spacing w:after="0" w:line="240" w:lineRule="auto"/>
        <w:ind w:left="284" w:right="260"/>
        <w:jc w:val="both"/>
        <w:rPr>
          <w:rFonts w:cs="Arial"/>
        </w:rPr>
      </w:pPr>
      <w:r w:rsidRPr="00EF3CDF">
        <w:rPr>
          <w:rFonts w:cs="Arial"/>
        </w:rPr>
        <w:t>IČ</w:t>
      </w:r>
      <w:r w:rsidR="00C80514">
        <w:rPr>
          <w:rFonts w:cs="Arial"/>
        </w:rPr>
        <w:t>O</w:t>
      </w:r>
      <w:r w:rsidRPr="00EF3CDF">
        <w:rPr>
          <w:rFonts w:cs="Arial"/>
        </w:rPr>
        <w:t>: 24146978, DIČ: CZ24146978,</w:t>
      </w:r>
    </w:p>
    <w:p w14:paraId="2B78EC74"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5913F56E" w14:textId="0E0C2266" w:rsidR="00960A36" w:rsidRPr="00EF3CDF" w:rsidRDefault="00960A36" w:rsidP="008B63D9">
      <w:pPr>
        <w:spacing w:after="0" w:line="240" w:lineRule="auto"/>
        <w:ind w:left="284" w:right="260"/>
        <w:jc w:val="both"/>
        <w:rPr>
          <w:rFonts w:cs="Arial"/>
        </w:rPr>
      </w:pPr>
      <w:r w:rsidRPr="00EF3CDF">
        <w:rPr>
          <w:rFonts w:cs="Arial"/>
        </w:rPr>
        <w:t xml:space="preserve">bankovní spojení: </w:t>
      </w:r>
      <w:proofErr w:type="spellStart"/>
      <w:r w:rsidRPr="00EF3CDF">
        <w:rPr>
          <w:rStyle w:val="platne1"/>
          <w:rFonts w:cs="Arial"/>
        </w:rPr>
        <w:t>UniCredit</w:t>
      </w:r>
      <w:proofErr w:type="spellEnd"/>
      <w:r w:rsidRPr="00EF3CDF">
        <w:rPr>
          <w:rStyle w:val="platne1"/>
          <w:rFonts w:cs="Arial"/>
        </w:rPr>
        <w:t xml:space="preserve"> Bank Czech Republic, a.s.,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2D7638BC" w14:textId="77777777" w:rsidR="004C0315" w:rsidRDefault="004C0315" w:rsidP="008B63D9">
      <w:pPr>
        <w:spacing w:after="0" w:line="240" w:lineRule="auto"/>
        <w:ind w:left="284" w:right="260"/>
        <w:jc w:val="both"/>
        <w:rPr>
          <w:rFonts w:cs="Arial"/>
        </w:rPr>
      </w:pPr>
    </w:p>
    <w:p w14:paraId="4A817FAA" w14:textId="7A691C79"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3F51C40A" w14:textId="2B803BB9" w:rsidR="00C80514" w:rsidRDefault="004E22A1" w:rsidP="00C80514">
      <w:pPr>
        <w:spacing w:before="240" w:after="0"/>
        <w:ind w:left="284" w:right="260"/>
        <w:jc w:val="both"/>
        <w:rPr>
          <w:b/>
        </w:rPr>
      </w:pPr>
      <w:bookmarkStart w:id="0" w:name="jmeno_firmy"/>
      <w:bookmarkEnd w:id="0"/>
      <w:r>
        <w:rPr>
          <w:b/>
        </w:rPr>
        <w:t xml:space="preserve">Česká republika </w:t>
      </w:r>
      <w:r w:rsidR="007F001B">
        <w:rPr>
          <w:b/>
        </w:rPr>
        <w:t>–</w:t>
      </w:r>
      <w:r>
        <w:rPr>
          <w:b/>
        </w:rPr>
        <w:t xml:space="preserve"> </w:t>
      </w:r>
      <w:r w:rsidR="007F001B">
        <w:rPr>
          <w:b/>
        </w:rPr>
        <w:t>Okresní soud v Sokolově</w:t>
      </w:r>
      <w:r w:rsidR="00C80514">
        <w:rPr>
          <w:b/>
        </w:rPr>
        <w:t>,</w:t>
      </w:r>
    </w:p>
    <w:p w14:paraId="3EDA87C7" w14:textId="3FFF6A9B" w:rsidR="00C80514" w:rsidRDefault="00C80514" w:rsidP="00C80514">
      <w:pPr>
        <w:spacing w:after="0"/>
        <w:ind w:left="284" w:right="260"/>
        <w:jc w:val="both"/>
      </w:pPr>
      <w:r>
        <w:rPr>
          <w:rFonts w:cs="Arial"/>
        </w:rPr>
        <w:t xml:space="preserve">se sídlem </w:t>
      </w:r>
      <w:bookmarkStart w:id="1" w:name="ulice"/>
      <w:bookmarkEnd w:id="1"/>
      <w:r w:rsidR="007F001B">
        <w:rPr>
          <w:rFonts w:cs="Arial"/>
        </w:rPr>
        <w:t>K. H. Borovského 57, Sokolov</w:t>
      </w:r>
      <w:r>
        <w:rPr>
          <w:rFonts w:cs="Arial"/>
        </w:rPr>
        <w:t xml:space="preserve">, PSČ </w:t>
      </w:r>
      <w:bookmarkStart w:id="2" w:name="psc"/>
      <w:bookmarkEnd w:id="2"/>
      <w:r w:rsidR="007F001B">
        <w:rPr>
          <w:rFonts w:cs="Arial"/>
        </w:rPr>
        <w:t>356 32</w:t>
      </w:r>
      <w:r>
        <w:rPr>
          <w:rFonts w:cs="Arial"/>
        </w:rPr>
        <w:t>,</w:t>
      </w:r>
    </w:p>
    <w:p w14:paraId="6097B675" w14:textId="69F68637" w:rsidR="00C80514" w:rsidRDefault="00C80514" w:rsidP="00C80514">
      <w:pPr>
        <w:spacing w:after="0"/>
        <w:ind w:left="284" w:right="260"/>
        <w:jc w:val="both"/>
        <w:rPr>
          <w:rFonts w:cs="Arial"/>
        </w:rPr>
      </w:pPr>
      <w:r>
        <w:rPr>
          <w:rFonts w:cs="Arial"/>
        </w:rPr>
        <w:t xml:space="preserve">IČO: </w:t>
      </w:r>
      <w:bookmarkStart w:id="3" w:name="ico"/>
      <w:bookmarkEnd w:id="3"/>
      <w:r>
        <w:rPr>
          <w:rFonts w:cs="Arial"/>
        </w:rPr>
        <w:t>00</w:t>
      </w:r>
      <w:r w:rsidR="007F001B">
        <w:rPr>
          <w:rFonts w:cs="Arial"/>
        </w:rPr>
        <w:t>024791</w:t>
      </w:r>
      <w:r>
        <w:rPr>
          <w:rFonts w:cs="Arial"/>
        </w:rPr>
        <w:t xml:space="preserve"> </w:t>
      </w:r>
    </w:p>
    <w:p w14:paraId="373F8630" w14:textId="77777777" w:rsidR="00C80514" w:rsidRPr="007F5CF1" w:rsidRDefault="00C80514" w:rsidP="00C80514">
      <w:pPr>
        <w:spacing w:after="0"/>
        <w:ind w:left="284" w:right="260"/>
        <w:jc w:val="both"/>
        <w:rPr>
          <w:rFonts w:asciiTheme="minorHAnsi" w:hAnsiTheme="minorHAnsi" w:cstheme="minorHAnsi"/>
        </w:rPr>
      </w:pPr>
      <w:r>
        <w:rPr>
          <w:rFonts w:cs="Arial"/>
        </w:rPr>
        <w:t>DIČ:</w:t>
      </w:r>
      <w:r>
        <w:t xml:space="preserve"> </w:t>
      </w:r>
      <w:bookmarkStart w:id="4" w:name="dic"/>
      <w:bookmarkEnd w:id="4"/>
      <w:r w:rsidRPr="007F5CF1">
        <w:rPr>
          <w:rFonts w:asciiTheme="minorHAnsi" w:hAnsiTheme="minorHAnsi" w:cstheme="minorHAnsi"/>
        </w:rPr>
        <w:t>není plátce DPH</w:t>
      </w:r>
    </w:p>
    <w:p w14:paraId="1B0BB78E" w14:textId="738AB113" w:rsidR="00C80514" w:rsidRDefault="00C80514" w:rsidP="00C80514">
      <w:pPr>
        <w:ind w:firstLine="284"/>
        <w:rPr>
          <w:rFonts w:asciiTheme="minorHAnsi" w:hAnsiTheme="minorHAnsi" w:cstheme="minorHAnsi"/>
        </w:rPr>
      </w:pPr>
      <w:r w:rsidRPr="007F5CF1">
        <w:rPr>
          <w:rFonts w:asciiTheme="minorHAnsi" w:hAnsiTheme="minorHAnsi" w:cstheme="minorHAnsi"/>
        </w:rPr>
        <w:t xml:space="preserve">zastoupena </w:t>
      </w:r>
      <w:r w:rsidR="007F001B">
        <w:rPr>
          <w:rFonts w:asciiTheme="minorHAnsi" w:hAnsiTheme="minorHAnsi" w:cstheme="minorHAnsi"/>
        </w:rPr>
        <w:t xml:space="preserve">JUDr. Radoslavem </w:t>
      </w:r>
      <w:proofErr w:type="spellStart"/>
      <w:r w:rsidR="007F001B">
        <w:rPr>
          <w:rFonts w:asciiTheme="minorHAnsi" w:hAnsiTheme="minorHAnsi" w:cstheme="minorHAnsi"/>
        </w:rPr>
        <w:t>Krůškem</w:t>
      </w:r>
      <w:proofErr w:type="spellEnd"/>
      <w:r w:rsidR="007F001B">
        <w:rPr>
          <w:rFonts w:asciiTheme="minorHAnsi" w:hAnsiTheme="minorHAnsi" w:cstheme="minorHAnsi"/>
        </w:rPr>
        <w:t>, předsedou okresního soudu</w:t>
      </w:r>
      <w:r w:rsidRPr="007F5CF1">
        <w:rPr>
          <w:rFonts w:asciiTheme="minorHAnsi" w:hAnsiTheme="minorHAnsi" w:cstheme="minorHAnsi"/>
        </w:rPr>
        <w:t xml:space="preserve"> </w:t>
      </w:r>
    </w:p>
    <w:p w14:paraId="2B8D8D71" w14:textId="77777777" w:rsidR="00C80514" w:rsidRPr="007F5CF1" w:rsidRDefault="00C80514" w:rsidP="00C80514">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39426A7A" w14:textId="67630E58" w:rsidR="00665BC6" w:rsidRDefault="00665BC6" w:rsidP="00665BC6">
      <w:pPr>
        <w:pStyle w:val="Odstavecseseznamem"/>
        <w:numPr>
          <w:ilvl w:val="1"/>
          <w:numId w:val="11"/>
        </w:numPr>
        <w:spacing w:after="0" w:line="240" w:lineRule="auto"/>
        <w:ind w:left="709" w:right="260" w:hanging="425"/>
        <w:jc w:val="both"/>
        <w:rPr>
          <w:rFonts w:cs="Arial"/>
        </w:rPr>
      </w:pPr>
      <w:r>
        <w:rPr>
          <w:rFonts w:cs="Arial"/>
        </w:rPr>
        <w:t>Za užívání Beck-online se uživatel zavazuje platit poskytovateli odměnu, jejíž výše vychází z aktivity uživatelů v pilotním provozu užívání Beck-online (dále jen „</w:t>
      </w:r>
      <w:r>
        <w:rPr>
          <w:rFonts w:cs="Arial"/>
          <w:b/>
          <w:bCs/>
        </w:rPr>
        <w:t>odměna</w:t>
      </w:r>
      <w:r>
        <w:rPr>
          <w:rFonts w:cs="Arial"/>
        </w:rPr>
        <w:t xml:space="preserve">“). </w:t>
      </w:r>
    </w:p>
    <w:p w14:paraId="46C3387B" w14:textId="5078F01D"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w:t>
      </w:r>
      <w:r w:rsidR="009B5026">
        <w:rPr>
          <w:rFonts w:cs="Arial"/>
        </w:rPr>
        <w:t xml:space="preserve"> (2)</w:t>
      </w:r>
      <w:r>
        <w:rPr>
          <w:rFonts w:cs="Arial"/>
        </w:rPr>
        <w:t xml:space="preserve"> měsíce před začátkem daného období. Elektronická faktura bude zasílána na email:</w:t>
      </w:r>
      <w:r w:rsidR="00C80514">
        <w:rPr>
          <w:rFonts w:cs="Arial"/>
        </w:rPr>
        <w:t xml:space="preserve"> </w:t>
      </w:r>
      <w:hyperlink r:id="rId9" w:history="1">
        <w:r w:rsidR="006D2041" w:rsidRPr="001C3457">
          <w:rPr>
            <w:rStyle w:val="Hypertextovodkaz"/>
            <w:rFonts w:cs="Arial"/>
          </w:rPr>
          <w:t>podatelna@osoud.sok.justice.cz</w:t>
        </w:r>
      </w:hyperlink>
      <w:r w:rsidR="00C80514">
        <w:rPr>
          <w:rStyle w:val="Hypertextovodkaz"/>
          <w:rFonts w:cs="Arial"/>
        </w:rPr>
        <w:t>.</w:t>
      </w:r>
      <w:r>
        <w:rPr>
          <w:rFonts w:cs="Arial"/>
        </w:rPr>
        <w:t xml:space="preserve"> O případné změně emailové adresy je uživatel povinen poskytovatele bezodkladně písemnou formou informovat. </w:t>
      </w:r>
    </w:p>
    <w:p w14:paraId="4A5A99A1" w14:textId="4F7C428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5" w:name="splatnost"/>
      <w:bookmarkEnd w:id="5"/>
      <w:r w:rsidR="002F250D">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r>
      <w:r>
        <w:rPr>
          <w:rFonts w:cs="Arial"/>
        </w:rPr>
        <w:lastRenderedPageBreak/>
        <w:t>Beck-online však nezaniká právo Poskytovatele na úhradu Odměny i za dobu, během které nebyla tato služba poskytována.</w:t>
      </w:r>
    </w:p>
    <w:p w14:paraId="6AC36CBA" w14:textId="77777777" w:rsidR="005A1A1C" w:rsidRDefault="005A1A1C" w:rsidP="005A1A1C">
      <w:pPr>
        <w:pStyle w:val="Odstavecseseznamem"/>
        <w:spacing w:after="100" w:afterAutospacing="1" w:line="240" w:lineRule="auto"/>
        <w:ind w:left="709" w:right="260"/>
        <w:jc w:val="both"/>
        <w:rPr>
          <w:rFonts w:cs="Arial"/>
          <w:b/>
        </w:rPr>
      </w:pPr>
    </w:p>
    <w:p w14:paraId="10C49241" w14:textId="05950749"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602B7624"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104E2926"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5B371C2F" w14:textId="2EE70221"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F250D">
        <w:t>01.01.202</w:t>
      </w:r>
      <w:r w:rsidR="000A441A">
        <w:t>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34471AC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6" w:name="doba_trvani"/>
      <w:bookmarkEnd w:id="6"/>
      <w:r w:rsidR="002F250D">
        <w:rPr>
          <w:rFonts w:cs="Arial"/>
          <w:b/>
        </w:rPr>
        <w:t>určitou, a to do 31.12.202</w:t>
      </w:r>
      <w:r w:rsidR="00667882">
        <w:rPr>
          <w:rFonts w:cs="Arial"/>
          <w:b/>
        </w:rPr>
        <w:t>6</w:t>
      </w:r>
      <w:r>
        <w:rPr>
          <w:rFonts w:cs="Arial"/>
        </w:rPr>
        <w:t>. Licence je uživateli udělena na dobu trvání této smlouvy.</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5907D336" w14:textId="6ED8B4E4"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r w:rsidR="00F93A89">
        <w:rPr>
          <w:rFonts w:cs="Arial"/>
        </w:rPr>
        <w:t xml:space="preserve"> Toto ustanovení se nepoužije, pokud bude smlouva podepsána elektronicky.</w:t>
      </w:r>
    </w:p>
    <w:p w14:paraId="423B10AF" w14:textId="187F6362" w:rsidR="009B5026" w:rsidRPr="009B5026" w:rsidRDefault="009B5026" w:rsidP="009B5026">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2C28773A" w14:textId="77777777" w:rsidR="009B5026" w:rsidRDefault="009B5026" w:rsidP="009B5026">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2772A983" w14:textId="77777777" w:rsidR="009B5026" w:rsidRPr="00F31C91"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74DDDE54" w14:textId="77777777" w:rsidR="009B5026" w:rsidRPr="009B5026"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0080939E" w14:textId="77777777" w:rsidR="009B5026" w:rsidRDefault="009B5026" w:rsidP="009B5026">
      <w:pPr>
        <w:pStyle w:val="Odstavecseseznamem"/>
        <w:tabs>
          <w:tab w:val="left" w:pos="6096"/>
        </w:tabs>
        <w:spacing w:before="240" w:after="0" w:line="240" w:lineRule="auto"/>
        <w:ind w:left="709" w:right="260"/>
        <w:jc w:val="both"/>
        <w:rPr>
          <w:rFonts w:cs="Arial"/>
        </w:rPr>
      </w:pPr>
    </w:p>
    <w:p w14:paraId="71B627A1" w14:textId="77777777" w:rsidR="00F60190" w:rsidRDefault="00F60190" w:rsidP="009B5026">
      <w:pPr>
        <w:pStyle w:val="Odstavecseseznamem"/>
        <w:tabs>
          <w:tab w:val="left" w:pos="6096"/>
        </w:tabs>
        <w:spacing w:before="240" w:after="0" w:line="240" w:lineRule="auto"/>
        <w:ind w:left="709" w:right="260"/>
        <w:jc w:val="both"/>
        <w:rPr>
          <w:rFonts w:cs="Arial"/>
        </w:rPr>
      </w:pPr>
    </w:p>
    <w:p w14:paraId="534DF86A" w14:textId="77777777" w:rsidR="00F60190" w:rsidRPr="00CD2A12" w:rsidRDefault="00F60190" w:rsidP="009B5026">
      <w:pPr>
        <w:pStyle w:val="Odstavecseseznamem"/>
        <w:tabs>
          <w:tab w:val="left" w:pos="6096"/>
        </w:tabs>
        <w:spacing w:before="240" w:after="0" w:line="240" w:lineRule="auto"/>
        <w:ind w:left="709" w:right="260"/>
        <w:jc w:val="both"/>
        <w:rPr>
          <w:rFonts w:cs="Arial"/>
        </w:rPr>
      </w:pPr>
    </w:p>
    <w:p w14:paraId="75C642F1" w14:textId="43A91345" w:rsidR="009B5026" w:rsidRPr="009B5026" w:rsidRDefault="009B5026" w:rsidP="009B5026">
      <w:pPr>
        <w:pStyle w:val="Odstavecseseznamem"/>
        <w:numPr>
          <w:ilvl w:val="0"/>
          <w:numId w:val="11"/>
        </w:numPr>
        <w:tabs>
          <w:tab w:val="left" w:pos="6096"/>
        </w:tabs>
        <w:spacing w:before="240" w:after="0" w:line="240" w:lineRule="auto"/>
        <w:ind w:right="260"/>
        <w:jc w:val="both"/>
        <w:rPr>
          <w:b/>
          <w:bCs/>
        </w:rPr>
      </w:pPr>
      <w:r w:rsidRPr="009B5026">
        <w:rPr>
          <w:b/>
          <w:bCs/>
        </w:rPr>
        <w:lastRenderedPageBreak/>
        <w:t xml:space="preserve">Seznam příloh </w:t>
      </w:r>
    </w:p>
    <w:p w14:paraId="5202FF53" w14:textId="0230BE8A" w:rsidR="009B5026" w:rsidRDefault="009B5026" w:rsidP="009B5026">
      <w:pPr>
        <w:tabs>
          <w:tab w:val="left" w:pos="6096"/>
        </w:tabs>
        <w:spacing w:before="240" w:after="0" w:line="240" w:lineRule="auto"/>
        <w:ind w:left="360" w:right="260"/>
        <w:jc w:val="both"/>
      </w:pPr>
      <w:r>
        <w:t>9.1. Nedílnou součástí této Smlouvy je tato příloha:</w:t>
      </w:r>
    </w:p>
    <w:p w14:paraId="580A0305" w14:textId="6DA0F65D" w:rsidR="009B5026" w:rsidRPr="000412B9" w:rsidRDefault="009B5026" w:rsidP="009B5026">
      <w:pPr>
        <w:tabs>
          <w:tab w:val="left" w:pos="6096"/>
        </w:tabs>
        <w:spacing w:before="240" w:after="0" w:line="240" w:lineRule="auto"/>
        <w:ind w:right="260"/>
        <w:jc w:val="both"/>
      </w:pPr>
      <w:r>
        <w:t xml:space="preserve">               Příloha č. 1 – Rozsah licence </w:t>
      </w:r>
    </w:p>
    <w:p w14:paraId="0D12FAB4" w14:textId="77777777" w:rsidR="009B5026" w:rsidRDefault="009B5026" w:rsidP="009B5026">
      <w:pPr>
        <w:pStyle w:val="Odstavecseseznamem"/>
        <w:spacing w:before="80" w:after="0" w:line="240" w:lineRule="auto"/>
        <w:ind w:left="709" w:right="260"/>
        <w:jc w:val="both"/>
        <w:rPr>
          <w:rFonts w:cs="Arial"/>
        </w:rPr>
      </w:pP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6A5CE4C2"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F93A89">
        <w:rPr>
          <w:rFonts w:cs="Arial"/>
        </w:rPr>
        <w:t xml:space="preserve">el. </w:t>
      </w:r>
      <w:r w:rsidR="006B7984">
        <w:rPr>
          <w:rFonts w:cs="Arial"/>
        </w:rPr>
        <w:t>p</w:t>
      </w:r>
      <w:r w:rsidR="00F93A89">
        <w:rPr>
          <w:rFonts w:cs="Arial"/>
        </w:rPr>
        <w:t>odpisu</w:t>
      </w:r>
      <w:r w:rsidR="006B7984">
        <w:rPr>
          <w:rFonts w:cs="Arial"/>
        </w:rPr>
        <w:t xml:space="preserve"> 20.12.2024</w:t>
      </w:r>
      <w:r>
        <w:rPr>
          <w:rFonts w:cs="Arial"/>
        </w:rPr>
        <w:tab/>
        <w:t>V</w:t>
      </w:r>
      <w:r w:rsidR="00667882">
        <w:rPr>
          <w:rFonts w:cs="Arial"/>
        </w:rPr>
        <w:t> </w:t>
      </w:r>
      <w:bookmarkStart w:id="7" w:name="mesto_firmy1"/>
      <w:bookmarkEnd w:id="7"/>
      <w:r w:rsidR="007F001B">
        <w:rPr>
          <w:rFonts w:cs="Arial"/>
        </w:rPr>
        <w:t>Sokolově</w:t>
      </w:r>
      <w:r w:rsidR="00667882">
        <w:rPr>
          <w:rFonts w:cs="Arial"/>
        </w:rPr>
        <w:t xml:space="preserve"> </w:t>
      </w:r>
      <w:r>
        <w:rPr>
          <w:rFonts w:cs="Arial"/>
        </w:rPr>
        <w:t>dne</w:t>
      </w:r>
      <w:r w:rsidR="00F93A89">
        <w:rPr>
          <w:rFonts w:cs="Arial"/>
        </w:rPr>
        <w:t xml:space="preserve"> el. </w:t>
      </w:r>
      <w:r w:rsidR="006B7984">
        <w:rPr>
          <w:rFonts w:cs="Arial"/>
        </w:rPr>
        <w:t>p</w:t>
      </w:r>
      <w:r w:rsidR="00F93A89">
        <w:rPr>
          <w:rFonts w:cs="Arial"/>
        </w:rPr>
        <w:t>odpisu</w:t>
      </w:r>
      <w:r w:rsidR="00C66C1F">
        <w:rPr>
          <w:rFonts w:cs="Arial"/>
        </w:rPr>
        <w:t xml:space="preserve"> 18.12.2024</w:t>
      </w:r>
    </w:p>
    <w:p w14:paraId="4D3EA1C3" w14:textId="77777777" w:rsidR="007B2A46" w:rsidRDefault="007B2A46" w:rsidP="007B2A46">
      <w:pPr>
        <w:tabs>
          <w:tab w:val="left" w:pos="5387"/>
        </w:tabs>
        <w:spacing w:after="0" w:line="240" w:lineRule="auto"/>
        <w:ind w:left="284" w:right="118"/>
        <w:jc w:val="both"/>
        <w:rPr>
          <w:rFonts w:cs="Arial"/>
        </w:rPr>
      </w:pPr>
    </w:p>
    <w:p w14:paraId="261D2E82" w14:textId="77777777" w:rsidR="00667882" w:rsidRDefault="00667882" w:rsidP="007B2A46">
      <w:pPr>
        <w:tabs>
          <w:tab w:val="left" w:pos="5387"/>
        </w:tabs>
        <w:spacing w:after="0" w:line="240" w:lineRule="auto"/>
        <w:ind w:left="284" w:right="118"/>
        <w:jc w:val="both"/>
        <w:rPr>
          <w:rFonts w:cs="Arial"/>
        </w:rPr>
      </w:pPr>
    </w:p>
    <w:p w14:paraId="0799D2E9" w14:textId="09D15B14" w:rsidR="00667882" w:rsidRPr="00C66C1F" w:rsidRDefault="00C66C1F" w:rsidP="007B2A46">
      <w:pPr>
        <w:tabs>
          <w:tab w:val="left" w:pos="5387"/>
        </w:tabs>
        <w:spacing w:after="0" w:line="240" w:lineRule="auto"/>
        <w:ind w:left="284" w:right="118"/>
        <w:jc w:val="both"/>
        <w:rPr>
          <w:rFonts w:cs="Arial"/>
          <w:color w:val="FF0000"/>
        </w:rPr>
      </w:pPr>
      <w:r>
        <w:rPr>
          <w:rFonts w:cs="Arial"/>
          <w:color w:val="FF0000"/>
        </w:rPr>
        <w:tab/>
      </w:r>
      <w:r>
        <w:rPr>
          <w:rFonts w:cs="Arial"/>
          <w:color w:val="FF0000"/>
        </w:rPr>
        <w:tab/>
      </w:r>
    </w:p>
    <w:p w14:paraId="4200C62D" w14:textId="77777777" w:rsidR="00667882" w:rsidRDefault="00667882"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6D83F940" w:rsidR="007B2A46" w:rsidRDefault="007B2A46" w:rsidP="007B2A46">
      <w:pPr>
        <w:tabs>
          <w:tab w:val="left" w:pos="5387"/>
        </w:tabs>
        <w:spacing w:after="0" w:line="240" w:lineRule="auto"/>
        <w:ind w:right="118"/>
        <w:jc w:val="both"/>
        <w:rPr>
          <w:rFonts w:cs="Arial"/>
          <w:b/>
        </w:rPr>
      </w:pPr>
      <w:r>
        <w:rPr>
          <w:rFonts w:cs="Arial"/>
          <w:b/>
        </w:rPr>
        <w:t xml:space="preserve">     Nakladatelství C.</w:t>
      </w:r>
      <w:r w:rsidR="00F93A89">
        <w:rPr>
          <w:rFonts w:cs="Arial"/>
          <w:b/>
        </w:rPr>
        <w:t xml:space="preserve"> </w:t>
      </w:r>
      <w:r>
        <w:rPr>
          <w:rFonts w:cs="Arial"/>
          <w:b/>
        </w:rPr>
        <w:t>H.</w:t>
      </w:r>
      <w:r w:rsidR="00F93A89">
        <w:rPr>
          <w:rFonts w:cs="Arial"/>
          <w:b/>
        </w:rPr>
        <w:t xml:space="preserve"> </w:t>
      </w:r>
      <w:r>
        <w:rPr>
          <w:rFonts w:cs="Arial"/>
          <w:b/>
        </w:rPr>
        <w:t>Beck, s.r.o.</w:t>
      </w:r>
      <w:r>
        <w:rPr>
          <w:rFonts w:cs="Arial"/>
          <w:b/>
        </w:rPr>
        <w:tab/>
      </w:r>
      <w:bookmarkStart w:id="8" w:name="jmeno_firmy2"/>
      <w:bookmarkEnd w:id="8"/>
      <w:r w:rsidR="007F001B">
        <w:rPr>
          <w:rFonts w:cs="Arial"/>
          <w:b/>
        </w:rPr>
        <w:t>Okresní soud v Sokolově</w:t>
      </w:r>
    </w:p>
    <w:p w14:paraId="7CDFCF4E" w14:textId="26C348B8"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7F001B">
        <w:rPr>
          <w:rFonts w:cs="Arial"/>
        </w:rPr>
        <w:t>JUDr. Radoslav Krůšek</w:t>
      </w:r>
    </w:p>
    <w:p w14:paraId="504FC42A" w14:textId="16B9C164" w:rsidR="00C80726" w:rsidRDefault="00C80726" w:rsidP="007B2A46">
      <w:pPr>
        <w:tabs>
          <w:tab w:val="left" w:pos="5387"/>
        </w:tabs>
        <w:spacing w:after="0" w:line="240" w:lineRule="auto"/>
        <w:ind w:right="118"/>
        <w:jc w:val="both"/>
        <w:rPr>
          <w:rFonts w:cs="Arial"/>
        </w:rPr>
      </w:pPr>
      <w:r>
        <w:rPr>
          <w:rFonts w:cs="Arial"/>
        </w:rPr>
        <w:tab/>
        <w:t>předsed</w:t>
      </w:r>
      <w:r w:rsidR="007F001B">
        <w:rPr>
          <w:rFonts w:cs="Arial"/>
        </w:rPr>
        <w:t>a</w:t>
      </w:r>
      <w:r>
        <w:rPr>
          <w:rFonts w:cs="Arial"/>
        </w:rPr>
        <w:t xml:space="preserve"> </w:t>
      </w:r>
      <w:r w:rsidR="007F001B">
        <w:rPr>
          <w:rFonts w:cs="Arial"/>
        </w:rPr>
        <w:t>Okresního soudu v Sokolově</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2CC569B2" w14:textId="463BFBA2" w:rsidR="007B2A46" w:rsidRDefault="00891D48" w:rsidP="00891D48">
      <w:pPr>
        <w:spacing w:after="0" w:line="240" w:lineRule="auto"/>
        <w:ind w:left="567" w:right="260"/>
        <w:contextualSpacing/>
        <w:jc w:val="both"/>
        <w:rPr>
          <w:rFonts w:cs="Arial"/>
          <w:b/>
        </w:rPr>
      </w:pPr>
      <w:r w:rsidRPr="009F092C">
        <w:rPr>
          <w:rFonts w:cs="Calibri"/>
        </w:rPr>
        <w:t>Poskytovatel umožní přístup výlučně do následujících databází (modulů) Beck-online všem oprávněným osobám uživatele prostřednictvím uživatelských účtů na jméno:</w:t>
      </w:r>
    </w:p>
    <w:p w14:paraId="2C74AECD"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52E2260A" w14:textId="77777777" w:rsidTr="00667882">
        <w:trPr>
          <w:trHeight w:val="254"/>
        </w:trPr>
        <w:tc>
          <w:tcPr>
            <w:tcW w:w="4820" w:type="dxa"/>
            <w:tcBorders>
              <w:top w:val="nil"/>
              <w:bottom w:val="single" w:sz="4" w:space="0" w:color="auto"/>
            </w:tcBorders>
            <w:hideMark/>
          </w:tcPr>
          <w:p w14:paraId="1362BFD9" w14:textId="77777777" w:rsidR="007B2A46" w:rsidRDefault="007B2A46">
            <w:pPr>
              <w:spacing w:after="0" w:line="240" w:lineRule="auto"/>
              <w:ind w:left="33"/>
              <w:rPr>
                <w:b/>
                <w:bCs/>
              </w:rPr>
            </w:pPr>
            <w:bookmarkStart w:id="9" w:name="sl1"/>
            <w:bookmarkStart w:id="10" w:name="sl3" w:colFirst="1" w:colLast="1"/>
            <w:bookmarkEnd w:id="9"/>
            <w:r>
              <w:rPr>
                <w:b/>
                <w:bCs/>
              </w:rPr>
              <w:t>Modul</w:t>
            </w:r>
          </w:p>
        </w:tc>
        <w:tc>
          <w:tcPr>
            <w:tcW w:w="3945" w:type="dxa"/>
            <w:tcBorders>
              <w:top w:val="nil"/>
              <w:bottom w:val="single" w:sz="4" w:space="0" w:color="auto"/>
            </w:tcBorders>
          </w:tcPr>
          <w:p w14:paraId="4E66A559" w14:textId="69618021" w:rsidR="007B2A46" w:rsidRDefault="007B2A46">
            <w:pPr>
              <w:spacing w:after="0" w:line="240" w:lineRule="auto"/>
              <w:rPr>
                <w:b/>
                <w:bCs/>
                <w:color w:val="000000"/>
              </w:rPr>
            </w:pPr>
            <w:bookmarkStart w:id="11" w:name="sl2"/>
            <w:bookmarkEnd w:id="11"/>
          </w:p>
        </w:tc>
      </w:tr>
      <w:tr w:rsidR="00667882" w:rsidRPr="00667882" w14:paraId="6A4C51F7" w14:textId="77777777" w:rsidTr="00667882">
        <w:trPr>
          <w:trHeight w:val="254"/>
        </w:trPr>
        <w:tc>
          <w:tcPr>
            <w:tcW w:w="4820" w:type="dxa"/>
            <w:tcBorders>
              <w:top w:val="single" w:sz="4" w:space="0" w:color="auto"/>
              <w:bottom w:val="nil"/>
            </w:tcBorders>
          </w:tcPr>
          <w:p w14:paraId="5C4C10B2" w14:textId="77777777" w:rsidR="00667882" w:rsidRPr="00667882" w:rsidRDefault="00667882">
            <w:pPr>
              <w:spacing w:after="0" w:line="240" w:lineRule="auto"/>
              <w:ind w:left="33"/>
            </w:pPr>
            <w:r w:rsidRPr="00667882">
              <w:t>Beck-online PRO</w:t>
            </w:r>
          </w:p>
        </w:tc>
        <w:tc>
          <w:tcPr>
            <w:tcW w:w="3945" w:type="dxa"/>
            <w:tcBorders>
              <w:top w:val="single" w:sz="4" w:space="0" w:color="auto"/>
              <w:bottom w:val="nil"/>
            </w:tcBorders>
          </w:tcPr>
          <w:p w14:paraId="6D2973CC" w14:textId="77777777" w:rsidR="00667882" w:rsidRPr="00667882" w:rsidRDefault="00667882">
            <w:pPr>
              <w:spacing w:after="0" w:line="240" w:lineRule="auto"/>
              <w:rPr>
                <w:rFonts w:eastAsia="Times New Roman" w:cs="Arial"/>
                <w:color w:val="000000"/>
              </w:rPr>
            </w:pPr>
          </w:p>
        </w:tc>
      </w:tr>
      <w:tr w:rsidR="00667882" w:rsidRPr="00667882" w14:paraId="1771302F" w14:textId="77777777" w:rsidTr="00667882">
        <w:trPr>
          <w:trHeight w:val="254"/>
        </w:trPr>
        <w:tc>
          <w:tcPr>
            <w:tcW w:w="4820" w:type="dxa"/>
            <w:tcBorders>
              <w:top w:val="nil"/>
              <w:bottom w:val="nil"/>
            </w:tcBorders>
          </w:tcPr>
          <w:p w14:paraId="0CF1707D" w14:textId="77777777" w:rsidR="00667882" w:rsidRPr="00667882" w:rsidRDefault="00667882">
            <w:pPr>
              <w:spacing w:after="0" w:line="240" w:lineRule="auto"/>
              <w:ind w:left="33"/>
            </w:pPr>
            <w:r w:rsidRPr="00667882">
              <w:t>Daňové právo</w:t>
            </w:r>
          </w:p>
        </w:tc>
        <w:tc>
          <w:tcPr>
            <w:tcW w:w="3945" w:type="dxa"/>
            <w:tcBorders>
              <w:top w:val="nil"/>
              <w:bottom w:val="nil"/>
            </w:tcBorders>
          </w:tcPr>
          <w:p w14:paraId="25751346" w14:textId="77777777" w:rsidR="00667882" w:rsidRPr="00667882" w:rsidRDefault="00667882">
            <w:pPr>
              <w:spacing w:after="0" w:line="240" w:lineRule="auto"/>
              <w:rPr>
                <w:rFonts w:eastAsia="Times New Roman" w:cs="Arial"/>
                <w:color w:val="000000"/>
              </w:rPr>
            </w:pPr>
          </w:p>
        </w:tc>
      </w:tr>
      <w:tr w:rsidR="00667882" w:rsidRPr="00667882" w14:paraId="66DD74E7" w14:textId="77777777" w:rsidTr="00667882">
        <w:trPr>
          <w:trHeight w:val="254"/>
        </w:trPr>
        <w:tc>
          <w:tcPr>
            <w:tcW w:w="4820" w:type="dxa"/>
            <w:tcBorders>
              <w:top w:val="nil"/>
              <w:bottom w:val="nil"/>
            </w:tcBorders>
          </w:tcPr>
          <w:p w14:paraId="6C52470D" w14:textId="77777777" w:rsidR="00667882" w:rsidRPr="00667882" w:rsidRDefault="00667882">
            <w:pPr>
              <w:spacing w:after="0" w:line="240" w:lineRule="auto"/>
              <w:ind w:left="33"/>
            </w:pPr>
            <w:r w:rsidRPr="00667882">
              <w:t>Duševní vlastnictví</w:t>
            </w:r>
          </w:p>
        </w:tc>
        <w:tc>
          <w:tcPr>
            <w:tcW w:w="3945" w:type="dxa"/>
            <w:tcBorders>
              <w:top w:val="nil"/>
              <w:bottom w:val="nil"/>
            </w:tcBorders>
          </w:tcPr>
          <w:p w14:paraId="2B7C9E9B" w14:textId="77777777" w:rsidR="00667882" w:rsidRPr="00667882" w:rsidRDefault="00667882">
            <w:pPr>
              <w:spacing w:after="0" w:line="240" w:lineRule="auto"/>
              <w:rPr>
                <w:rFonts w:eastAsia="Times New Roman" w:cs="Arial"/>
                <w:color w:val="000000"/>
              </w:rPr>
            </w:pPr>
          </w:p>
        </w:tc>
      </w:tr>
      <w:tr w:rsidR="00667882" w:rsidRPr="00667882" w14:paraId="6E626025" w14:textId="77777777" w:rsidTr="00667882">
        <w:trPr>
          <w:trHeight w:val="254"/>
        </w:trPr>
        <w:tc>
          <w:tcPr>
            <w:tcW w:w="4820" w:type="dxa"/>
            <w:tcBorders>
              <w:top w:val="nil"/>
              <w:bottom w:val="nil"/>
            </w:tcBorders>
          </w:tcPr>
          <w:p w14:paraId="58DA9E87" w14:textId="77777777" w:rsidR="00667882" w:rsidRPr="00667882" w:rsidRDefault="00667882">
            <w:pPr>
              <w:spacing w:after="0" w:line="240" w:lineRule="auto"/>
              <w:ind w:left="33"/>
            </w:pPr>
            <w:r w:rsidRPr="00667882">
              <w:t>Finanční právo</w:t>
            </w:r>
          </w:p>
        </w:tc>
        <w:tc>
          <w:tcPr>
            <w:tcW w:w="3945" w:type="dxa"/>
            <w:tcBorders>
              <w:top w:val="nil"/>
              <w:bottom w:val="nil"/>
            </w:tcBorders>
          </w:tcPr>
          <w:p w14:paraId="56008E5D" w14:textId="77777777" w:rsidR="00667882" w:rsidRPr="00667882" w:rsidRDefault="00667882">
            <w:pPr>
              <w:spacing w:after="0" w:line="240" w:lineRule="auto"/>
              <w:rPr>
                <w:rFonts w:eastAsia="Times New Roman" w:cs="Arial"/>
                <w:color w:val="000000"/>
              </w:rPr>
            </w:pPr>
          </w:p>
        </w:tc>
      </w:tr>
      <w:tr w:rsidR="00667882" w:rsidRPr="00667882" w14:paraId="40C72B04" w14:textId="77777777" w:rsidTr="00667882">
        <w:trPr>
          <w:trHeight w:val="254"/>
        </w:trPr>
        <w:tc>
          <w:tcPr>
            <w:tcW w:w="4820" w:type="dxa"/>
            <w:tcBorders>
              <w:top w:val="nil"/>
              <w:bottom w:val="nil"/>
            </w:tcBorders>
          </w:tcPr>
          <w:p w14:paraId="4F0F6DE4" w14:textId="77777777" w:rsidR="00667882" w:rsidRPr="00667882" w:rsidRDefault="00667882">
            <w:pPr>
              <w:spacing w:after="0" w:line="240" w:lineRule="auto"/>
              <w:ind w:left="33"/>
            </w:pPr>
            <w:r w:rsidRPr="00667882">
              <w:t>Justiční a procesní právo PLUS</w:t>
            </w:r>
          </w:p>
        </w:tc>
        <w:tc>
          <w:tcPr>
            <w:tcW w:w="3945" w:type="dxa"/>
            <w:tcBorders>
              <w:top w:val="nil"/>
              <w:bottom w:val="nil"/>
            </w:tcBorders>
          </w:tcPr>
          <w:p w14:paraId="1DF7A6D0" w14:textId="77777777" w:rsidR="00667882" w:rsidRPr="00667882" w:rsidRDefault="00667882">
            <w:pPr>
              <w:spacing w:after="0" w:line="240" w:lineRule="auto"/>
              <w:rPr>
                <w:rFonts w:eastAsia="Times New Roman" w:cs="Arial"/>
                <w:color w:val="000000"/>
              </w:rPr>
            </w:pPr>
          </w:p>
        </w:tc>
      </w:tr>
      <w:tr w:rsidR="00667882" w:rsidRPr="00667882" w14:paraId="73727751" w14:textId="77777777" w:rsidTr="00667882">
        <w:trPr>
          <w:trHeight w:val="254"/>
        </w:trPr>
        <w:tc>
          <w:tcPr>
            <w:tcW w:w="4820" w:type="dxa"/>
            <w:tcBorders>
              <w:top w:val="nil"/>
              <w:bottom w:val="nil"/>
            </w:tcBorders>
          </w:tcPr>
          <w:p w14:paraId="33CA0DCC" w14:textId="77777777" w:rsidR="00667882" w:rsidRPr="00667882" w:rsidRDefault="00667882">
            <w:pPr>
              <w:spacing w:after="0" w:line="240" w:lineRule="auto"/>
              <w:ind w:left="33"/>
            </w:pPr>
            <w:r w:rsidRPr="00667882">
              <w:t>Občanské právo PLUS</w:t>
            </w:r>
          </w:p>
        </w:tc>
        <w:tc>
          <w:tcPr>
            <w:tcW w:w="3945" w:type="dxa"/>
            <w:tcBorders>
              <w:top w:val="nil"/>
              <w:bottom w:val="nil"/>
            </w:tcBorders>
          </w:tcPr>
          <w:p w14:paraId="698020AD" w14:textId="77777777" w:rsidR="00667882" w:rsidRPr="00667882" w:rsidRDefault="00667882">
            <w:pPr>
              <w:spacing w:after="0" w:line="240" w:lineRule="auto"/>
              <w:rPr>
                <w:rFonts w:eastAsia="Times New Roman" w:cs="Arial"/>
                <w:color w:val="000000"/>
              </w:rPr>
            </w:pPr>
          </w:p>
        </w:tc>
      </w:tr>
      <w:tr w:rsidR="00667882" w:rsidRPr="00667882" w14:paraId="36E04A0D" w14:textId="77777777" w:rsidTr="00667882">
        <w:trPr>
          <w:trHeight w:val="254"/>
        </w:trPr>
        <w:tc>
          <w:tcPr>
            <w:tcW w:w="4820" w:type="dxa"/>
            <w:tcBorders>
              <w:top w:val="nil"/>
              <w:bottom w:val="nil"/>
            </w:tcBorders>
          </w:tcPr>
          <w:p w14:paraId="095862E7" w14:textId="77777777" w:rsidR="00667882" w:rsidRPr="00667882" w:rsidRDefault="00667882">
            <w:pPr>
              <w:spacing w:after="0" w:line="240" w:lineRule="auto"/>
              <w:ind w:left="33"/>
            </w:pPr>
            <w:r w:rsidRPr="00667882">
              <w:t>Obchodní korporace PLUS</w:t>
            </w:r>
          </w:p>
        </w:tc>
        <w:tc>
          <w:tcPr>
            <w:tcW w:w="3945" w:type="dxa"/>
            <w:tcBorders>
              <w:top w:val="nil"/>
              <w:bottom w:val="nil"/>
            </w:tcBorders>
          </w:tcPr>
          <w:p w14:paraId="1ED6F0CA" w14:textId="77777777" w:rsidR="00667882" w:rsidRPr="00667882" w:rsidRDefault="00667882">
            <w:pPr>
              <w:spacing w:after="0" w:line="240" w:lineRule="auto"/>
              <w:rPr>
                <w:rFonts w:eastAsia="Times New Roman" w:cs="Arial"/>
                <w:color w:val="000000"/>
              </w:rPr>
            </w:pPr>
          </w:p>
        </w:tc>
      </w:tr>
      <w:tr w:rsidR="00667882" w:rsidRPr="00667882" w14:paraId="3ADCB1B9" w14:textId="77777777" w:rsidTr="00667882">
        <w:trPr>
          <w:trHeight w:val="254"/>
        </w:trPr>
        <w:tc>
          <w:tcPr>
            <w:tcW w:w="4820" w:type="dxa"/>
            <w:tcBorders>
              <w:top w:val="nil"/>
              <w:bottom w:val="nil"/>
            </w:tcBorders>
          </w:tcPr>
          <w:p w14:paraId="5585B84D" w14:textId="77777777" w:rsidR="00667882" w:rsidRPr="00667882" w:rsidRDefault="00667882">
            <w:pPr>
              <w:spacing w:after="0" w:line="240" w:lineRule="auto"/>
              <w:ind w:left="33"/>
            </w:pPr>
            <w:r w:rsidRPr="00667882">
              <w:t>Pracovní a sociální právo PLUS</w:t>
            </w:r>
          </w:p>
        </w:tc>
        <w:tc>
          <w:tcPr>
            <w:tcW w:w="3945" w:type="dxa"/>
            <w:tcBorders>
              <w:top w:val="nil"/>
              <w:bottom w:val="nil"/>
            </w:tcBorders>
          </w:tcPr>
          <w:p w14:paraId="05FC4B2D" w14:textId="77777777" w:rsidR="00667882" w:rsidRPr="00667882" w:rsidRDefault="00667882">
            <w:pPr>
              <w:spacing w:after="0" w:line="240" w:lineRule="auto"/>
              <w:rPr>
                <w:rFonts w:eastAsia="Times New Roman" w:cs="Arial"/>
                <w:color w:val="000000"/>
              </w:rPr>
            </w:pPr>
          </w:p>
        </w:tc>
      </w:tr>
      <w:tr w:rsidR="00667882" w:rsidRPr="00667882" w14:paraId="301E4A28" w14:textId="77777777" w:rsidTr="00667882">
        <w:trPr>
          <w:trHeight w:val="254"/>
        </w:trPr>
        <w:tc>
          <w:tcPr>
            <w:tcW w:w="4820" w:type="dxa"/>
            <w:tcBorders>
              <w:top w:val="nil"/>
              <w:bottom w:val="nil"/>
            </w:tcBorders>
          </w:tcPr>
          <w:p w14:paraId="3F9ADEC6" w14:textId="77777777" w:rsidR="00667882" w:rsidRPr="00667882" w:rsidRDefault="00667882">
            <w:pPr>
              <w:spacing w:after="0" w:line="240" w:lineRule="auto"/>
              <w:ind w:left="33"/>
            </w:pPr>
            <w:r w:rsidRPr="00667882">
              <w:t>Soutěžní právo</w:t>
            </w:r>
          </w:p>
        </w:tc>
        <w:tc>
          <w:tcPr>
            <w:tcW w:w="3945" w:type="dxa"/>
            <w:tcBorders>
              <w:top w:val="nil"/>
              <w:bottom w:val="nil"/>
            </w:tcBorders>
          </w:tcPr>
          <w:p w14:paraId="3361203B" w14:textId="77777777" w:rsidR="00667882" w:rsidRPr="00667882" w:rsidRDefault="00667882">
            <w:pPr>
              <w:spacing w:after="0" w:line="240" w:lineRule="auto"/>
              <w:rPr>
                <w:rFonts w:eastAsia="Times New Roman" w:cs="Arial"/>
                <w:color w:val="000000"/>
              </w:rPr>
            </w:pPr>
          </w:p>
        </w:tc>
      </w:tr>
      <w:tr w:rsidR="00667882" w:rsidRPr="00667882" w14:paraId="01A3BEB5" w14:textId="77777777" w:rsidTr="00667882">
        <w:trPr>
          <w:trHeight w:val="254"/>
        </w:trPr>
        <w:tc>
          <w:tcPr>
            <w:tcW w:w="4820" w:type="dxa"/>
            <w:tcBorders>
              <w:top w:val="nil"/>
              <w:bottom w:val="nil"/>
            </w:tcBorders>
          </w:tcPr>
          <w:p w14:paraId="150FA864" w14:textId="77777777" w:rsidR="00667882" w:rsidRPr="00667882" w:rsidRDefault="00667882">
            <w:pPr>
              <w:spacing w:after="0" w:line="240" w:lineRule="auto"/>
              <w:ind w:left="33"/>
            </w:pPr>
            <w:r w:rsidRPr="00667882">
              <w:t>Správní a ústavní právo</w:t>
            </w:r>
          </w:p>
        </w:tc>
        <w:tc>
          <w:tcPr>
            <w:tcW w:w="3945" w:type="dxa"/>
            <w:tcBorders>
              <w:top w:val="nil"/>
              <w:bottom w:val="nil"/>
            </w:tcBorders>
          </w:tcPr>
          <w:p w14:paraId="14BBBF3A" w14:textId="77777777" w:rsidR="00667882" w:rsidRPr="00667882" w:rsidRDefault="00667882">
            <w:pPr>
              <w:spacing w:after="0" w:line="240" w:lineRule="auto"/>
              <w:rPr>
                <w:rFonts w:eastAsia="Times New Roman" w:cs="Arial"/>
                <w:color w:val="000000"/>
              </w:rPr>
            </w:pPr>
          </w:p>
        </w:tc>
      </w:tr>
      <w:tr w:rsidR="00667882" w:rsidRPr="00667882" w14:paraId="557C94E8" w14:textId="77777777" w:rsidTr="00667882">
        <w:trPr>
          <w:trHeight w:val="254"/>
        </w:trPr>
        <w:tc>
          <w:tcPr>
            <w:tcW w:w="4820" w:type="dxa"/>
            <w:tcBorders>
              <w:top w:val="nil"/>
              <w:bottom w:val="nil"/>
            </w:tcBorders>
          </w:tcPr>
          <w:p w14:paraId="01D7E6CC" w14:textId="77777777" w:rsidR="00667882" w:rsidRPr="00667882" w:rsidRDefault="00667882">
            <w:pPr>
              <w:spacing w:after="0" w:line="240" w:lineRule="auto"/>
              <w:ind w:left="33"/>
            </w:pPr>
            <w:r w:rsidRPr="00667882">
              <w:t xml:space="preserve">Správní </w:t>
            </w:r>
            <w:proofErr w:type="gramStart"/>
            <w:r w:rsidRPr="00667882">
              <w:t>právo - obce</w:t>
            </w:r>
            <w:proofErr w:type="gramEnd"/>
            <w:r w:rsidRPr="00667882">
              <w:t xml:space="preserve"> a kraje</w:t>
            </w:r>
          </w:p>
        </w:tc>
        <w:tc>
          <w:tcPr>
            <w:tcW w:w="3945" w:type="dxa"/>
            <w:tcBorders>
              <w:top w:val="nil"/>
              <w:bottom w:val="nil"/>
            </w:tcBorders>
          </w:tcPr>
          <w:p w14:paraId="52BDC6B3" w14:textId="77777777" w:rsidR="00667882" w:rsidRPr="00667882" w:rsidRDefault="00667882">
            <w:pPr>
              <w:spacing w:after="0" w:line="240" w:lineRule="auto"/>
              <w:rPr>
                <w:rFonts w:eastAsia="Times New Roman" w:cs="Arial"/>
                <w:color w:val="000000"/>
              </w:rPr>
            </w:pPr>
          </w:p>
        </w:tc>
      </w:tr>
      <w:tr w:rsidR="00667882" w:rsidRPr="00667882" w14:paraId="1A130255" w14:textId="77777777" w:rsidTr="00667882">
        <w:trPr>
          <w:trHeight w:val="254"/>
        </w:trPr>
        <w:tc>
          <w:tcPr>
            <w:tcW w:w="4820" w:type="dxa"/>
            <w:tcBorders>
              <w:top w:val="nil"/>
              <w:bottom w:val="nil"/>
            </w:tcBorders>
          </w:tcPr>
          <w:p w14:paraId="27696BA3" w14:textId="77777777" w:rsidR="00667882" w:rsidRPr="00667882" w:rsidRDefault="00667882">
            <w:pPr>
              <w:spacing w:after="0" w:line="240" w:lineRule="auto"/>
              <w:ind w:left="33"/>
            </w:pPr>
            <w:r w:rsidRPr="00667882">
              <w:t xml:space="preserve">Správní </w:t>
            </w:r>
            <w:proofErr w:type="gramStart"/>
            <w:r w:rsidRPr="00667882">
              <w:t>právo - stavební</w:t>
            </w:r>
            <w:proofErr w:type="gramEnd"/>
            <w:r w:rsidRPr="00667882">
              <w:t xml:space="preserve"> právo</w:t>
            </w:r>
          </w:p>
        </w:tc>
        <w:tc>
          <w:tcPr>
            <w:tcW w:w="3945" w:type="dxa"/>
            <w:tcBorders>
              <w:top w:val="nil"/>
              <w:bottom w:val="nil"/>
            </w:tcBorders>
          </w:tcPr>
          <w:p w14:paraId="12532083" w14:textId="77777777" w:rsidR="00667882" w:rsidRPr="00667882" w:rsidRDefault="00667882">
            <w:pPr>
              <w:spacing w:after="0" w:line="240" w:lineRule="auto"/>
              <w:rPr>
                <w:rFonts w:eastAsia="Times New Roman" w:cs="Arial"/>
                <w:color w:val="000000"/>
              </w:rPr>
            </w:pPr>
          </w:p>
        </w:tc>
      </w:tr>
      <w:tr w:rsidR="00667882" w:rsidRPr="00667882" w14:paraId="38C7C0D3" w14:textId="77777777" w:rsidTr="00667882">
        <w:trPr>
          <w:trHeight w:val="254"/>
        </w:trPr>
        <w:tc>
          <w:tcPr>
            <w:tcW w:w="4820" w:type="dxa"/>
            <w:tcBorders>
              <w:top w:val="nil"/>
              <w:bottom w:val="nil"/>
            </w:tcBorders>
          </w:tcPr>
          <w:p w14:paraId="664D27F4" w14:textId="77777777" w:rsidR="00667882" w:rsidRPr="00667882" w:rsidRDefault="00667882">
            <w:pPr>
              <w:spacing w:after="0" w:line="240" w:lineRule="auto"/>
              <w:ind w:left="33"/>
            </w:pPr>
            <w:r w:rsidRPr="00667882">
              <w:t xml:space="preserve">Správní </w:t>
            </w:r>
            <w:proofErr w:type="gramStart"/>
            <w:r w:rsidRPr="00667882">
              <w:t>právo - zvláštní</w:t>
            </w:r>
            <w:proofErr w:type="gramEnd"/>
            <w:r w:rsidRPr="00667882">
              <w:t xml:space="preserve"> předpisy</w:t>
            </w:r>
          </w:p>
        </w:tc>
        <w:tc>
          <w:tcPr>
            <w:tcW w:w="3945" w:type="dxa"/>
            <w:tcBorders>
              <w:top w:val="nil"/>
              <w:bottom w:val="nil"/>
            </w:tcBorders>
          </w:tcPr>
          <w:p w14:paraId="3902BADF" w14:textId="77777777" w:rsidR="00667882" w:rsidRPr="00667882" w:rsidRDefault="00667882">
            <w:pPr>
              <w:spacing w:after="0" w:line="240" w:lineRule="auto"/>
              <w:rPr>
                <w:rFonts w:eastAsia="Times New Roman" w:cs="Arial"/>
                <w:color w:val="000000"/>
              </w:rPr>
            </w:pPr>
          </w:p>
        </w:tc>
      </w:tr>
      <w:tr w:rsidR="00667882" w:rsidRPr="00667882" w14:paraId="15F8A23F" w14:textId="77777777" w:rsidTr="00667882">
        <w:trPr>
          <w:trHeight w:val="254"/>
        </w:trPr>
        <w:tc>
          <w:tcPr>
            <w:tcW w:w="4820" w:type="dxa"/>
            <w:tcBorders>
              <w:top w:val="nil"/>
              <w:bottom w:val="nil"/>
            </w:tcBorders>
          </w:tcPr>
          <w:p w14:paraId="623D20E3" w14:textId="77777777" w:rsidR="00667882" w:rsidRPr="00667882" w:rsidRDefault="00667882">
            <w:pPr>
              <w:spacing w:after="0" w:line="240" w:lineRule="auto"/>
              <w:ind w:left="33"/>
            </w:pPr>
            <w:r w:rsidRPr="00667882">
              <w:t>Trestní právo PLUS</w:t>
            </w:r>
          </w:p>
        </w:tc>
        <w:tc>
          <w:tcPr>
            <w:tcW w:w="3945" w:type="dxa"/>
            <w:tcBorders>
              <w:top w:val="nil"/>
              <w:bottom w:val="nil"/>
            </w:tcBorders>
          </w:tcPr>
          <w:p w14:paraId="5E23942E" w14:textId="77777777" w:rsidR="00667882" w:rsidRPr="00667882" w:rsidRDefault="00667882">
            <w:pPr>
              <w:spacing w:after="0" w:line="240" w:lineRule="auto"/>
              <w:rPr>
                <w:rFonts w:eastAsia="Times New Roman" w:cs="Arial"/>
                <w:color w:val="000000"/>
              </w:rPr>
            </w:pPr>
          </w:p>
        </w:tc>
      </w:tr>
      <w:bookmarkEnd w:id="10"/>
    </w:tbl>
    <w:p w14:paraId="48DA3E40" w14:textId="77777777" w:rsidR="007B2A46" w:rsidRDefault="007B2A46" w:rsidP="007B2A46">
      <w:pPr>
        <w:rPr>
          <w:color w:val="E36C0A"/>
        </w:rPr>
      </w:pPr>
    </w:p>
    <w:p w14:paraId="7792F750" w14:textId="77777777" w:rsidR="007B2A46" w:rsidRDefault="007B2A46" w:rsidP="007B2A46">
      <w:pPr>
        <w:ind w:left="709" w:right="260"/>
        <w:jc w:val="both"/>
        <w:rPr>
          <w:rFonts w:cs="Arial"/>
        </w:rPr>
      </w:pPr>
    </w:p>
    <w:p w14:paraId="5C269EA3" w14:textId="77777777" w:rsidR="007B2A46" w:rsidRDefault="007B2A46" w:rsidP="007B2A46">
      <w:pPr>
        <w:ind w:left="709" w:right="260"/>
        <w:jc w:val="both"/>
        <w:rPr>
          <w:rFonts w:cs="Arial"/>
        </w:rPr>
      </w:pPr>
      <w:r>
        <w:rPr>
          <w:rFonts w:cs="Arial"/>
        </w:rPr>
        <w:t>Užívající osoby jsou součástí společnosti uživatele viz bod 3.2. VOP.</w:t>
      </w:r>
    </w:p>
    <w:p w14:paraId="50A0C6AE" w14:textId="77777777" w:rsidR="007B2A46" w:rsidRDefault="007B2A46" w:rsidP="007B2A46">
      <w:pPr>
        <w:ind w:left="567" w:right="260"/>
        <w:jc w:val="both"/>
        <w:rPr>
          <w:rFonts w:cs="Arial"/>
        </w:rPr>
      </w:pP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88CAE43" w14:textId="77777777" w:rsidR="00CB3618"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p>
    <w:p w14:paraId="79433978" w14:textId="08060A39" w:rsidR="007B2A46" w:rsidRDefault="007B2A46" w:rsidP="007B2A46">
      <w:pPr>
        <w:pStyle w:val="Odstavecseseznamem"/>
        <w:spacing w:before="120" w:after="0" w:line="240" w:lineRule="auto"/>
        <w:ind w:left="709" w:right="260"/>
        <w:jc w:val="both"/>
        <w:rPr>
          <w:rFonts w:cs="Arial"/>
        </w:rPr>
      </w:pPr>
      <w:r>
        <w:rPr>
          <w:rFonts w:cs="Arial"/>
        </w:rPr>
        <w:t>První období se sjednává od</w:t>
      </w:r>
      <w:r>
        <w:rPr>
          <w:rFonts w:cs="Arial"/>
          <w:b/>
        </w:rPr>
        <w:t xml:space="preserve"> </w:t>
      </w:r>
      <w:bookmarkStart w:id="12" w:name="datum_od"/>
      <w:bookmarkEnd w:id="12"/>
      <w:r w:rsidR="002F250D">
        <w:rPr>
          <w:rFonts w:cs="Arial"/>
          <w:b/>
        </w:rPr>
        <w:t>1. 1. 202</w:t>
      </w:r>
      <w:r w:rsidR="00667882">
        <w:rPr>
          <w:rFonts w:cs="Arial"/>
          <w:b/>
        </w:rPr>
        <w:t>5</w:t>
      </w:r>
      <w:r>
        <w:rPr>
          <w:rFonts w:cs="Arial"/>
        </w:rPr>
        <w:t xml:space="preserve"> do </w:t>
      </w:r>
      <w:bookmarkStart w:id="13" w:name="datum_do"/>
      <w:bookmarkEnd w:id="13"/>
      <w:r w:rsidR="002F250D">
        <w:rPr>
          <w:rFonts w:cs="Arial"/>
          <w:b/>
        </w:rPr>
        <w:t>31. 12. 202</w:t>
      </w:r>
      <w:r w:rsidR="00667882">
        <w:rPr>
          <w:rFonts w:cs="Arial"/>
          <w:b/>
        </w:rPr>
        <w:t>5</w:t>
      </w:r>
      <w:r>
        <w:rPr>
          <w:rFonts w:cs="Arial"/>
          <w:b/>
        </w:rPr>
        <w:t>.</w:t>
      </w:r>
    </w:p>
    <w:p w14:paraId="381B7381" w14:textId="070DD869" w:rsidR="00F60190" w:rsidRDefault="007B2A46" w:rsidP="008C1D32">
      <w:pPr>
        <w:pStyle w:val="Odstavecseseznamem"/>
        <w:spacing w:before="120" w:after="0" w:line="240" w:lineRule="auto"/>
        <w:ind w:left="709" w:right="260"/>
        <w:jc w:val="both"/>
        <w:rPr>
          <w:rFonts w:cs="Arial"/>
        </w:rPr>
      </w:pPr>
      <w:r>
        <w:rPr>
          <w:rFonts w:cs="Arial"/>
        </w:rPr>
        <w:t xml:space="preserve">Odměna za </w:t>
      </w:r>
      <w:r w:rsidR="005B4289">
        <w:rPr>
          <w:rFonts w:cs="Arial"/>
        </w:rPr>
        <w:t xml:space="preserve">první </w:t>
      </w:r>
      <w:r>
        <w:rPr>
          <w:rFonts w:cs="Arial"/>
        </w:rPr>
        <w:t>období činí</w:t>
      </w:r>
      <w:r>
        <w:rPr>
          <w:rFonts w:cs="Arial"/>
          <w:b/>
        </w:rPr>
        <w:t xml:space="preserve"> </w:t>
      </w:r>
      <w:bookmarkStart w:id="14" w:name="cena"/>
      <w:bookmarkEnd w:id="14"/>
      <w:r w:rsidR="001826E6">
        <w:rPr>
          <w:rFonts w:cs="Arial"/>
          <w:b/>
        </w:rPr>
        <w:t>82 185</w:t>
      </w:r>
      <w:r w:rsidR="005612CE">
        <w:rPr>
          <w:rFonts w:cs="Arial"/>
          <w:b/>
        </w:rPr>
        <w:t xml:space="preserve"> </w:t>
      </w:r>
      <w:r w:rsidR="008C1D32">
        <w:rPr>
          <w:rFonts w:cs="Arial"/>
          <w:b/>
        </w:rPr>
        <w:t>bez</w:t>
      </w:r>
      <w:r w:rsidR="005612CE">
        <w:rPr>
          <w:rFonts w:cs="Arial"/>
          <w:b/>
        </w:rPr>
        <w:t xml:space="preserve"> DPH </w:t>
      </w:r>
      <w:r>
        <w:rPr>
          <w:rFonts w:cs="Arial"/>
        </w:rPr>
        <w:t xml:space="preserve">(dále jen </w:t>
      </w:r>
      <w:r>
        <w:rPr>
          <w:rFonts w:cs="Arial"/>
          <w:b/>
        </w:rPr>
        <w:t>„odměna“</w:t>
      </w:r>
      <w:r>
        <w:rPr>
          <w:rFonts w:cs="Arial"/>
        </w:rPr>
        <w:t xml:space="preserve">). </w:t>
      </w:r>
    </w:p>
    <w:p w14:paraId="22A7D377" w14:textId="713FD000" w:rsidR="008C1D32" w:rsidRDefault="008C1D32" w:rsidP="008C1D32">
      <w:pPr>
        <w:pStyle w:val="Odstavecseseznamem"/>
        <w:spacing w:before="120" w:after="0" w:line="240" w:lineRule="auto"/>
        <w:ind w:left="709" w:right="260"/>
        <w:jc w:val="both"/>
        <w:rPr>
          <w:rFonts w:cs="Arial"/>
        </w:rPr>
      </w:pPr>
      <w:r>
        <w:rPr>
          <w:rFonts w:cs="Arial"/>
        </w:rPr>
        <w:t xml:space="preserve">Uživatel se zavazuje zároveň s odměnou uhradit </w:t>
      </w:r>
      <w:r w:rsidRPr="006653AE">
        <w:rPr>
          <w:rFonts w:cs="Arial"/>
        </w:rPr>
        <w:t>DPH v zákonné výši 12 %</w:t>
      </w:r>
      <w:r w:rsidR="006653AE" w:rsidRPr="006653AE">
        <w:rPr>
          <w:rFonts w:cs="Arial"/>
        </w:rPr>
        <w:t>.</w:t>
      </w:r>
    </w:p>
    <w:p w14:paraId="4590112D" w14:textId="68B80F34" w:rsidR="00C80726" w:rsidRPr="005612CE" w:rsidRDefault="00C80726" w:rsidP="008C1D32">
      <w:pPr>
        <w:pStyle w:val="Odstavecseseznamem"/>
        <w:spacing w:before="120" w:after="0" w:line="240" w:lineRule="auto"/>
        <w:ind w:left="709" w:right="260"/>
        <w:jc w:val="both"/>
        <w:rPr>
          <w:rFonts w:cs="Arial"/>
        </w:rPr>
      </w:pPr>
      <w:r w:rsidRPr="005612CE">
        <w:rPr>
          <w:rFonts w:cs="Arial"/>
        </w:rPr>
        <w:t>Odměna činí celkem</w:t>
      </w:r>
      <w:r w:rsidR="008C1D32">
        <w:rPr>
          <w:rFonts w:cs="Arial"/>
        </w:rPr>
        <w:t xml:space="preserve"> </w:t>
      </w:r>
      <w:r w:rsidR="001826E6">
        <w:rPr>
          <w:rFonts w:cs="Arial"/>
          <w:b/>
          <w:bCs/>
        </w:rPr>
        <w:t>92 047</w:t>
      </w:r>
      <w:r w:rsidR="008C1D32" w:rsidRPr="008C1D32">
        <w:rPr>
          <w:rFonts w:cs="Arial"/>
          <w:b/>
          <w:bCs/>
        </w:rPr>
        <w:t xml:space="preserve"> Kč včetně DPH.</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6C14" w14:textId="77777777" w:rsidR="00D7408C" w:rsidRDefault="00D7408C" w:rsidP="00547186">
      <w:pPr>
        <w:spacing w:after="0" w:line="240" w:lineRule="auto"/>
      </w:pPr>
      <w:r>
        <w:separator/>
      </w:r>
    </w:p>
  </w:endnote>
  <w:endnote w:type="continuationSeparator" w:id="0">
    <w:p w14:paraId="66FF2258" w14:textId="77777777" w:rsidR="00D7408C" w:rsidRDefault="00D7408C" w:rsidP="00547186">
      <w:pPr>
        <w:spacing w:after="0" w:line="240" w:lineRule="auto"/>
      </w:pPr>
      <w:r>
        <w:continuationSeparator/>
      </w:r>
    </w:p>
  </w:endnote>
  <w:endnote w:type="continuationNotice" w:id="1">
    <w:p w14:paraId="699C4B48" w14:textId="77777777" w:rsidR="00D7408C" w:rsidRDefault="00D74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BBD7" w14:textId="77777777" w:rsidR="00D7408C" w:rsidRDefault="00D7408C" w:rsidP="00547186">
      <w:pPr>
        <w:spacing w:after="0" w:line="240" w:lineRule="auto"/>
      </w:pPr>
      <w:r>
        <w:separator/>
      </w:r>
    </w:p>
  </w:footnote>
  <w:footnote w:type="continuationSeparator" w:id="0">
    <w:p w14:paraId="5F5E86A4" w14:textId="77777777" w:rsidR="00D7408C" w:rsidRDefault="00D7408C" w:rsidP="00547186">
      <w:pPr>
        <w:spacing w:after="0" w:line="240" w:lineRule="auto"/>
      </w:pPr>
      <w:r>
        <w:continuationSeparator/>
      </w:r>
    </w:p>
  </w:footnote>
  <w:footnote w:type="continuationNotice" w:id="1">
    <w:p w14:paraId="2A0009EF" w14:textId="77777777" w:rsidR="00D7408C" w:rsidRDefault="00D74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0FA92096"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5" w:name="nazev_dokladu"/>
    <w:bookmarkEnd w:id="15"/>
    <w:r w:rsidR="002F250D">
      <w:rPr>
        <w:rFonts w:ascii="Calibri Light" w:hAnsi="Calibri Light" w:cs="Calibri Light"/>
      </w:rPr>
      <w:t>SML_</w:t>
    </w:r>
    <w:r w:rsidR="001826E6">
      <w:rPr>
        <w:rFonts w:ascii="Calibri Light" w:hAnsi="Calibri Light" w:cs="Calibri Light"/>
      </w:rPr>
      <w:t>101957</w:t>
    </w:r>
    <w:r w:rsidR="007E3026">
      <w:rPr>
        <w:rFonts w:ascii="Calibri Light" w:hAnsi="Calibri Light" w:cs="Calibri Light"/>
      </w:rPr>
      <w:t>_</w:t>
    </w:r>
    <w:bookmarkStart w:id="16" w:name="smlouva_od"/>
    <w:bookmarkEnd w:id="16"/>
    <w:r w:rsidR="002F250D">
      <w:rPr>
        <w:rFonts w:ascii="Calibri Light" w:hAnsi="Calibri Light" w:cs="Calibri Light"/>
      </w:rPr>
      <w:t>202</w:t>
    </w:r>
    <w:r w:rsidR="00853838">
      <w:rPr>
        <w:rFonts w:ascii="Calibri Light" w:hAnsi="Calibri Light" w:cs="Calibri Light"/>
      </w:rPr>
      <w:t>5</w:t>
    </w:r>
    <w:r w:rsidR="002F250D">
      <w:rPr>
        <w:rFonts w:ascii="Calibri Light" w:hAnsi="Calibri Light" w:cs="Calibri Light"/>
      </w:rPr>
      <w:t>0</w:t>
    </w:r>
    <w:r w:rsidR="00853838">
      <w:rPr>
        <w:rFonts w:ascii="Calibri Light" w:hAnsi="Calibri Light" w:cs="Calibri Light"/>
      </w:rPr>
      <w:t>1</w:t>
    </w:r>
    <w:r w:rsidR="002F250D">
      <w:rPr>
        <w:rFonts w:ascii="Calibri Light" w:hAnsi="Calibri Light" w:cs="Calibri Light"/>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64EEB"/>
    <w:rsid w:val="00073CC1"/>
    <w:rsid w:val="0007402A"/>
    <w:rsid w:val="00075B98"/>
    <w:rsid w:val="00083006"/>
    <w:rsid w:val="0008358C"/>
    <w:rsid w:val="00087C1D"/>
    <w:rsid w:val="000958FA"/>
    <w:rsid w:val="000A32D4"/>
    <w:rsid w:val="000A441A"/>
    <w:rsid w:val="000E1505"/>
    <w:rsid w:val="000F78FE"/>
    <w:rsid w:val="00123ED6"/>
    <w:rsid w:val="001255B7"/>
    <w:rsid w:val="0012718F"/>
    <w:rsid w:val="00165A38"/>
    <w:rsid w:val="001826E6"/>
    <w:rsid w:val="00185244"/>
    <w:rsid w:val="001A0561"/>
    <w:rsid w:val="001A5FC9"/>
    <w:rsid w:val="001B6172"/>
    <w:rsid w:val="001C1C57"/>
    <w:rsid w:val="001C2E48"/>
    <w:rsid w:val="001D4173"/>
    <w:rsid w:val="001D75FC"/>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250D"/>
    <w:rsid w:val="002F7BFF"/>
    <w:rsid w:val="003058D5"/>
    <w:rsid w:val="00316444"/>
    <w:rsid w:val="00332D37"/>
    <w:rsid w:val="00337725"/>
    <w:rsid w:val="00337809"/>
    <w:rsid w:val="003404A2"/>
    <w:rsid w:val="0035690C"/>
    <w:rsid w:val="00385314"/>
    <w:rsid w:val="003A045F"/>
    <w:rsid w:val="003A1B08"/>
    <w:rsid w:val="003A22B2"/>
    <w:rsid w:val="003A50A3"/>
    <w:rsid w:val="003B2487"/>
    <w:rsid w:val="003C3DB8"/>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B4F9F"/>
    <w:rsid w:val="004C0315"/>
    <w:rsid w:val="004E1CB3"/>
    <w:rsid w:val="004E22A1"/>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2CE"/>
    <w:rsid w:val="00561F00"/>
    <w:rsid w:val="0056217F"/>
    <w:rsid w:val="00565FD1"/>
    <w:rsid w:val="00567F36"/>
    <w:rsid w:val="005833B4"/>
    <w:rsid w:val="00591859"/>
    <w:rsid w:val="005A1A1C"/>
    <w:rsid w:val="005A46FA"/>
    <w:rsid w:val="005A7E99"/>
    <w:rsid w:val="005B0FD1"/>
    <w:rsid w:val="005B4289"/>
    <w:rsid w:val="005C5FDE"/>
    <w:rsid w:val="005D4DF6"/>
    <w:rsid w:val="005E0650"/>
    <w:rsid w:val="005E15A9"/>
    <w:rsid w:val="005F75F1"/>
    <w:rsid w:val="00620707"/>
    <w:rsid w:val="00622111"/>
    <w:rsid w:val="006235BA"/>
    <w:rsid w:val="0063440D"/>
    <w:rsid w:val="00650429"/>
    <w:rsid w:val="006576F0"/>
    <w:rsid w:val="006653AE"/>
    <w:rsid w:val="00665BC6"/>
    <w:rsid w:val="00665C3B"/>
    <w:rsid w:val="00665C84"/>
    <w:rsid w:val="00667882"/>
    <w:rsid w:val="00670E60"/>
    <w:rsid w:val="0067317B"/>
    <w:rsid w:val="0068609C"/>
    <w:rsid w:val="00690122"/>
    <w:rsid w:val="006952EE"/>
    <w:rsid w:val="006A183E"/>
    <w:rsid w:val="006B19E0"/>
    <w:rsid w:val="006B7984"/>
    <w:rsid w:val="006C0AAC"/>
    <w:rsid w:val="006C42F3"/>
    <w:rsid w:val="006C58B8"/>
    <w:rsid w:val="006D2041"/>
    <w:rsid w:val="006D2859"/>
    <w:rsid w:val="006D7CFA"/>
    <w:rsid w:val="006E0E24"/>
    <w:rsid w:val="007115BE"/>
    <w:rsid w:val="00714B39"/>
    <w:rsid w:val="0072498A"/>
    <w:rsid w:val="00737ABB"/>
    <w:rsid w:val="007433D6"/>
    <w:rsid w:val="00745ED1"/>
    <w:rsid w:val="0074621D"/>
    <w:rsid w:val="00752B26"/>
    <w:rsid w:val="00761CD7"/>
    <w:rsid w:val="007703A4"/>
    <w:rsid w:val="00770D15"/>
    <w:rsid w:val="00787846"/>
    <w:rsid w:val="007B2A46"/>
    <w:rsid w:val="007C75B2"/>
    <w:rsid w:val="007D4A0D"/>
    <w:rsid w:val="007E3026"/>
    <w:rsid w:val="007E6F3D"/>
    <w:rsid w:val="007F001B"/>
    <w:rsid w:val="007F5863"/>
    <w:rsid w:val="00804105"/>
    <w:rsid w:val="008109B4"/>
    <w:rsid w:val="00812F5E"/>
    <w:rsid w:val="00822301"/>
    <w:rsid w:val="0082259C"/>
    <w:rsid w:val="00842E9B"/>
    <w:rsid w:val="00843332"/>
    <w:rsid w:val="008452EE"/>
    <w:rsid w:val="00850616"/>
    <w:rsid w:val="00850834"/>
    <w:rsid w:val="00853838"/>
    <w:rsid w:val="008607AE"/>
    <w:rsid w:val="0086100B"/>
    <w:rsid w:val="00863293"/>
    <w:rsid w:val="00865718"/>
    <w:rsid w:val="00870341"/>
    <w:rsid w:val="00871D97"/>
    <w:rsid w:val="00877B9C"/>
    <w:rsid w:val="00890700"/>
    <w:rsid w:val="00891D48"/>
    <w:rsid w:val="00892E12"/>
    <w:rsid w:val="00893F43"/>
    <w:rsid w:val="008949E6"/>
    <w:rsid w:val="008A4DD4"/>
    <w:rsid w:val="008A77E9"/>
    <w:rsid w:val="008B5365"/>
    <w:rsid w:val="008B5C8E"/>
    <w:rsid w:val="008B63D9"/>
    <w:rsid w:val="008C0362"/>
    <w:rsid w:val="008C1D32"/>
    <w:rsid w:val="008C436E"/>
    <w:rsid w:val="008E6381"/>
    <w:rsid w:val="008F04B1"/>
    <w:rsid w:val="008F467C"/>
    <w:rsid w:val="008F6C81"/>
    <w:rsid w:val="00906DF0"/>
    <w:rsid w:val="00911035"/>
    <w:rsid w:val="00913820"/>
    <w:rsid w:val="00924B06"/>
    <w:rsid w:val="009344E2"/>
    <w:rsid w:val="00934D79"/>
    <w:rsid w:val="00960A36"/>
    <w:rsid w:val="00967AF0"/>
    <w:rsid w:val="00972DB0"/>
    <w:rsid w:val="00974B34"/>
    <w:rsid w:val="0099383E"/>
    <w:rsid w:val="009B1ECD"/>
    <w:rsid w:val="009B5026"/>
    <w:rsid w:val="009B7175"/>
    <w:rsid w:val="009C276F"/>
    <w:rsid w:val="009D37E0"/>
    <w:rsid w:val="009F5AB5"/>
    <w:rsid w:val="009F7FF9"/>
    <w:rsid w:val="00A007AF"/>
    <w:rsid w:val="00A06019"/>
    <w:rsid w:val="00A14088"/>
    <w:rsid w:val="00A44785"/>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192F"/>
    <w:rsid w:val="00AA21C5"/>
    <w:rsid w:val="00AA5CD9"/>
    <w:rsid w:val="00AB4A05"/>
    <w:rsid w:val="00AC233F"/>
    <w:rsid w:val="00AE0052"/>
    <w:rsid w:val="00AE779F"/>
    <w:rsid w:val="00AF255F"/>
    <w:rsid w:val="00AF6F21"/>
    <w:rsid w:val="00B015EA"/>
    <w:rsid w:val="00B41495"/>
    <w:rsid w:val="00B5238C"/>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66C1F"/>
    <w:rsid w:val="00C73B26"/>
    <w:rsid w:val="00C80514"/>
    <w:rsid w:val="00C80726"/>
    <w:rsid w:val="00C948D7"/>
    <w:rsid w:val="00C961AB"/>
    <w:rsid w:val="00C9638D"/>
    <w:rsid w:val="00CA2C61"/>
    <w:rsid w:val="00CA66FD"/>
    <w:rsid w:val="00CB23DE"/>
    <w:rsid w:val="00CB3618"/>
    <w:rsid w:val="00CD0709"/>
    <w:rsid w:val="00CF1D37"/>
    <w:rsid w:val="00CF7ABB"/>
    <w:rsid w:val="00D043C5"/>
    <w:rsid w:val="00D101AA"/>
    <w:rsid w:val="00D10A2B"/>
    <w:rsid w:val="00D142FD"/>
    <w:rsid w:val="00D21AA3"/>
    <w:rsid w:val="00D25753"/>
    <w:rsid w:val="00D34D4F"/>
    <w:rsid w:val="00D4323F"/>
    <w:rsid w:val="00D55C0A"/>
    <w:rsid w:val="00D609FA"/>
    <w:rsid w:val="00D60FA6"/>
    <w:rsid w:val="00D6440C"/>
    <w:rsid w:val="00D67A93"/>
    <w:rsid w:val="00D7408C"/>
    <w:rsid w:val="00D8019B"/>
    <w:rsid w:val="00D80A93"/>
    <w:rsid w:val="00D82BA6"/>
    <w:rsid w:val="00D86ECC"/>
    <w:rsid w:val="00D91793"/>
    <w:rsid w:val="00DA7888"/>
    <w:rsid w:val="00DC623B"/>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23360"/>
    <w:rsid w:val="00F278EB"/>
    <w:rsid w:val="00F303E2"/>
    <w:rsid w:val="00F4478D"/>
    <w:rsid w:val="00F45F4D"/>
    <w:rsid w:val="00F46029"/>
    <w:rsid w:val="00F50E7B"/>
    <w:rsid w:val="00F54CFB"/>
    <w:rsid w:val="00F60190"/>
    <w:rsid w:val="00F65181"/>
    <w:rsid w:val="00F66B10"/>
    <w:rsid w:val="00F73B6A"/>
    <w:rsid w:val="00F75FDF"/>
    <w:rsid w:val="00F7629B"/>
    <w:rsid w:val="00F83ECA"/>
    <w:rsid w:val="00F86B4D"/>
    <w:rsid w:val="00F9226B"/>
    <w:rsid w:val="00F92C3D"/>
    <w:rsid w:val="00F93A89"/>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6D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osoud.sok.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6752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Zatloukalová Květuše</cp:lastModifiedBy>
  <cp:revision>2</cp:revision>
  <cp:lastPrinted>2018-10-16T12:06:00Z</cp:lastPrinted>
  <dcterms:created xsi:type="dcterms:W3CDTF">2024-12-20T17:51:00Z</dcterms:created>
  <dcterms:modified xsi:type="dcterms:W3CDTF">2024-12-20T17:51:00Z</dcterms:modified>
</cp:coreProperties>
</file>