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1 ke</w:t>
      </w:r>
      <w:bookmarkEnd w:id="0"/>
      <w:bookmarkEnd w:id="1"/>
      <w:bookmarkEnd w:id="2"/>
    </w:p>
    <w:p>
      <w:pPr>
        <w:pStyle w:val="Style4"/>
        <w:keepNext/>
        <w:keepLines/>
        <w:widowControl w:val="0"/>
        <w:shd w:val="clear" w:color="auto" w:fill="auto"/>
        <w:bidi w:val="0"/>
        <w:spacing w:before="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4"/>
        <w:keepNext/>
        <w:keepLines/>
        <w:widowControl w:val="0"/>
        <w:shd w:val="clear" w:color="auto" w:fill="auto"/>
        <w:bidi w:val="0"/>
        <w:spacing w:before="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4"/>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829/2024</w:t>
      </w:r>
      <w:bookmarkEnd w:id="10"/>
      <w:bookmarkEnd w:id="11"/>
      <w:bookmarkEnd w:id="9"/>
    </w:p>
    <w:p>
      <w:pPr>
        <w:pStyle w:val="Style4"/>
        <w:keepNext/>
        <w:keepLines/>
        <w:widowControl w:val="0"/>
        <w:shd w:val="clear" w:color="auto" w:fill="auto"/>
        <w:bidi w:val="0"/>
        <w:spacing w:before="0" w:line="240" w:lineRule="auto"/>
        <w:ind w:left="266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w:t>
      </w:r>
      <w:bookmarkEnd w:id="12"/>
      <w:bookmarkEnd w:id="13"/>
      <w:bookmarkEnd w:id="14"/>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line="221"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“PPV KP (stará ukl. nádrž – odběr EPRU) - těžení naplavenin”</w:t>
      </w:r>
    </w:p>
    <w:p>
      <w:pPr>
        <w:pStyle w:val="Style4"/>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pStyle w:val="Style4"/>
        <w:keepNext/>
        <w:keepLines/>
        <w:widowControl w:val="0"/>
        <w:shd w:val="clear" w:color="auto" w:fill="auto"/>
        <w:tabs>
          <w:tab w:pos="2808" w:val="left"/>
        </w:tabs>
        <w:bidi w:val="0"/>
        <w:spacing w:before="0" w:after="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objednatel:</w:t>
        <w:tab/>
        <w:t>Povodí Ohře, státní podnik</w:t>
      </w:r>
      <w:bookmarkEnd w:id="18"/>
      <w:bookmarkEnd w:id="19"/>
      <w:bookmarkEnd w:id="20"/>
    </w:p>
    <w:p>
      <w:pPr>
        <w:pStyle w:val="Style4"/>
        <w:keepNext/>
        <w:keepLines/>
        <w:widowControl w:val="0"/>
        <w:shd w:val="clear" w:color="auto" w:fill="auto"/>
        <w:tabs>
          <w:tab w:pos="2808"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sídlo:</w:t>
        <w:tab/>
        <w:t>Bezručova 4219, 430 03 Chomutov</w:t>
      </w:r>
      <w:bookmarkEnd w:id="21"/>
      <w:bookmarkEnd w:id="22"/>
      <w:bookmarkEnd w:id="23"/>
    </w:p>
    <w:p>
      <w:pPr>
        <w:pStyle w:val="Style4"/>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statutární orgán:</w:t>
      </w:r>
      <w:bookmarkEnd w:id="24"/>
      <w:bookmarkEnd w:id="25"/>
      <w:bookmarkEnd w:id="26"/>
    </w:p>
    <w:p>
      <w:pPr>
        <w:pStyle w:val="Style4"/>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oprávněn k podpisu smlouvy</w:t>
      </w:r>
      <w:bookmarkEnd w:id="27"/>
      <w:bookmarkEnd w:id="28"/>
      <w:bookmarkEnd w:id="29"/>
    </w:p>
    <w:p>
      <w:pPr>
        <w:pStyle w:val="Style4"/>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a k jednání o věcech smluvních:</w:t>
      </w:r>
      <w:bookmarkEnd w:id="30"/>
      <w:bookmarkEnd w:id="31"/>
      <w:bookmarkEnd w:id="32"/>
    </w:p>
    <w:p>
      <w:pPr>
        <w:pStyle w:val="Style4"/>
        <w:keepNext/>
        <w:keepLines/>
        <w:widowControl w:val="0"/>
        <w:shd w:val="clear" w:color="auto" w:fill="auto"/>
        <w:bidi w:val="0"/>
        <w:spacing w:before="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oprávněn jednat o věcech technických:</w:t>
      </w:r>
      <w:bookmarkEnd w:id="33"/>
      <w:bookmarkEnd w:id="34"/>
      <w:bookmarkEnd w:id="35"/>
    </w:p>
    <w:p>
      <w:pPr>
        <w:pStyle w:val="Style4"/>
        <w:keepNext/>
        <w:keepLines/>
        <w:widowControl w:val="0"/>
        <w:shd w:val="clear" w:color="auto" w:fill="auto"/>
        <w:bidi w:val="0"/>
        <w:spacing w:before="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technický dozor objednatele:</w:t>
      </w:r>
      <w:bookmarkEnd w:id="36"/>
      <w:bookmarkEnd w:id="37"/>
      <w:bookmarkEnd w:id="38"/>
    </w:p>
    <w:p>
      <w:pPr>
        <w:pStyle w:val="Style4"/>
        <w:keepNext/>
        <w:keepLines/>
        <w:widowControl w:val="0"/>
        <w:shd w:val="clear" w:color="auto" w:fill="auto"/>
        <w:tabs>
          <w:tab w:pos="4282"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IČO:</w:t>
        <w:tab/>
        <w:t>70889988</w:t>
      </w:r>
      <w:bookmarkEnd w:id="39"/>
      <w:bookmarkEnd w:id="40"/>
      <w:bookmarkEnd w:id="41"/>
    </w:p>
    <w:p>
      <w:pPr>
        <w:pStyle w:val="Style4"/>
        <w:keepNext/>
        <w:keepLines/>
        <w:widowControl w:val="0"/>
        <w:shd w:val="clear" w:color="auto" w:fill="auto"/>
        <w:tabs>
          <w:tab w:pos="4282" w:val="left"/>
        </w:tabs>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DIČ:</w:t>
        <w:tab/>
        <w:t>CZ70889988</w:t>
      </w:r>
      <w:bookmarkEnd w:id="42"/>
      <w:bookmarkEnd w:id="43"/>
      <w:bookmarkEnd w:id="44"/>
    </w:p>
    <w:p>
      <w:pPr>
        <w:pStyle w:val="Style4"/>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bankovní spojení:</w:t>
      </w:r>
      <w:bookmarkEnd w:id="45"/>
      <w:bookmarkEnd w:id="46"/>
      <w:bookmarkEnd w:id="47"/>
    </w:p>
    <w:p>
      <w:pPr>
        <w:pStyle w:val="Style4"/>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číslo účtu:</w:t>
      </w:r>
      <w:bookmarkEnd w:id="48"/>
      <w:bookmarkEnd w:id="49"/>
      <w:bookmarkEnd w:id="50"/>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4"/>
        <w:keepNext/>
        <w:keepLines/>
        <w:widowControl w:val="0"/>
        <w:shd w:val="clear" w:color="auto" w:fill="auto"/>
        <w:bidi w:val="0"/>
        <w:spacing w:before="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(dále jen „objednatel“)</w:t>
      </w:r>
      <w:bookmarkEnd w:id="51"/>
      <w:bookmarkEnd w:id="52"/>
      <w:bookmarkEnd w:id="53"/>
    </w:p>
    <w:p>
      <w:pPr>
        <w:pStyle w:val="Style4"/>
        <w:keepNext/>
        <w:keepLines/>
        <w:widowControl w:val="0"/>
        <w:shd w:val="clear" w:color="auto" w:fill="auto"/>
        <w:bidi w:val="0"/>
        <w:spacing w:before="0" w:line="240" w:lineRule="auto"/>
        <w:ind w:left="0" w:right="0" w:firstLine="0"/>
        <w:jc w:val="left"/>
      </w:pPr>
      <w:bookmarkStart w:id="54" w:name="bookmark54"/>
      <w:bookmarkStart w:id="55" w:name="bookmark55"/>
      <w:bookmarkStart w:id="56" w:name="bookmark56"/>
      <w:r>
        <w:rPr>
          <w:b/>
          <w:bCs/>
          <w:color w:val="000000"/>
          <w:spacing w:val="0"/>
          <w:w w:val="100"/>
          <w:position w:val="0"/>
          <w:shd w:val="clear" w:color="auto" w:fill="auto"/>
          <w:lang w:val="cs-CZ" w:eastAsia="cs-CZ" w:bidi="cs-CZ"/>
        </w:rPr>
        <w:t>a</w:t>
      </w:r>
      <w:bookmarkEnd w:id="54"/>
      <w:bookmarkEnd w:id="55"/>
      <w:bookmarkEnd w:id="56"/>
    </w:p>
    <w:p>
      <w:pPr>
        <w:pStyle w:val="Style4"/>
        <w:keepNext/>
        <w:keepLines/>
        <w:widowControl w:val="0"/>
        <w:shd w:val="clear" w:color="auto" w:fill="auto"/>
        <w:tabs>
          <w:tab w:pos="3933" w:val="left"/>
        </w:tabs>
        <w:bidi w:val="0"/>
        <w:spacing w:before="0" w:after="0" w:line="240" w:lineRule="auto"/>
        <w:ind w:left="0" w:right="0" w:firstLine="0"/>
        <w:jc w:val="left"/>
      </w:pPr>
      <w:bookmarkStart w:id="54" w:name="bookmark54"/>
      <w:bookmarkStart w:id="55" w:name="bookmark55"/>
      <w:r>
        <w:rPr>
          <w:color w:val="000000"/>
          <w:spacing w:val="0"/>
          <w:w w:val="100"/>
          <w:position w:val="0"/>
          <w:shd w:val="clear" w:color="auto" w:fill="auto"/>
          <w:lang w:val="cs-CZ" w:eastAsia="cs-CZ" w:bidi="cs-CZ"/>
        </w:rPr>
        <w:t>Zhotovitel:</w:t>
        <w:tab/>
      </w:r>
      <w:r>
        <w:rPr>
          <w:b/>
          <w:bCs/>
          <w:color w:val="000000"/>
          <w:spacing w:val="0"/>
          <w:w w:val="100"/>
          <w:position w:val="0"/>
          <w:shd w:val="clear" w:color="auto" w:fill="auto"/>
          <w:lang w:val="cs-CZ" w:eastAsia="cs-CZ" w:bidi="cs-CZ"/>
        </w:rPr>
        <w:t>Radek Kubač</w:t>
      </w:r>
      <w:bookmarkEnd w:id="54"/>
      <w:bookmarkEnd w:id="55"/>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Litvínov</w:t>
      </w:r>
    </w:p>
    <w:p>
      <w:pPr>
        <w:pStyle w:val="Style2"/>
        <w:keepNext w:val="0"/>
        <w:keepLines w:val="0"/>
        <w:widowControl w:val="0"/>
        <w:shd w:val="clear" w:color="auto" w:fill="auto"/>
        <w:tabs>
          <w:tab w:pos="3933"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66685851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Plátce DPH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stavbyvedoucí:</w:t>
      </w:r>
    </w:p>
    <w:p>
      <w:pPr>
        <w:pStyle w:val="Style2"/>
        <w:keepNext w:val="0"/>
        <w:keepLines w:val="0"/>
        <w:widowControl w:val="0"/>
        <w:shd w:val="clear" w:color="auto" w:fill="auto"/>
        <w:tabs>
          <w:tab w:pos="3933" w:val="left"/>
        </w:tabs>
        <w:bidi w:val="0"/>
        <w:spacing w:before="0" w:after="0" w:line="240" w:lineRule="auto"/>
        <w:ind w:left="0" w:right="0" w:firstLine="0"/>
        <w:jc w:val="left"/>
      </w:pPr>
      <w:r>
        <w:rPr>
          <w:color w:val="000000"/>
          <w:spacing w:val="0"/>
          <w:w w:val="100"/>
          <w:position w:val="0"/>
          <w:shd w:val="clear" w:color="auto" w:fill="auto"/>
          <w:lang w:val="cs-CZ" w:eastAsia="cs-CZ" w:bidi="cs-CZ"/>
        </w:rPr>
        <w:t>manažer stavby:</w:t>
        <w:tab/>
        <w:t>Radek Kubač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je držitelem ŽL vydaného Městský úřad Litvínov pod e.č. MSŽP/1281/Ma/97-SHR. Zhotovitel je držitelem ŽL vydaného 28.7.1997</w:t>
      </w:r>
    </w:p>
    <w:p>
      <w:pPr>
        <w:pStyle w:val="Style2"/>
        <w:keepNext w:val="0"/>
        <w:keepLines w:val="0"/>
        <w:widowControl w:val="0"/>
        <w:shd w:val="clear" w:color="auto" w:fill="auto"/>
        <w:bidi w:val="0"/>
        <w:spacing w:before="0" w:after="960" w:line="240" w:lineRule="auto"/>
        <w:ind w:left="0" w:right="0" w:firstLine="0"/>
        <w:jc w:val="left"/>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57" w:name="bookmark57"/>
      <w:bookmarkEnd w:id="57"/>
      <w:r>
        <w:rPr>
          <w:b/>
          <w:bCs/>
          <w:color w:val="000000"/>
          <w:spacing w:val="0"/>
          <w:w w:val="100"/>
          <w:position w:val="0"/>
          <w:shd w:val="clear" w:color="auto" w:fill="auto"/>
          <w:lang w:val="cs-CZ" w:eastAsia="cs-CZ" w:bidi="cs-CZ"/>
        </w:rPr>
        <w:t>předmětu díla</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ze dne 02.12.2024,</w:t>
      </w:r>
    </w:p>
    <w:p>
      <w:pPr>
        <w:pStyle w:val="Style2"/>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58" w:name="bookmark58"/>
      <w:bookmarkEnd w:id="58"/>
      <w:r>
        <w:rPr>
          <w:b/>
          <w:bCs/>
          <w:color w:val="000000"/>
          <w:spacing w:val="0"/>
          <w:w w:val="100"/>
          <w:position w:val="0"/>
          <w:shd w:val="clear" w:color="auto" w:fill="auto"/>
          <w:lang w:val="cs-CZ" w:eastAsia="cs-CZ" w:bidi="cs-CZ"/>
        </w:rPr>
        <w:t>termínu předání a převzetí dokončeného díla</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prodloužení termínu dokončení díla z důvodu projednávání a realizace změn předmětu plnění a nepříznivých klimatických podmínek.</w:t>
      </w:r>
    </w:p>
    <w:p>
      <w:pPr>
        <w:pStyle w:val="Style2"/>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59" w:name="bookmark59"/>
      <w:bookmarkEnd w:id="59"/>
      <w:r>
        <w:rPr>
          <w:b/>
          <w:bCs/>
          <w:color w:val="000000"/>
          <w:spacing w:val="0"/>
          <w:w w:val="100"/>
          <w:position w:val="0"/>
          <w:shd w:val="clear" w:color="auto" w:fill="auto"/>
          <w:lang w:val="cs-CZ" w:eastAsia="cs-CZ" w:bidi="cs-CZ"/>
        </w:rPr>
        <w:t>ceny díla</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Tyto změny jsou obsahem Přílohy č. 1. Oceněného soupisu prací změn závazku ze dne 02.12.2024, odsouhlaseného oběma smluvními stranami. Tato změna závazku ze smlouvy v souvislosti se zadáním dalších prací nemění celkovou povahu veřejné zakázky.</w:t>
      </w:r>
    </w:p>
    <w:p>
      <w:pPr>
        <w:pStyle w:val="Style2"/>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60" w:name="bookmark60"/>
      <w:bookmarkEnd w:id="60"/>
      <w:r>
        <w:rPr>
          <w:b/>
          <w:bCs/>
          <w:color w:val="000000"/>
          <w:spacing w:val="0"/>
          <w:w w:val="100"/>
          <w:position w:val="0"/>
          <w:shd w:val="clear" w:color="auto" w:fill="auto"/>
          <w:lang w:val="cs-CZ" w:eastAsia="cs-CZ" w:bidi="cs-CZ"/>
        </w:rPr>
        <w:t>platebních podmínek</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prodloužení termínu realizace díla se smluvní strany dohodly na umožnění dílčí faktury za práce provedené k 31.12.2024.</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na mimořádném kontrolním dnu stavby. Obě smluvní strany odsouhlasily a potvrdily oceněný soupis prací.</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2"/>
        <w:keepNext w:val="0"/>
        <w:keepLines w:val="0"/>
        <w:widowControl w:val="0"/>
        <w:numPr>
          <w:ilvl w:val="0"/>
          <w:numId w:val="3"/>
        </w:numPr>
        <w:shd w:val="clear" w:color="auto" w:fill="auto"/>
        <w:tabs>
          <w:tab w:pos="397" w:val="left"/>
        </w:tabs>
        <w:bidi w:val="0"/>
        <w:spacing w:before="0" w:after="200" w:line="240" w:lineRule="auto"/>
        <w:ind w:left="0" w:right="0" w:firstLine="0"/>
        <w:jc w:val="both"/>
      </w:pPr>
      <w:bookmarkStart w:id="61" w:name="bookmark61"/>
      <w:bookmarkEnd w:id="61"/>
      <w:r>
        <w:rPr>
          <w:b/>
          <w:bCs/>
          <w:color w:val="000000"/>
          <w:spacing w:val="0"/>
          <w:w w:val="100"/>
          <w:position w:val="0"/>
          <w:shd w:val="clear" w:color="auto" w:fill="auto"/>
          <w:lang w:val="cs-CZ" w:eastAsia="cs-CZ" w:bidi="cs-CZ"/>
        </w:rPr>
        <w:t xml:space="preserve">Čl. I. Předmět díla </w:t>
      </w:r>
      <w:r>
        <w:rPr>
          <w:color w:val="000000"/>
          <w:spacing w:val="0"/>
          <w:w w:val="100"/>
          <w:position w:val="0"/>
          <w:shd w:val="clear" w:color="auto" w:fill="auto"/>
          <w:lang w:val="cs-CZ" w:eastAsia="cs-CZ" w:bidi="cs-CZ"/>
        </w:rPr>
        <w:t>se mění v rozsahu přílohy tohoto dodatku – Oceněného soupisu prací změn závazku ze dne 02.12.2024, který se tímto stává nedílnou součástí smlouvy,</w:t>
      </w:r>
    </w:p>
    <w:p>
      <w:pPr>
        <w:pStyle w:val="Style2"/>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62" w:name="bookmark62"/>
      <w:bookmarkEnd w:id="62"/>
      <w:r>
        <w:rPr>
          <w:b/>
          <w:bCs/>
          <w:color w:val="000000"/>
          <w:spacing w:val="0"/>
          <w:w w:val="100"/>
          <w:position w:val="0"/>
          <w:shd w:val="clear" w:color="auto" w:fill="auto"/>
          <w:lang w:val="cs-CZ" w:eastAsia="cs-CZ" w:bidi="cs-CZ"/>
        </w:rPr>
        <w:t>Čl. II. Termín plnění, bod 1. písmeno c) předání a převzetí dokončeného díla</w:t>
      </w:r>
      <w:r>
        <w:rPr>
          <w:color w:val="000000"/>
          <w:spacing w:val="0"/>
          <w:w w:val="100"/>
          <w:position w:val="0"/>
          <w:shd w:val="clear" w:color="auto" w:fill="auto"/>
          <w:lang w:val="cs-CZ" w:eastAsia="cs-CZ" w:bidi="cs-CZ"/>
        </w:rPr>
        <w:t>: původní znění: nejpozději do 30.10.2024</w:t>
      </w:r>
    </w:p>
    <w:p>
      <w:pPr>
        <w:pStyle w:val="Style2"/>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shd w:val="clear" w:color="auto" w:fill="auto"/>
          <w:lang w:val="cs-CZ" w:eastAsia="cs-CZ" w:bidi="cs-CZ"/>
        </w:rPr>
        <w:t xml:space="preserve">nové znění: </w:t>
      </w:r>
      <w:r>
        <w:rPr>
          <w:color w:val="000000"/>
          <w:spacing w:val="0"/>
          <w:w w:val="100"/>
          <w:position w:val="0"/>
          <w:shd w:val="clear" w:color="auto" w:fill="auto"/>
          <w:lang w:val="cs-CZ" w:eastAsia="cs-CZ" w:bidi="cs-CZ"/>
        </w:rPr>
        <w:t xml:space="preserve">do 60 kalendářních dní od doručení výzvy objednatele po vyhodnocení vhodných hydrologických podmínek k zahájení prací na e-mail: </w:t>
      </w:r>
      <w:r>
        <w:fldChar w:fldCharType="begin"/>
      </w:r>
      <w:r>
        <w:rPr/>
        <w:instrText> HYPERLINK "mailto:radek.kubac@email.com" </w:instrText>
      </w:r>
      <w:r>
        <w:fldChar w:fldCharType="separate"/>
      </w:r>
      <w:r>
        <w:rPr>
          <w:color w:val="000000"/>
          <w:spacing w:val="0"/>
          <w:w w:val="100"/>
          <w:position w:val="0"/>
          <w:shd w:val="clear" w:color="auto" w:fill="auto"/>
          <w:lang w:val="cs-CZ" w:eastAsia="cs-CZ" w:bidi="cs-CZ"/>
        </w:rPr>
        <w:t>radek.kubac@email.com</w:t>
      </w:r>
      <w:r>
        <w:fldChar w:fldCharType="end"/>
      </w:r>
      <w:r>
        <w:rPr>
          <w:color w:val="000000"/>
          <w:spacing w:val="0"/>
          <w:w w:val="100"/>
          <w:position w:val="0"/>
          <w:shd w:val="clear" w:color="auto" w:fill="auto"/>
          <w:lang w:val="cs-CZ" w:eastAsia="cs-CZ" w:bidi="cs-CZ"/>
        </w:rPr>
        <w:t>, nejpozději do 30.09.2025.</w:t>
      </w:r>
    </w:p>
    <w:p>
      <w:pPr>
        <w:pStyle w:val="Style2"/>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63" w:name="bookmark63"/>
      <w:bookmarkEnd w:id="63"/>
      <w:r>
        <w:rPr>
          <w:b/>
          <w:bCs/>
          <w:color w:val="000000"/>
          <w:spacing w:val="0"/>
          <w:w w:val="100"/>
          <w:position w:val="0"/>
          <w:shd w:val="clear" w:color="auto" w:fill="auto"/>
          <w:lang w:val="cs-CZ" w:eastAsia="cs-CZ" w:bidi="cs-CZ"/>
        </w:rPr>
        <w:t>Čl. III. Cena, bod 4.:</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Cena za likvidaci náplavu v celém předmětném úseku (ř.km 21,600 – 22,700) o předpokládaném množství cca 412 m3</w:t>
      </w:r>
    </w:p>
    <w:p>
      <w:pPr>
        <w:pStyle w:val="Style2"/>
        <w:keepNext w:val="0"/>
        <w:keepLines w:val="0"/>
        <w:widowControl w:val="0"/>
        <w:shd w:val="clear" w:color="auto" w:fill="auto"/>
        <w:tabs>
          <w:tab w:pos="5035" w:val="left"/>
        </w:tabs>
        <w:bidi w:val="0"/>
        <w:spacing w:before="0" w:after="0" w:line="240" w:lineRule="auto"/>
        <w:ind w:left="0" w:right="0" w:firstLine="0"/>
        <w:jc w:val="both"/>
      </w:pPr>
      <w:r>
        <w:rPr>
          <w:color w:val="000000"/>
          <w:spacing w:val="0"/>
          <w:w w:val="100"/>
          <w:position w:val="0"/>
          <w:shd w:val="clear" w:color="auto" w:fill="auto"/>
          <w:lang w:val="cs-CZ" w:eastAsia="cs-CZ" w:bidi="cs-CZ"/>
        </w:rPr>
        <w:t>Celková smluvní cena</w:t>
        <w:tab/>
        <w:t>2 102 500 Kč bez DPH</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(slovy: dva miliony jedno sto dva tisíc pět set korun českých)</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Cena za likvidaci náplavu v celém předmětném úseku (ř.km 21,600 – 22,700) o předpokládaném množství cca 412 m3 a zpevnění příjezdové cesty.</w:t>
      </w:r>
    </w:p>
    <w:p>
      <w:pPr>
        <w:pStyle w:val="Style2"/>
        <w:keepNext w:val="0"/>
        <w:keepLines w:val="0"/>
        <w:widowControl w:val="0"/>
        <w:shd w:val="clear" w:color="auto" w:fill="auto"/>
        <w:tabs>
          <w:tab w:pos="5035" w:val="left"/>
        </w:tabs>
        <w:bidi w:val="0"/>
        <w:spacing w:before="0" w:after="0" w:line="240" w:lineRule="auto"/>
        <w:ind w:left="0" w:right="0" w:firstLine="0"/>
        <w:jc w:val="both"/>
      </w:pPr>
      <w:r>
        <w:rPr>
          <w:color w:val="000000"/>
          <w:spacing w:val="0"/>
          <w:w w:val="100"/>
          <w:position w:val="0"/>
          <w:shd w:val="clear" w:color="auto" w:fill="auto"/>
          <w:lang w:val="cs-CZ" w:eastAsia="cs-CZ" w:bidi="cs-CZ"/>
        </w:rPr>
        <w:t>Celková smluvní cena</w:t>
        <w:tab/>
        <w:t>2 597 276 Kč bez DPH</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(slovy: dva miliony pět set devadesát sedm tisíc dvě stě sedmdesát šest korun českých)</w:t>
      </w:r>
    </w:p>
    <w:p>
      <w:pPr>
        <w:pStyle w:val="Style2"/>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64" w:name="bookmark64"/>
      <w:bookmarkEnd w:id="64"/>
      <w:r>
        <w:rPr>
          <w:b/>
          <w:bCs/>
          <w:color w:val="000000"/>
          <w:spacing w:val="0"/>
          <w:w w:val="100"/>
          <w:position w:val="0"/>
          <w:shd w:val="clear" w:color="auto" w:fill="auto"/>
          <w:lang w:val="cs-CZ" w:eastAsia="cs-CZ" w:bidi="cs-CZ"/>
        </w:rPr>
        <w:t xml:space="preserve">Čl. IV. Platební podmínky </w:t>
      </w:r>
      <w:r>
        <w:rPr>
          <w:color w:val="000000"/>
          <w:spacing w:val="0"/>
          <w:w w:val="100"/>
          <w:position w:val="0"/>
          <w:shd w:val="clear" w:color="auto" w:fill="auto"/>
          <w:lang w:val="cs-CZ" w:eastAsia="cs-CZ" w:bidi="cs-CZ"/>
        </w:rPr>
        <w:t>původní znění:</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2. Cena díla bude hrazena po dokončení, předání a převzetí díla bez vad a nedodělků.</w:t>
      </w:r>
      <w:r>
        <w:br w:type="page"/>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2. Cena díla bude uhrazena na základě dílčí faktury za provedené práce v r. 2024 s dohodnutým datem uskutečnění zdanitelného plnění 31.12.2024 a faktury po dokončení, předání a převzetí díla bez vad a nedodělků. Nedílnou součástí faktury vždy bude odsouhlasený soupis provedených prací.</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4"/>
        <w:keepNext/>
        <w:keepLines/>
        <w:widowControl w:val="0"/>
        <w:shd w:val="clear" w:color="auto" w:fill="auto"/>
        <w:bidi w:val="0"/>
        <w:spacing w:before="0" w:after="200" w:line="240" w:lineRule="auto"/>
        <w:ind w:left="0" w:right="0" w:firstLine="0"/>
        <w:jc w:val="both"/>
      </w:pPr>
      <w:bookmarkStart w:id="65" w:name="bookmark65"/>
      <w:bookmarkStart w:id="66" w:name="bookmark66"/>
      <w:bookmarkStart w:id="67" w:name="bookmark67"/>
      <w:r>
        <w:rPr>
          <w:color w:val="000000"/>
          <w:spacing w:val="0"/>
          <w:w w:val="100"/>
          <w:position w:val="0"/>
          <w:shd w:val="clear" w:color="auto" w:fill="auto"/>
          <w:lang w:val="cs-CZ" w:eastAsia="cs-CZ" w:bidi="cs-CZ"/>
        </w:rPr>
        <w:t>Smluvní strany prohlašují, že tento dodatek ke smlouvě uzavřely určitě, vážně a srozumitelně, že je projevem jejich pravé a svobodné vůle, a na důkaz tohoto připojují své podpisy.</w:t>
      </w:r>
      <w:bookmarkEnd w:id="65"/>
      <w:bookmarkEnd w:id="66"/>
      <w:bookmarkEnd w:id="67"/>
    </w:p>
    <w:p>
      <w:pPr>
        <w:pStyle w:val="Style4"/>
        <w:keepNext/>
        <w:keepLines/>
        <w:widowControl w:val="0"/>
        <w:shd w:val="clear" w:color="auto" w:fill="auto"/>
        <w:bidi w:val="0"/>
        <w:spacing w:before="0" w:after="200" w:line="240" w:lineRule="auto"/>
        <w:ind w:left="0" w:right="0" w:firstLine="0"/>
        <w:jc w:val="both"/>
      </w:pPr>
      <w:bookmarkStart w:id="68" w:name="bookmark68"/>
      <w:bookmarkStart w:id="69" w:name="bookmark69"/>
      <w:bookmarkStart w:id="70" w:name="bookmark70"/>
      <w:r>
        <w:rPr>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bookmarkEnd w:id="68"/>
      <w:bookmarkEnd w:id="69"/>
      <w:bookmarkEnd w:id="70"/>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Nedílnou součástí tohoto dodatku je:</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Příloha č.1 Oceněný soupis prací změn závazku ze dne 02.12.2024</w:t>
      </w:r>
    </w:p>
    <w:p>
      <w:pPr>
        <w:pStyle w:val="Style2"/>
        <w:keepNext w:val="0"/>
        <w:keepLines w:val="0"/>
        <w:widowControl w:val="0"/>
        <w:shd w:val="clear" w:color="auto" w:fill="auto"/>
        <w:bidi w:val="0"/>
        <w:spacing w:before="0" w:after="20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4085590</wp:posOffset>
                </wp:positionH>
                <wp:positionV relativeFrom="paragraph">
                  <wp:posOffset>12700</wp:posOffset>
                </wp:positionV>
                <wp:extent cx="725170" cy="225425"/>
                <wp:wrapSquare wrapText="left"/>
                <wp:docPr id="1" name="Shape 1"/>
                <a:graphic xmlns:a="http://schemas.openxmlformats.org/drawingml/2006/main">
                  <a:graphicData uri="http://schemas.microsoft.com/office/word/2010/wordprocessingShape">
                    <wps:wsp>
                      <wps:cNvSpPr txBox="1"/>
                      <wps:spPr>
                        <a:xfrm>
                          <a:ext cx="72517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Litvínově</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1.69999999999999pt;margin-top:1.pt;width:57.100000000000001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Litvínově</w:t>
                      </w:r>
                    </w:p>
                  </w:txbxContent>
                </v:textbox>
                <w10:wrap type="square" side="left" anchorx="page"/>
              </v:shape>
            </w:pict>
          </mc:Fallback>
        </mc:AlternateContent>
      </w:r>
      <w:r>
        <w:rPr>
          <w:color w:val="000000"/>
          <w:spacing w:val="0"/>
          <w:w w:val="100"/>
          <w:position w:val="0"/>
          <w:shd w:val="clear" w:color="auto" w:fill="auto"/>
          <w:lang w:val="cs-CZ" w:eastAsia="cs-CZ" w:bidi="cs-CZ"/>
        </w:rPr>
        <w:t>V Chomutově</w:t>
      </w:r>
    </w:p>
    <w:p>
      <w:pPr>
        <w:pStyle w:val="Style2"/>
        <w:keepNext w:val="0"/>
        <w:keepLines w:val="0"/>
        <w:widowControl w:val="0"/>
        <w:shd w:val="clear" w:color="auto" w:fill="auto"/>
        <w:tabs>
          <w:tab w:pos="5035" w:val="left"/>
        </w:tabs>
        <w:bidi w:val="0"/>
        <w:spacing w:before="0" w:after="0" w:line="240" w:lineRule="auto"/>
        <w:ind w:left="0" w:right="0" w:firstLine="0"/>
        <w:jc w:val="both"/>
      </w:pPr>
      <w:r>
        <mc:AlternateContent>
          <mc:Choice Requires="wps">
            <w:drawing>
              <wp:anchor distT="0" distB="0" distL="114300" distR="114300" simplePos="0" relativeHeight="125829380" behindDoc="0" locked="0" layoutInCell="1" allowOverlap="1">
                <wp:simplePos x="0" y="0"/>
                <wp:positionH relativeFrom="page">
                  <wp:posOffset>4085590</wp:posOffset>
                </wp:positionH>
                <wp:positionV relativeFrom="paragraph">
                  <wp:posOffset>1600200</wp:posOffset>
                </wp:positionV>
                <wp:extent cx="875030" cy="228600"/>
                <wp:wrapSquare wrapText="left"/>
                <wp:docPr id="3" name="Shape 3"/>
                <a:graphic xmlns:a="http://schemas.openxmlformats.org/drawingml/2006/main">
                  <a:graphicData uri="http://schemas.microsoft.com/office/word/2010/wordprocessingShape">
                    <wps:wsp>
                      <wps:cNvSpPr txBox="1"/>
                      <wps:spPr>
                        <a:xfrm>
                          <a:ext cx="87503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Radek Kubač</w:t>
                            </w:r>
                          </w:p>
                        </w:txbxContent>
                      </wps:txbx>
                      <wps:bodyPr wrap="none" lIns="0" tIns="0" rIns="0" bIns="0">
                        <a:noAutoFit/>
                      </wps:bodyPr>
                    </wps:wsp>
                  </a:graphicData>
                </a:graphic>
              </wp:anchor>
            </w:drawing>
          </mc:Choice>
          <mc:Fallback>
            <w:pict>
              <v:shape id="_x0000_s1029" type="#_x0000_t202" style="position:absolute;margin-left:321.69999999999999pt;margin-top:126.pt;width:68.900000000000006pt;height:18.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Radek Kubač</w:t>
                      </w:r>
                    </w:p>
                  </w:txbxContent>
                </v:textbox>
                <w10:wrap type="square" side="left" anchorx="page"/>
              </v:shape>
            </w:pict>
          </mc:Fallback>
        </mc:AlternateContent>
      </w:r>
      <w:r>
        <w:rPr>
          <w:color w:val="000000"/>
          <w:spacing w:val="0"/>
          <w:w w:val="100"/>
          <w:position w:val="0"/>
          <w:shd w:val="clear" w:color="auto" w:fill="auto"/>
          <w:lang w:val="cs-CZ" w:eastAsia="cs-CZ" w:bidi="cs-CZ"/>
        </w:rPr>
        <w:t>oprávněný zástupce objednatele</w:t>
        <w:tab/>
        <w:t xml:space="preserve">zhotovitel </w:t>
      </w: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Povodí Ohře, státní podnik</w:t>
      </w:r>
    </w:p>
    <w:sectPr>
      <w:footerReference w:type="default" r:id="rId5"/>
      <w:footnotePr>
        <w:pos w:val="pageBottom"/>
        <w:numFmt w:val="decimal"/>
        <w:numRestart w:val="continuous"/>
      </w:footnotePr>
      <w:pgSz w:w="11909" w:h="16838"/>
      <w:pgMar w:top="1061" w:left="1392" w:right="1387" w:bottom="1418" w:header="633"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5842635</wp:posOffset>
              </wp:positionH>
              <wp:positionV relativeFrom="page">
                <wp:posOffset>9918065</wp:posOffset>
              </wp:positionV>
              <wp:extent cx="822960" cy="201295"/>
              <wp:wrapNone/>
              <wp:docPr id="5" name="Shape 5"/>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wps:txbx>
                    <wps:bodyPr wrap="none" lIns="0" tIns="0" rIns="0" bIns="0">
                      <a:spAutoFit/>
                    </wps:bodyPr>
                  </wps:wsp>
                </a:graphicData>
              </a:graphic>
            </wp:anchor>
          </w:drawing>
        </mc:Choice>
        <mc:Fallback>
          <w:pict>
            <v:shape id="_x0000_s1031" type="#_x0000_t202" style="position:absolute;margin-left:460.05000000000001pt;margin-top:780.95000000000005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80"/>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Jor Tomáš</dc:creator>
  <cp:keywords/>
</cp:coreProperties>
</file>