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8DE0C" w14:textId="780C2382" w:rsidR="006C693D" w:rsidRPr="006B43C6" w:rsidRDefault="006C693D" w:rsidP="006C693D">
      <w:pPr>
        <w:spacing w:after="240"/>
        <w:rPr>
          <w:b/>
          <w:sz w:val="24"/>
          <w:szCs w:val="24"/>
        </w:rPr>
      </w:pPr>
      <w:r w:rsidRPr="006B43C6">
        <w:rPr>
          <w:b/>
          <w:sz w:val="24"/>
          <w:szCs w:val="24"/>
        </w:rPr>
        <w:t>Příloha č. 1 – Specifikace díla</w:t>
      </w:r>
    </w:p>
    <w:p w14:paraId="75EB49F3" w14:textId="77777777" w:rsidR="006C693D" w:rsidRPr="00E24EBC" w:rsidRDefault="00BE0F59" w:rsidP="006C693D">
      <w:pPr>
        <w:spacing w:after="24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Námět studie</w:t>
      </w:r>
    </w:p>
    <w:p w14:paraId="5E80D614" w14:textId="1DE5ED36" w:rsidR="006C693D" w:rsidRPr="00BE0F59" w:rsidRDefault="006C693D" w:rsidP="00BE0F59">
      <w:pPr>
        <w:rPr>
          <w:b/>
        </w:rPr>
      </w:pPr>
      <w:r>
        <w:rPr>
          <w:b/>
          <w:sz w:val="22"/>
          <w:szCs w:val="22"/>
        </w:rPr>
        <w:t xml:space="preserve">Název: </w:t>
      </w:r>
      <w:r w:rsidR="009860D0">
        <w:rPr>
          <w:b/>
          <w:sz w:val="22"/>
          <w:szCs w:val="22"/>
        </w:rPr>
        <w:t>M</w:t>
      </w:r>
      <w:r w:rsidR="009860D0" w:rsidRPr="000178BE">
        <w:rPr>
          <w:b/>
          <w:sz w:val="22"/>
          <w:szCs w:val="22"/>
        </w:rPr>
        <w:t xml:space="preserve">apování výskytu </w:t>
      </w:r>
      <w:r w:rsidR="009860D0">
        <w:rPr>
          <w:b/>
          <w:sz w:val="22"/>
          <w:szCs w:val="22"/>
        </w:rPr>
        <w:t xml:space="preserve">ambrozie </w:t>
      </w:r>
      <w:proofErr w:type="spellStart"/>
      <w:r w:rsidR="009860D0">
        <w:rPr>
          <w:b/>
          <w:sz w:val="22"/>
          <w:szCs w:val="22"/>
        </w:rPr>
        <w:t>peřenolisté</w:t>
      </w:r>
      <w:proofErr w:type="spellEnd"/>
      <w:r w:rsidR="009860D0">
        <w:rPr>
          <w:b/>
          <w:sz w:val="22"/>
          <w:szCs w:val="22"/>
        </w:rPr>
        <w:t xml:space="preserve"> (</w:t>
      </w:r>
      <w:r w:rsidR="009860D0" w:rsidRPr="005C565B">
        <w:rPr>
          <w:b/>
          <w:i/>
          <w:sz w:val="22"/>
          <w:szCs w:val="22"/>
        </w:rPr>
        <w:t xml:space="preserve">Ambrosia </w:t>
      </w:r>
      <w:proofErr w:type="spellStart"/>
      <w:r w:rsidR="009860D0" w:rsidRPr="005C565B">
        <w:rPr>
          <w:b/>
          <w:i/>
          <w:sz w:val="22"/>
          <w:szCs w:val="22"/>
        </w:rPr>
        <w:t>artemisiifolia</w:t>
      </w:r>
      <w:proofErr w:type="spellEnd"/>
      <w:r w:rsidR="009860D0">
        <w:rPr>
          <w:b/>
          <w:sz w:val="22"/>
          <w:szCs w:val="22"/>
        </w:rPr>
        <w:t xml:space="preserve">) </w:t>
      </w:r>
      <w:r w:rsidR="009860D0" w:rsidRPr="000178BE">
        <w:rPr>
          <w:b/>
          <w:sz w:val="22"/>
          <w:szCs w:val="22"/>
        </w:rPr>
        <w:t xml:space="preserve">na území </w:t>
      </w:r>
      <w:r w:rsidR="0098176D">
        <w:rPr>
          <w:b/>
          <w:sz w:val="22"/>
          <w:szCs w:val="22"/>
        </w:rPr>
        <w:t xml:space="preserve">jižní </w:t>
      </w:r>
      <w:r w:rsidR="009860D0">
        <w:rPr>
          <w:b/>
          <w:sz w:val="22"/>
          <w:szCs w:val="22"/>
        </w:rPr>
        <w:t>Moravy</w:t>
      </w:r>
    </w:p>
    <w:p w14:paraId="0FA19F33" w14:textId="77777777" w:rsidR="006C693D" w:rsidRPr="00E24EBC" w:rsidRDefault="006C693D" w:rsidP="006C693D">
      <w:pPr>
        <w:spacing w:before="240" w:after="240"/>
        <w:rPr>
          <w:b/>
          <w:u w:val="single"/>
        </w:rPr>
      </w:pPr>
      <w:r w:rsidRPr="00E24EBC">
        <w:rPr>
          <w:b/>
          <w:u w:val="single"/>
        </w:rPr>
        <w:t>Cíl a účel</w:t>
      </w:r>
    </w:p>
    <w:p w14:paraId="03276F93" w14:textId="7B440378" w:rsidR="00017810" w:rsidRDefault="00A81669" w:rsidP="00A30EA9">
      <w:pPr>
        <w:jc w:val="both"/>
        <w:rPr>
          <w:color w:val="000000"/>
          <w:szCs w:val="22"/>
        </w:rPr>
      </w:pPr>
      <w:r w:rsidRPr="00A81669">
        <w:rPr>
          <w:color w:val="000000"/>
          <w:szCs w:val="22"/>
        </w:rPr>
        <w:t xml:space="preserve">Ambrozie </w:t>
      </w:r>
      <w:proofErr w:type="spellStart"/>
      <w:r w:rsidRPr="00A81669">
        <w:rPr>
          <w:color w:val="000000"/>
          <w:szCs w:val="22"/>
        </w:rPr>
        <w:t>peřenolistá</w:t>
      </w:r>
      <w:proofErr w:type="spellEnd"/>
      <w:r w:rsidRPr="00A81669">
        <w:rPr>
          <w:b/>
          <w:bCs/>
          <w:color w:val="000000"/>
          <w:szCs w:val="22"/>
        </w:rPr>
        <w:t xml:space="preserve"> </w:t>
      </w:r>
      <w:r w:rsidRPr="00A81669">
        <w:rPr>
          <w:color w:val="000000"/>
          <w:szCs w:val="22"/>
        </w:rPr>
        <w:t>(</w:t>
      </w:r>
      <w:r w:rsidRPr="00A81669">
        <w:rPr>
          <w:i/>
          <w:iCs/>
          <w:color w:val="000000"/>
          <w:szCs w:val="22"/>
        </w:rPr>
        <w:t xml:space="preserve">Ambrosia </w:t>
      </w:r>
      <w:proofErr w:type="spellStart"/>
      <w:r w:rsidRPr="00A81669">
        <w:rPr>
          <w:i/>
          <w:iCs/>
          <w:color w:val="000000"/>
          <w:szCs w:val="22"/>
        </w:rPr>
        <w:t>artemisiifolia</w:t>
      </w:r>
      <w:proofErr w:type="spellEnd"/>
      <w:r w:rsidRPr="00A81669">
        <w:rPr>
          <w:color w:val="000000"/>
          <w:szCs w:val="22"/>
        </w:rPr>
        <w:t>) je jednoletá bylina původem ze Severní Ameriky patřící v dnešní době mezi evropské invazní druhy s nejvyšším impaktem</w:t>
      </w:r>
      <w:r w:rsidR="005D298B">
        <w:rPr>
          <w:color w:val="000000"/>
          <w:szCs w:val="22"/>
        </w:rPr>
        <w:t xml:space="preserve"> (Slavík et al. 2004, Skálová et al. 2017)</w:t>
      </w:r>
      <w:r w:rsidRPr="00A81669">
        <w:rPr>
          <w:color w:val="000000"/>
          <w:szCs w:val="22"/>
        </w:rPr>
        <w:t>. Rostlina produkuje velké množství vysoce alergenního pylu</w:t>
      </w:r>
      <w:r w:rsidR="00C47A56">
        <w:rPr>
          <w:color w:val="000000"/>
          <w:szCs w:val="22"/>
        </w:rPr>
        <w:t xml:space="preserve"> (Skálová et al. 2017)</w:t>
      </w:r>
      <w:r w:rsidRPr="00A81669">
        <w:rPr>
          <w:color w:val="000000"/>
          <w:szCs w:val="22"/>
        </w:rPr>
        <w:t xml:space="preserve">. Náklady na léčbu alergií jsou vysoké, průměrný roční výdaj se u obyvatel EU pohybuje v řádu stovek milionů eur. K dalším finančním ztrátám dochází v důsledku snížené zemědělské produkce, protože v </w:t>
      </w:r>
      <w:proofErr w:type="spellStart"/>
      <w:r w:rsidRPr="00A81669">
        <w:rPr>
          <w:color w:val="000000"/>
          <w:szCs w:val="22"/>
        </w:rPr>
        <w:t>nejzasaženějších</w:t>
      </w:r>
      <w:proofErr w:type="spellEnd"/>
      <w:r w:rsidRPr="00A81669">
        <w:rPr>
          <w:color w:val="000000"/>
          <w:szCs w:val="22"/>
        </w:rPr>
        <w:t xml:space="preserve"> oblastech patří k velmi častým polním plevelům, především v kulturách slunečnice roční (</w:t>
      </w:r>
      <w:proofErr w:type="spellStart"/>
      <w:r w:rsidRPr="00A81669">
        <w:rPr>
          <w:i/>
          <w:iCs/>
          <w:color w:val="000000"/>
          <w:szCs w:val="22"/>
        </w:rPr>
        <w:t>Helianthus</w:t>
      </w:r>
      <w:proofErr w:type="spellEnd"/>
      <w:r w:rsidRPr="00A81669">
        <w:rPr>
          <w:i/>
          <w:iCs/>
          <w:color w:val="000000"/>
          <w:szCs w:val="22"/>
        </w:rPr>
        <w:t xml:space="preserve"> </w:t>
      </w:r>
      <w:proofErr w:type="spellStart"/>
      <w:r w:rsidRPr="00A81669">
        <w:rPr>
          <w:i/>
          <w:iCs/>
          <w:color w:val="000000"/>
          <w:szCs w:val="22"/>
        </w:rPr>
        <w:t>annuus</w:t>
      </w:r>
      <w:proofErr w:type="spellEnd"/>
      <w:r w:rsidRPr="00A81669">
        <w:rPr>
          <w:color w:val="000000"/>
          <w:szCs w:val="22"/>
        </w:rPr>
        <w:t>) a plodin s nízkou pokryvností. Jedna rostlina dokáže ve středoevropských podmínkách vyprodukovat až přes 90 tisíc semen s klíčivostí dosahující téměř 90 %, k jejichž šíření na větší vzdálenosti dochází především lidskou činností: převozem kontaminovaného steliva, půdy, plodin a krmiva</w:t>
      </w:r>
      <w:r w:rsidR="000F5B43">
        <w:rPr>
          <w:color w:val="000000"/>
          <w:szCs w:val="22"/>
        </w:rPr>
        <w:t xml:space="preserve"> (Moravcová et al. 2010)</w:t>
      </w:r>
      <w:r w:rsidRPr="00A81669">
        <w:rPr>
          <w:color w:val="000000"/>
          <w:szCs w:val="22"/>
        </w:rPr>
        <w:t xml:space="preserve">. V České republice </w:t>
      </w:r>
      <w:r w:rsidR="00322789">
        <w:rPr>
          <w:color w:val="000000"/>
          <w:szCs w:val="22"/>
        </w:rPr>
        <w:t>má rostlina invazní status (</w:t>
      </w:r>
      <w:proofErr w:type="spellStart"/>
      <w:r w:rsidR="00322789">
        <w:rPr>
          <w:color w:val="000000"/>
          <w:szCs w:val="22"/>
        </w:rPr>
        <w:t>Pyšek</w:t>
      </w:r>
      <w:proofErr w:type="spellEnd"/>
      <w:r w:rsidR="00322789">
        <w:rPr>
          <w:color w:val="000000"/>
          <w:szCs w:val="22"/>
        </w:rPr>
        <w:t xml:space="preserve"> et al. 2022) a </w:t>
      </w:r>
      <w:r w:rsidRPr="00A81669">
        <w:rPr>
          <w:color w:val="000000"/>
          <w:szCs w:val="22"/>
        </w:rPr>
        <w:t>je spolu s bolševníkem velkolepým (</w:t>
      </w:r>
      <w:proofErr w:type="spellStart"/>
      <w:r w:rsidRPr="00A81669">
        <w:rPr>
          <w:i/>
          <w:iCs/>
          <w:color w:val="000000"/>
          <w:szCs w:val="22"/>
        </w:rPr>
        <w:t>Heracleum</w:t>
      </w:r>
      <w:proofErr w:type="spellEnd"/>
      <w:r w:rsidRPr="00A81669">
        <w:rPr>
          <w:i/>
          <w:iCs/>
          <w:color w:val="000000"/>
          <w:szCs w:val="22"/>
        </w:rPr>
        <w:t xml:space="preserve"> </w:t>
      </w:r>
      <w:proofErr w:type="spellStart"/>
      <w:r w:rsidRPr="00A81669">
        <w:rPr>
          <w:i/>
          <w:iCs/>
          <w:color w:val="000000"/>
          <w:szCs w:val="22"/>
        </w:rPr>
        <w:t>mantegazzianum</w:t>
      </w:r>
      <w:proofErr w:type="spellEnd"/>
      <w:r w:rsidRPr="00A81669">
        <w:rPr>
          <w:color w:val="000000"/>
          <w:szCs w:val="22"/>
        </w:rPr>
        <w:t xml:space="preserve">) zařazena do Černého seznamu nepůvodních druhů (viz Pergl et al. 2016) jako rozšířený druh s vysokým environmentálním a socioekonomickým dopadem. Momentálně se zde rostlina významně šíří po železničních koridorech, v okolí lidských sídel a na okrajích silnic. Obsazuje ruderální stanoviště, zejména v </w:t>
      </w:r>
      <w:proofErr w:type="spellStart"/>
      <w:r w:rsidRPr="00A81669">
        <w:rPr>
          <w:color w:val="000000"/>
          <w:szCs w:val="22"/>
        </w:rPr>
        <w:t>termofytiku</w:t>
      </w:r>
      <w:proofErr w:type="spellEnd"/>
      <w:r w:rsidRPr="00A81669">
        <w:rPr>
          <w:color w:val="000000"/>
          <w:szCs w:val="22"/>
        </w:rPr>
        <w:t>, často ve větších městech a jejich širším okolí, ale vyskytuje se roztroušeněji napříč celou ČR</w:t>
      </w:r>
      <w:r w:rsidR="00227438">
        <w:rPr>
          <w:color w:val="000000"/>
          <w:szCs w:val="22"/>
        </w:rPr>
        <w:t>. Její šíření zejména ve volné krajině není v současné době dostatečně podchyceno (viz omezené záznamy v NDOP).</w:t>
      </w:r>
      <w:r w:rsidR="005B08A9">
        <w:rPr>
          <w:color w:val="000000"/>
          <w:szCs w:val="22"/>
        </w:rPr>
        <w:t xml:space="preserve"> </w:t>
      </w:r>
    </w:p>
    <w:p w14:paraId="753E8EE2" w14:textId="1AFA04BB" w:rsidR="005B08A9" w:rsidRDefault="005B08A9" w:rsidP="00A30EA9">
      <w:pPr>
        <w:jc w:val="both"/>
      </w:pPr>
      <w:r>
        <w:t>Studie je navržena</w:t>
      </w:r>
      <w:r w:rsidR="00017810">
        <w:t xml:space="preserve"> v souvislosti s aktuálním</w:t>
      </w:r>
      <w:r>
        <w:t xml:space="preserve"> </w:t>
      </w:r>
      <w:r w:rsidR="00227438">
        <w:t xml:space="preserve">masivním </w:t>
      </w:r>
      <w:r>
        <w:t>šířením této invazní rostliny v oblasti Podluží (jižní Morava,</w:t>
      </w:r>
      <w:r w:rsidR="00EE18C4">
        <w:t xml:space="preserve"> území</w:t>
      </w:r>
      <w:r>
        <w:t xml:space="preserve"> mezi Hodonínem a Břeclaví) a zároveň s přípravou vyhlášení CHKO Soutok. </w:t>
      </w:r>
      <w:r w:rsidR="00017810">
        <w:t xml:space="preserve">Mezi nejvíce postižené plochy zde patří pole </w:t>
      </w:r>
      <w:r>
        <w:t>s vybranými druhy plodin (zejména slunečnice)</w:t>
      </w:r>
      <w:r w:rsidR="00017810">
        <w:t>, jejich okraje (často kukuřice)</w:t>
      </w:r>
      <w:r>
        <w:t xml:space="preserve"> a plochy </w:t>
      </w:r>
      <w:r w:rsidR="00017810">
        <w:t>rumištního charakteru</w:t>
      </w:r>
      <w:r>
        <w:t xml:space="preserve">. Hlavními zdroji šíření </w:t>
      </w:r>
      <w:r w:rsidR="00EE18C4">
        <w:t xml:space="preserve">jsou zde především </w:t>
      </w:r>
      <w:r>
        <w:t>prostory podél komunikací (okraje silnic a železnic)</w:t>
      </w:r>
      <w:r w:rsidR="00EE18C4">
        <w:t xml:space="preserve">, které jsou propojeny </w:t>
      </w:r>
      <w:r w:rsidR="00F579F4">
        <w:t>dominantním vektorem šíření –</w:t>
      </w:r>
      <w:r>
        <w:t xml:space="preserve"> doprav</w:t>
      </w:r>
      <w:r w:rsidR="00F579F4">
        <w:t>ou a těžkou technikou</w:t>
      </w:r>
      <w:r>
        <w:t xml:space="preserve">. </w:t>
      </w:r>
    </w:p>
    <w:p w14:paraId="15D51D07" w14:textId="58EA714A" w:rsidR="005213E6" w:rsidRPr="00BE0F59" w:rsidRDefault="00BE0F59" w:rsidP="00A30EA9">
      <w:pPr>
        <w:pStyle w:val="Normlnweb"/>
        <w:spacing w:before="240" w:beforeAutospacing="0" w:after="24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BE0F59">
        <w:rPr>
          <w:rFonts w:ascii="Arial" w:hAnsi="Arial" w:cs="Arial"/>
          <w:color w:val="000000"/>
          <w:sz w:val="20"/>
          <w:szCs w:val="22"/>
        </w:rPr>
        <w:t>Cílem</w:t>
      </w:r>
      <w:r>
        <w:rPr>
          <w:rFonts w:ascii="Arial" w:hAnsi="Arial" w:cs="Arial"/>
          <w:color w:val="000000"/>
          <w:sz w:val="20"/>
          <w:szCs w:val="22"/>
        </w:rPr>
        <w:t xml:space="preserve"> </w:t>
      </w:r>
      <w:r w:rsidRPr="00BE0F59">
        <w:rPr>
          <w:rFonts w:ascii="Arial" w:hAnsi="Arial" w:cs="Arial"/>
          <w:color w:val="000000"/>
          <w:sz w:val="20"/>
          <w:szCs w:val="22"/>
        </w:rPr>
        <w:t xml:space="preserve">studie je </w:t>
      </w:r>
      <w:r w:rsidR="005213E6">
        <w:rPr>
          <w:rFonts w:ascii="Arial" w:hAnsi="Arial" w:cs="Arial"/>
          <w:color w:val="000000"/>
          <w:sz w:val="20"/>
          <w:szCs w:val="22"/>
        </w:rPr>
        <w:t>zmapování</w:t>
      </w:r>
      <w:r>
        <w:rPr>
          <w:rFonts w:ascii="Arial" w:hAnsi="Arial" w:cs="Arial"/>
          <w:color w:val="000000"/>
          <w:sz w:val="20"/>
          <w:szCs w:val="22"/>
        </w:rPr>
        <w:t xml:space="preserve"> aktuální</w:t>
      </w:r>
      <w:r w:rsidR="005213E6">
        <w:rPr>
          <w:rFonts w:ascii="Arial" w:hAnsi="Arial" w:cs="Arial"/>
          <w:color w:val="000000"/>
          <w:sz w:val="20"/>
          <w:szCs w:val="22"/>
        </w:rPr>
        <w:t>ch lokalit</w:t>
      </w:r>
      <w:r w:rsidRPr="00BE0F59">
        <w:rPr>
          <w:rFonts w:ascii="Arial" w:hAnsi="Arial" w:cs="Arial"/>
          <w:color w:val="000000"/>
          <w:sz w:val="20"/>
          <w:szCs w:val="22"/>
        </w:rPr>
        <w:t xml:space="preserve"> výskytu vysoce invazního druhu </w:t>
      </w:r>
      <w:r w:rsidR="00934157" w:rsidRPr="00D03B0E">
        <w:rPr>
          <w:rFonts w:ascii="Arial" w:hAnsi="Arial" w:cs="Arial"/>
          <w:iCs/>
          <w:color w:val="000000"/>
          <w:sz w:val="20"/>
          <w:szCs w:val="22"/>
        </w:rPr>
        <w:t>a</w:t>
      </w:r>
      <w:r w:rsidR="00934157" w:rsidRPr="00A30EA9">
        <w:rPr>
          <w:rFonts w:ascii="Arial" w:hAnsi="Arial" w:cs="Arial"/>
          <w:iCs/>
          <w:color w:val="000000"/>
          <w:sz w:val="20"/>
          <w:szCs w:val="22"/>
        </w:rPr>
        <w:t xml:space="preserve">mbrozie </w:t>
      </w:r>
      <w:proofErr w:type="spellStart"/>
      <w:r w:rsidR="00934157" w:rsidRPr="00A30EA9">
        <w:rPr>
          <w:rFonts w:ascii="Arial" w:hAnsi="Arial" w:cs="Arial"/>
          <w:iCs/>
          <w:color w:val="000000"/>
          <w:sz w:val="20"/>
          <w:szCs w:val="22"/>
        </w:rPr>
        <w:t>peřenolisté</w:t>
      </w:r>
      <w:proofErr w:type="spellEnd"/>
      <w:r w:rsidR="007359B9">
        <w:rPr>
          <w:rFonts w:ascii="Arial" w:hAnsi="Arial" w:cs="Arial"/>
          <w:color w:val="000000"/>
          <w:sz w:val="20"/>
          <w:szCs w:val="22"/>
        </w:rPr>
        <w:t xml:space="preserve"> na území </w:t>
      </w:r>
      <w:r w:rsidR="0098176D">
        <w:rPr>
          <w:rFonts w:ascii="Arial" w:hAnsi="Arial" w:cs="Arial"/>
          <w:color w:val="000000"/>
          <w:sz w:val="20"/>
          <w:szCs w:val="22"/>
        </w:rPr>
        <w:t xml:space="preserve">jižní </w:t>
      </w:r>
      <w:r w:rsidR="007359B9">
        <w:rPr>
          <w:rFonts w:ascii="Arial" w:hAnsi="Arial" w:cs="Arial"/>
          <w:color w:val="000000"/>
          <w:sz w:val="20"/>
          <w:szCs w:val="22"/>
        </w:rPr>
        <w:t>Moravy</w:t>
      </w:r>
      <w:r w:rsidR="005B08A9">
        <w:rPr>
          <w:rFonts w:ascii="Arial" w:hAnsi="Arial" w:cs="Arial"/>
          <w:color w:val="000000"/>
          <w:sz w:val="20"/>
          <w:szCs w:val="22"/>
        </w:rPr>
        <w:t xml:space="preserve"> v oblasti </w:t>
      </w:r>
      <w:r w:rsidR="00017810">
        <w:rPr>
          <w:rFonts w:ascii="Arial" w:hAnsi="Arial" w:cs="Arial"/>
          <w:color w:val="000000"/>
          <w:sz w:val="20"/>
          <w:szCs w:val="22"/>
        </w:rPr>
        <w:t>Podluží a je</w:t>
      </w:r>
      <w:r w:rsidR="00F579F4">
        <w:rPr>
          <w:rFonts w:ascii="Arial" w:hAnsi="Arial" w:cs="Arial"/>
          <w:color w:val="000000"/>
          <w:sz w:val="20"/>
          <w:szCs w:val="22"/>
        </w:rPr>
        <w:t>jím</w:t>
      </w:r>
      <w:r w:rsidR="005B08A9">
        <w:rPr>
          <w:rFonts w:ascii="Arial" w:hAnsi="Arial" w:cs="Arial"/>
          <w:color w:val="000000"/>
          <w:sz w:val="20"/>
          <w:szCs w:val="22"/>
        </w:rPr>
        <w:t xml:space="preserve"> okolí</w:t>
      </w:r>
      <w:r w:rsidR="009D0C9B">
        <w:rPr>
          <w:rFonts w:ascii="Arial" w:hAnsi="Arial" w:cs="Arial"/>
          <w:color w:val="000000"/>
          <w:sz w:val="20"/>
          <w:szCs w:val="22"/>
        </w:rPr>
        <w:t xml:space="preserve">, </w:t>
      </w:r>
      <w:r w:rsidRPr="00BE0F59">
        <w:rPr>
          <w:rFonts w:ascii="Arial" w:hAnsi="Arial" w:cs="Arial"/>
          <w:color w:val="000000"/>
          <w:sz w:val="20"/>
          <w:szCs w:val="22"/>
        </w:rPr>
        <w:t>které budou sloužit jako podklad pro plánování a uskutečnění likvidací tohoto druhu</w:t>
      </w:r>
      <w:r w:rsidR="00361001">
        <w:rPr>
          <w:rFonts w:ascii="Arial" w:hAnsi="Arial" w:cs="Arial"/>
          <w:color w:val="000000"/>
          <w:sz w:val="20"/>
          <w:szCs w:val="22"/>
        </w:rPr>
        <w:t xml:space="preserve">. </w:t>
      </w:r>
      <w:r w:rsidR="00F12B06">
        <w:rPr>
          <w:rFonts w:ascii="Arial" w:hAnsi="Arial" w:cs="Arial"/>
          <w:color w:val="000000"/>
          <w:sz w:val="20"/>
          <w:szCs w:val="22"/>
        </w:rPr>
        <w:t>Podrobná data budou následně poskytnuta zejména vlastníkům pozemků s výskytem sledovaného druhu</w:t>
      </w:r>
      <w:r w:rsidR="009435FC">
        <w:rPr>
          <w:rFonts w:ascii="Arial" w:hAnsi="Arial" w:cs="Arial"/>
          <w:color w:val="000000"/>
          <w:sz w:val="20"/>
          <w:szCs w:val="22"/>
        </w:rPr>
        <w:t xml:space="preserve"> pro</w:t>
      </w:r>
      <w:r w:rsidR="00F12B06">
        <w:rPr>
          <w:rFonts w:ascii="Arial" w:hAnsi="Arial" w:cs="Arial"/>
          <w:color w:val="000000"/>
          <w:sz w:val="20"/>
          <w:szCs w:val="22"/>
        </w:rPr>
        <w:t xml:space="preserve"> usnadnění dalších kroků k navazující likvidaci. </w:t>
      </w:r>
      <w:r w:rsidRPr="00BE0F59">
        <w:rPr>
          <w:rFonts w:ascii="Arial" w:hAnsi="Arial" w:cs="Arial"/>
          <w:color w:val="000000"/>
          <w:sz w:val="20"/>
          <w:szCs w:val="22"/>
        </w:rPr>
        <w:t xml:space="preserve">Zároveň je vhodné zjistit výskyt také dalších nepůvodních a invazních druhů, které se na stanovištích spolu s ambrozií vyskytují – případné následující likvidace mohou proběhnout pro více druhů najednou </w:t>
      </w:r>
      <w:r w:rsidR="00FD6CC9">
        <w:rPr>
          <w:rFonts w:ascii="Arial" w:hAnsi="Arial" w:cs="Arial"/>
          <w:color w:val="000000"/>
          <w:sz w:val="20"/>
          <w:szCs w:val="22"/>
        </w:rPr>
        <w:t>(</w:t>
      </w:r>
      <w:r w:rsidRPr="00BE0F59">
        <w:rPr>
          <w:rFonts w:ascii="Arial" w:hAnsi="Arial" w:cs="Arial"/>
          <w:color w:val="000000"/>
          <w:sz w:val="20"/>
          <w:szCs w:val="22"/>
        </w:rPr>
        <w:t>snížení nákladů na likvidační práce i materiál</w:t>
      </w:r>
      <w:r w:rsidR="00FD6CC9">
        <w:rPr>
          <w:rFonts w:ascii="Arial" w:hAnsi="Arial" w:cs="Arial"/>
          <w:color w:val="000000"/>
          <w:sz w:val="20"/>
          <w:szCs w:val="22"/>
        </w:rPr>
        <w:t xml:space="preserve">, </w:t>
      </w:r>
      <w:r w:rsidRPr="00BE0F59">
        <w:rPr>
          <w:rFonts w:ascii="Arial" w:hAnsi="Arial" w:cs="Arial"/>
          <w:color w:val="000000"/>
          <w:sz w:val="20"/>
          <w:szCs w:val="22"/>
        </w:rPr>
        <w:t xml:space="preserve">např. herbicidní přípravky). </w:t>
      </w:r>
    </w:p>
    <w:p w14:paraId="1B6AE6E6" w14:textId="7B568B50" w:rsidR="00742C4E" w:rsidRPr="00AE1BA7" w:rsidRDefault="00BE0F59" w:rsidP="00A30EA9">
      <w:pPr>
        <w:pStyle w:val="Normlnweb"/>
        <w:spacing w:before="240" w:beforeAutospacing="0" w:after="240" w:afterAutospacing="0"/>
        <w:jc w:val="both"/>
        <w:rPr>
          <w:rFonts w:ascii="Arial" w:hAnsi="Arial" w:cs="Arial"/>
          <w:sz w:val="20"/>
          <w:szCs w:val="22"/>
        </w:rPr>
      </w:pPr>
      <w:r w:rsidRPr="007359B9">
        <w:rPr>
          <w:rFonts w:ascii="Arial" w:hAnsi="Arial" w:cs="Arial"/>
          <w:sz w:val="20"/>
          <w:szCs w:val="22"/>
        </w:rPr>
        <w:t>Časový rámec stud</w:t>
      </w:r>
      <w:r w:rsidR="005213E6" w:rsidRPr="007359B9">
        <w:rPr>
          <w:rFonts w:ascii="Arial" w:hAnsi="Arial" w:cs="Arial"/>
          <w:sz w:val="20"/>
          <w:szCs w:val="22"/>
        </w:rPr>
        <w:t xml:space="preserve">ie je vymezen na </w:t>
      </w:r>
      <w:r w:rsidR="00290EB3">
        <w:rPr>
          <w:rFonts w:ascii="Arial" w:hAnsi="Arial" w:cs="Arial"/>
          <w:sz w:val="20"/>
          <w:szCs w:val="22"/>
        </w:rPr>
        <w:t xml:space="preserve">rok </w:t>
      </w:r>
      <w:r w:rsidR="0098176D">
        <w:rPr>
          <w:rFonts w:ascii="Arial" w:hAnsi="Arial" w:cs="Arial"/>
          <w:sz w:val="20"/>
          <w:szCs w:val="22"/>
        </w:rPr>
        <w:t>2025</w:t>
      </w:r>
      <w:r w:rsidRPr="007359B9">
        <w:rPr>
          <w:rFonts w:ascii="Arial" w:hAnsi="Arial" w:cs="Arial"/>
          <w:sz w:val="20"/>
          <w:szCs w:val="22"/>
        </w:rPr>
        <w:t xml:space="preserve">. </w:t>
      </w:r>
      <w:r w:rsidR="00017810">
        <w:rPr>
          <w:rFonts w:ascii="Arial" w:hAnsi="Arial" w:cs="Arial"/>
          <w:sz w:val="20"/>
          <w:szCs w:val="22"/>
        </w:rPr>
        <w:t xml:space="preserve">Vhodná doba k mapování ambrozie </w:t>
      </w:r>
      <w:r w:rsidR="00227438">
        <w:rPr>
          <w:rFonts w:ascii="Arial" w:hAnsi="Arial" w:cs="Arial"/>
          <w:sz w:val="20"/>
          <w:szCs w:val="22"/>
        </w:rPr>
        <w:t>je</w:t>
      </w:r>
      <w:r w:rsidR="00FD6CC9">
        <w:rPr>
          <w:rFonts w:ascii="Arial" w:hAnsi="Arial" w:cs="Arial"/>
          <w:sz w:val="20"/>
          <w:szCs w:val="22"/>
        </w:rPr>
        <w:t xml:space="preserve"> poté</w:t>
      </w:r>
      <w:r w:rsidR="00227438">
        <w:rPr>
          <w:rFonts w:ascii="Arial" w:hAnsi="Arial" w:cs="Arial"/>
          <w:sz w:val="20"/>
          <w:szCs w:val="22"/>
        </w:rPr>
        <w:t xml:space="preserve"> od června, </w:t>
      </w:r>
      <w:r w:rsidR="00FD6CC9">
        <w:rPr>
          <w:rFonts w:ascii="Arial" w:hAnsi="Arial" w:cs="Arial"/>
          <w:sz w:val="20"/>
          <w:szCs w:val="22"/>
        </w:rPr>
        <w:t>druh je však nejlépe determinovatelný v období květu, tedy</w:t>
      </w:r>
      <w:r w:rsidR="00227438">
        <w:rPr>
          <w:rFonts w:ascii="Arial" w:hAnsi="Arial" w:cs="Arial"/>
          <w:sz w:val="20"/>
          <w:szCs w:val="22"/>
        </w:rPr>
        <w:t xml:space="preserve"> přibližně od srpna do října</w:t>
      </w:r>
      <w:r w:rsidR="00801C1F">
        <w:rPr>
          <w:rFonts w:ascii="Arial" w:hAnsi="Arial" w:cs="Arial"/>
          <w:sz w:val="20"/>
          <w:szCs w:val="22"/>
        </w:rPr>
        <w:t>. Druh lze tedy bez problémů mapovat až do pozdní vegetační sezony včetně časného podzimu.</w:t>
      </w:r>
      <w:r w:rsidR="00FD6CC9">
        <w:rPr>
          <w:rFonts w:ascii="Arial" w:hAnsi="Arial" w:cs="Arial"/>
          <w:sz w:val="20"/>
          <w:szCs w:val="22"/>
        </w:rPr>
        <w:t xml:space="preserve"> </w:t>
      </w:r>
    </w:p>
    <w:p w14:paraId="6F28CA90" w14:textId="77777777" w:rsidR="00A81669" w:rsidRPr="00A81669" w:rsidRDefault="00A81669" w:rsidP="00A30EA9">
      <w:pPr>
        <w:pStyle w:val="Normlnweb"/>
        <w:spacing w:before="240" w:beforeAutospacing="0" w:after="240" w:afterAutospacing="0"/>
        <w:jc w:val="both"/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A81669">
        <w:rPr>
          <w:rFonts w:ascii="Arial" w:hAnsi="Arial" w:cs="Arial"/>
          <w:b/>
          <w:sz w:val="20"/>
          <w:szCs w:val="20"/>
          <w:u w:val="single"/>
          <w:lang w:eastAsia="en-US"/>
        </w:rPr>
        <w:t>Lokalizace</w:t>
      </w:r>
    </w:p>
    <w:p w14:paraId="7F37C213" w14:textId="60438FAF" w:rsidR="002942BB" w:rsidRDefault="00713E85" w:rsidP="00586C66">
      <w:pPr>
        <w:spacing w:before="240" w:after="240"/>
        <w:jc w:val="both"/>
      </w:pPr>
      <w:r w:rsidRPr="00A81669">
        <w:t xml:space="preserve">Studie se bude provádět na </w:t>
      </w:r>
      <w:r w:rsidR="002942BB">
        <w:t xml:space="preserve">předem vymezeném území </w:t>
      </w:r>
      <w:r w:rsidR="00227438">
        <w:t>jižní Moravy</w:t>
      </w:r>
      <w:r w:rsidR="00C123F7">
        <w:t xml:space="preserve">, která byla pro účely mapování standardně rozdělena </w:t>
      </w:r>
      <w:r w:rsidR="002942BB">
        <w:t>do mapova</w:t>
      </w:r>
      <w:r w:rsidR="00C123F7">
        <w:t>cí</w:t>
      </w:r>
      <w:r w:rsidR="002942BB">
        <w:t>ch polí prvního řádu</w:t>
      </w:r>
      <w:r w:rsidR="00C123F7">
        <w:t>.</w:t>
      </w:r>
      <w:r w:rsidR="002942BB">
        <w:t xml:space="preserve"> </w:t>
      </w:r>
      <w:r w:rsidR="00573849">
        <w:t>Cílová</w:t>
      </w:r>
      <w:r w:rsidR="00C123F7">
        <w:t xml:space="preserve"> pole mapování jsou lokalizován</w:t>
      </w:r>
      <w:r w:rsidR="00573849">
        <w:t>a</w:t>
      </w:r>
      <w:r w:rsidR="00C123F7">
        <w:t xml:space="preserve"> v rámci</w:t>
      </w:r>
      <w:r w:rsidR="002942BB">
        <w:t xml:space="preserve"> katastrální</w:t>
      </w:r>
      <w:r w:rsidR="00C123F7">
        <w:t>ho</w:t>
      </w:r>
      <w:r w:rsidR="002942BB">
        <w:t xml:space="preserve"> území obcí </w:t>
      </w:r>
      <w:r w:rsidR="00227438">
        <w:t xml:space="preserve">v Podluží </w:t>
      </w:r>
      <w:r w:rsidR="002942BB">
        <w:t>a</w:t>
      </w:r>
      <w:r w:rsidR="00C123F7">
        <w:t xml:space="preserve"> v</w:t>
      </w:r>
      <w:r w:rsidR="002942BB">
        <w:t xml:space="preserve"> jejich bezprostředním okolí. Konkrétní pole jsou specifikována pomocí zákresu v mapě doplněného o seznam (Příloha 1). Celkem se jedná o 26 polí</w:t>
      </w:r>
      <w:r w:rsidR="00C123F7">
        <w:t xml:space="preserve">, která byla zvolena na základě konzultace s odborníky </w:t>
      </w:r>
      <w:r w:rsidR="00573849">
        <w:t>na invazní druhy a regionálním pracovištěm AOPK ČR</w:t>
      </w:r>
      <w:r w:rsidR="002942BB">
        <w:t>.</w:t>
      </w:r>
      <w:r w:rsidR="00276B20">
        <w:t xml:space="preserve"> V případě polí, které zahrnují také lesnaté části Soutoku (tzn. </w:t>
      </w:r>
      <w:r w:rsidR="004D5797">
        <w:t xml:space="preserve">7168c, 7168d, 7267c, 7267d, 7268a, </w:t>
      </w:r>
      <w:r w:rsidR="00C128F2">
        <w:t xml:space="preserve">7268b, 7268c, 7367a, </w:t>
      </w:r>
      <w:r w:rsidR="004D5797">
        <w:t xml:space="preserve">7367b, </w:t>
      </w:r>
      <w:r w:rsidR="00C128F2">
        <w:t>7367d</w:t>
      </w:r>
      <w:r w:rsidR="00276B20">
        <w:t xml:space="preserve">), je vhodné lesnaté části vynechat a soustředit se pouze na </w:t>
      </w:r>
      <w:r w:rsidR="00CF6914">
        <w:t>biotopy, které jsou z hlediska ekologie druhu vhodné pro potenciální výskyt.</w:t>
      </w:r>
    </w:p>
    <w:p w14:paraId="3BD44E97" w14:textId="4C29EB61" w:rsidR="00713E85" w:rsidRPr="00A81669" w:rsidRDefault="00713E85" w:rsidP="00713E85">
      <w:pPr>
        <w:spacing w:before="240" w:after="240"/>
        <w:jc w:val="both"/>
      </w:pPr>
    </w:p>
    <w:p w14:paraId="0E38D6F8" w14:textId="77777777" w:rsidR="00713E85" w:rsidRDefault="00713E85" w:rsidP="00713E85">
      <w:pPr>
        <w:pStyle w:val="Odstavecseseznamem"/>
        <w:spacing w:before="240" w:after="240"/>
        <w:jc w:val="both"/>
      </w:pPr>
    </w:p>
    <w:p w14:paraId="6B1E54E7" w14:textId="212C2F3A" w:rsidR="006C693D" w:rsidRPr="00E24EBC" w:rsidRDefault="006C693D" w:rsidP="00A30EA9">
      <w:pPr>
        <w:spacing w:before="240" w:after="240"/>
        <w:jc w:val="both"/>
        <w:rPr>
          <w:b/>
          <w:u w:val="single"/>
        </w:rPr>
      </w:pPr>
      <w:r w:rsidRPr="00E24EBC">
        <w:rPr>
          <w:b/>
          <w:u w:val="single"/>
        </w:rPr>
        <w:t>Předmět studie a metodika</w:t>
      </w:r>
    </w:p>
    <w:p w14:paraId="7F5FD687" w14:textId="77777777" w:rsidR="00C31EF3" w:rsidRDefault="00C31EF3" w:rsidP="00A30EA9">
      <w:pPr>
        <w:pStyle w:val="Normlnweb"/>
        <w:spacing w:before="240" w:beforeAutospacing="0" w:after="240" w:afterAutospacing="0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 xml:space="preserve">Při mapování se bude postupovat po vybraných mapovacích polích, resp. čtvercích. </w:t>
      </w:r>
    </w:p>
    <w:p w14:paraId="32E5E7A4" w14:textId="5F5E4BB1" w:rsidR="003537C2" w:rsidRDefault="003537C2" w:rsidP="00A30EA9">
      <w:pPr>
        <w:pStyle w:val="Normlnweb"/>
        <w:spacing w:before="240" w:beforeAutospacing="0" w:after="240" w:afterAutospacing="0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 xml:space="preserve">V každém vybraném mapovém poli 1. řádu budou </w:t>
      </w:r>
      <w:r w:rsidR="00C31EF3">
        <w:rPr>
          <w:rFonts w:ascii="Arial" w:hAnsi="Arial" w:cs="Arial"/>
          <w:color w:val="000000"/>
          <w:sz w:val="20"/>
          <w:szCs w:val="22"/>
        </w:rPr>
        <w:t xml:space="preserve">mapovány lokality výskytu ambrozie </w:t>
      </w:r>
      <w:proofErr w:type="spellStart"/>
      <w:r w:rsidR="00C31EF3">
        <w:rPr>
          <w:rFonts w:ascii="Arial" w:hAnsi="Arial" w:cs="Arial"/>
          <w:color w:val="000000"/>
          <w:sz w:val="20"/>
          <w:szCs w:val="22"/>
        </w:rPr>
        <w:t>peřenolisté</w:t>
      </w:r>
      <w:proofErr w:type="spellEnd"/>
      <w:r w:rsidR="00C31EF3">
        <w:rPr>
          <w:rFonts w:ascii="Arial" w:hAnsi="Arial" w:cs="Arial"/>
          <w:color w:val="000000"/>
          <w:sz w:val="20"/>
          <w:szCs w:val="22"/>
        </w:rPr>
        <w:t xml:space="preserve"> a zaznamenávány její populace a </w:t>
      </w:r>
      <w:proofErr w:type="spellStart"/>
      <w:r w:rsidR="00C31EF3">
        <w:rPr>
          <w:rFonts w:ascii="Arial" w:hAnsi="Arial" w:cs="Arial"/>
          <w:color w:val="000000"/>
          <w:sz w:val="20"/>
          <w:szCs w:val="22"/>
        </w:rPr>
        <w:t>metapopulace</w:t>
      </w:r>
      <w:proofErr w:type="spellEnd"/>
      <w:r w:rsidR="00C31EF3">
        <w:rPr>
          <w:rFonts w:ascii="Arial" w:hAnsi="Arial" w:cs="Arial"/>
          <w:color w:val="000000"/>
          <w:sz w:val="20"/>
          <w:szCs w:val="22"/>
        </w:rPr>
        <w:t xml:space="preserve">. Mapování bude probíhat formou systematického procházení mapového pole, které se zaměří na lokality s možným výskytem ambrozie. </w:t>
      </w:r>
      <w:r>
        <w:rPr>
          <w:rFonts w:ascii="Arial" w:hAnsi="Arial" w:cs="Arial"/>
          <w:color w:val="000000"/>
          <w:sz w:val="20"/>
          <w:szCs w:val="22"/>
        </w:rPr>
        <w:t xml:space="preserve"> </w:t>
      </w:r>
      <w:r w:rsidR="00C31EF3">
        <w:rPr>
          <w:rFonts w:ascii="Arial" w:hAnsi="Arial" w:cs="Arial"/>
          <w:color w:val="000000"/>
          <w:sz w:val="20"/>
          <w:szCs w:val="22"/>
        </w:rPr>
        <w:t>T</w:t>
      </w:r>
      <w:r>
        <w:rPr>
          <w:rFonts w:ascii="Arial" w:hAnsi="Arial" w:cs="Arial"/>
          <w:color w:val="000000"/>
          <w:sz w:val="20"/>
          <w:szCs w:val="22"/>
        </w:rPr>
        <w:t xml:space="preserve">ypicky se bude jednat o ruderální </w:t>
      </w:r>
      <w:r w:rsidR="00C31EF3">
        <w:rPr>
          <w:rFonts w:ascii="Arial" w:hAnsi="Arial" w:cs="Arial"/>
          <w:color w:val="000000"/>
          <w:sz w:val="20"/>
          <w:szCs w:val="22"/>
        </w:rPr>
        <w:t xml:space="preserve">lokality </w:t>
      </w:r>
      <w:r>
        <w:rPr>
          <w:rFonts w:ascii="Arial" w:hAnsi="Arial" w:cs="Arial"/>
          <w:color w:val="000000"/>
          <w:sz w:val="20"/>
          <w:szCs w:val="22"/>
        </w:rPr>
        <w:t>a urbanizovaná území</w:t>
      </w:r>
      <w:r w:rsidR="00C31EF3">
        <w:rPr>
          <w:rFonts w:ascii="Arial" w:hAnsi="Arial" w:cs="Arial"/>
          <w:color w:val="000000"/>
          <w:sz w:val="20"/>
          <w:szCs w:val="22"/>
        </w:rPr>
        <w:t xml:space="preserve"> (okolí obcí a polí, podél silničních komunikací, železničních tratí apod.)</w:t>
      </w:r>
      <w:r>
        <w:rPr>
          <w:rFonts w:ascii="Arial" w:hAnsi="Arial" w:cs="Arial"/>
          <w:color w:val="000000"/>
          <w:sz w:val="20"/>
          <w:szCs w:val="22"/>
        </w:rPr>
        <w:t xml:space="preserve">. </w:t>
      </w:r>
      <w:r w:rsidR="00C31EF3">
        <w:rPr>
          <w:rFonts w:ascii="Arial" w:hAnsi="Arial" w:cs="Arial"/>
          <w:color w:val="000000"/>
          <w:sz w:val="20"/>
          <w:szCs w:val="22"/>
        </w:rPr>
        <w:t xml:space="preserve">Výskyty by měly být zaznamenány na zmíněných lokalitách v rámci plochy příslušného mapovaného pole. </w:t>
      </w:r>
      <w:r w:rsidR="00AB1A7C">
        <w:rPr>
          <w:rFonts w:ascii="Arial" w:hAnsi="Arial" w:cs="Arial"/>
          <w:color w:val="000000"/>
          <w:sz w:val="20"/>
          <w:szCs w:val="22"/>
        </w:rPr>
        <w:t xml:space="preserve">Na těchto lokalitách bude zaznamenán </w:t>
      </w:r>
      <w:r w:rsidR="002942BB">
        <w:rPr>
          <w:rFonts w:ascii="Arial" w:hAnsi="Arial" w:cs="Arial"/>
          <w:color w:val="000000"/>
          <w:sz w:val="20"/>
          <w:szCs w:val="22"/>
        </w:rPr>
        <w:t xml:space="preserve">nejen </w:t>
      </w:r>
      <w:r w:rsidR="00AB1A7C">
        <w:rPr>
          <w:rFonts w:ascii="Arial" w:hAnsi="Arial" w:cs="Arial"/>
          <w:color w:val="000000"/>
          <w:sz w:val="20"/>
          <w:szCs w:val="22"/>
        </w:rPr>
        <w:t>výskyt ambrozie</w:t>
      </w:r>
      <w:r w:rsidR="002942BB">
        <w:rPr>
          <w:rFonts w:ascii="Arial" w:hAnsi="Arial" w:cs="Arial"/>
          <w:color w:val="000000"/>
          <w:sz w:val="20"/>
          <w:szCs w:val="22"/>
        </w:rPr>
        <w:t>, ale také</w:t>
      </w:r>
      <w:r w:rsidR="00AB1A7C">
        <w:rPr>
          <w:rFonts w:ascii="Arial" w:hAnsi="Arial" w:cs="Arial"/>
          <w:color w:val="000000"/>
          <w:sz w:val="20"/>
          <w:szCs w:val="22"/>
        </w:rPr>
        <w:t xml:space="preserve"> dalších nepůvodních a invazních druhů, které se na nich vyskytují</w:t>
      </w:r>
      <w:r w:rsidR="002942BB">
        <w:rPr>
          <w:rFonts w:ascii="Arial" w:hAnsi="Arial" w:cs="Arial"/>
          <w:color w:val="000000"/>
          <w:sz w:val="20"/>
          <w:szCs w:val="22"/>
        </w:rPr>
        <w:t xml:space="preserve"> (seznam sledovaných druhů je uveden v Příloze 1 metodiky </w:t>
      </w:r>
      <w:r w:rsidR="00A443A2">
        <w:rPr>
          <w:rFonts w:ascii="Arial" w:hAnsi="Arial" w:cs="Arial"/>
          <w:color w:val="000000"/>
          <w:sz w:val="20"/>
          <w:szCs w:val="22"/>
        </w:rPr>
        <w:t>Vojík et al. 2024)</w:t>
      </w:r>
      <w:r w:rsidR="00231338">
        <w:rPr>
          <w:rFonts w:ascii="Arial" w:hAnsi="Arial" w:cs="Arial"/>
          <w:color w:val="000000"/>
          <w:sz w:val="20"/>
          <w:szCs w:val="22"/>
        </w:rPr>
        <w:t xml:space="preserve">. </w:t>
      </w:r>
    </w:p>
    <w:p w14:paraId="4E446C05" w14:textId="2F09BE06" w:rsidR="002942BB" w:rsidRDefault="002942BB" w:rsidP="00A30EA9">
      <w:pPr>
        <w:pStyle w:val="Normlnweb"/>
        <w:spacing w:before="240" w:beforeAutospacing="0" w:after="240" w:afterAutospacing="0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Jednotlivá p</w:t>
      </w:r>
      <w:r w:rsidR="009C566A" w:rsidRPr="009F5983">
        <w:rPr>
          <w:rFonts w:ascii="Arial" w:hAnsi="Arial" w:cs="Arial"/>
          <w:color w:val="000000"/>
          <w:sz w:val="20"/>
          <w:szCs w:val="20"/>
        </w:rPr>
        <w:t xml:space="preserve">ozorování </w:t>
      </w:r>
      <w:r w:rsidR="009C566A">
        <w:rPr>
          <w:rFonts w:ascii="Arial" w:hAnsi="Arial" w:cs="Arial"/>
          <w:color w:val="000000"/>
          <w:sz w:val="20"/>
          <w:szCs w:val="20"/>
        </w:rPr>
        <w:t>bud</w:t>
      </w:r>
      <w:r>
        <w:rPr>
          <w:rFonts w:ascii="Arial" w:hAnsi="Arial" w:cs="Arial"/>
          <w:color w:val="000000"/>
          <w:sz w:val="20"/>
          <w:szCs w:val="20"/>
        </w:rPr>
        <w:t>ou</w:t>
      </w:r>
      <w:r w:rsidR="009C566A">
        <w:rPr>
          <w:rFonts w:ascii="Arial" w:hAnsi="Arial" w:cs="Arial"/>
          <w:color w:val="000000"/>
          <w:sz w:val="20"/>
          <w:szCs w:val="20"/>
        </w:rPr>
        <w:t xml:space="preserve"> mít</w:t>
      </w:r>
      <w:r w:rsidR="009C566A" w:rsidRPr="009F5983">
        <w:rPr>
          <w:rFonts w:ascii="Arial" w:hAnsi="Arial" w:cs="Arial"/>
          <w:color w:val="000000"/>
          <w:sz w:val="20"/>
          <w:szCs w:val="20"/>
        </w:rPr>
        <w:t xml:space="preserve"> podobu floristického záznamu</w:t>
      </w:r>
      <w:r w:rsidR="00D03B0E">
        <w:rPr>
          <w:rFonts w:ascii="Arial" w:hAnsi="Arial" w:cs="Arial"/>
          <w:color w:val="000000"/>
          <w:sz w:val="20"/>
          <w:szCs w:val="20"/>
        </w:rPr>
        <w:t>,</w:t>
      </w:r>
      <w:r w:rsidR="009C566A" w:rsidRPr="009F5983">
        <w:rPr>
          <w:rFonts w:ascii="Arial" w:hAnsi="Arial" w:cs="Arial"/>
          <w:color w:val="000000"/>
          <w:sz w:val="20"/>
          <w:szCs w:val="20"/>
        </w:rPr>
        <w:t xml:space="preserve"> s přesně lokalizovaným místem nálezu na mapě</w:t>
      </w:r>
      <w:r w:rsidR="00D03B0E">
        <w:rPr>
          <w:rFonts w:ascii="Arial" w:hAnsi="Arial" w:cs="Arial"/>
          <w:color w:val="000000"/>
          <w:sz w:val="20"/>
          <w:szCs w:val="20"/>
        </w:rPr>
        <w:t>,</w:t>
      </w:r>
      <w:r w:rsidR="003537C2">
        <w:rPr>
          <w:rFonts w:ascii="Arial" w:hAnsi="Arial" w:cs="Arial"/>
          <w:color w:val="000000"/>
          <w:sz w:val="20"/>
          <w:szCs w:val="20"/>
        </w:rPr>
        <w:t xml:space="preserve"> </w:t>
      </w:r>
      <w:r w:rsidR="003537C2" w:rsidRPr="00F92BBE">
        <w:rPr>
          <w:rFonts w:ascii="Arial" w:hAnsi="Arial" w:cs="Arial"/>
          <w:color w:val="000000"/>
          <w:sz w:val="20"/>
          <w:szCs w:val="20"/>
        </w:rPr>
        <w:t>v podobě polygonu</w:t>
      </w:r>
      <w:r w:rsidR="009C566A" w:rsidRPr="009F5983">
        <w:rPr>
          <w:rFonts w:ascii="Arial" w:hAnsi="Arial" w:cs="Arial"/>
          <w:color w:val="000000"/>
          <w:sz w:val="20"/>
          <w:szCs w:val="20"/>
        </w:rPr>
        <w:t xml:space="preserve">. Záznam </w:t>
      </w:r>
      <w:r>
        <w:rPr>
          <w:rFonts w:ascii="Arial" w:hAnsi="Arial" w:cs="Arial"/>
          <w:color w:val="000000"/>
          <w:sz w:val="20"/>
          <w:szCs w:val="20"/>
        </w:rPr>
        <w:t xml:space="preserve">bude </w:t>
      </w:r>
      <w:r w:rsidR="009C566A" w:rsidRPr="009F5983">
        <w:rPr>
          <w:rFonts w:ascii="Arial" w:hAnsi="Arial" w:cs="Arial"/>
          <w:color w:val="000000"/>
          <w:sz w:val="20"/>
          <w:szCs w:val="20"/>
        </w:rPr>
        <w:t>primárně obsah</w:t>
      </w:r>
      <w:r>
        <w:rPr>
          <w:rFonts w:ascii="Arial" w:hAnsi="Arial" w:cs="Arial"/>
          <w:color w:val="000000"/>
          <w:sz w:val="20"/>
          <w:szCs w:val="20"/>
        </w:rPr>
        <w:t>ovat</w:t>
      </w:r>
      <w:r w:rsidR="009C566A" w:rsidRPr="009F5983">
        <w:rPr>
          <w:rFonts w:ascii="Arial" w:hAnsi="Arial" w:cs="Arial"/>
          <w:color w:val="000000"/>
          <w:sz w:val="20"/>
          <w:szCs w:val="20"/>
        </w:rPr>
        <w:t xml:space="preserve"> </w:t>
      </w:r>
      <w:r w:rsidR="00E05AE0">
        <w:rPr>
          <w:rFonts w:ascii="Arial" w:hAnsi="Arial" w:cs="Arial"/>
          <w:color w:val="000000"/>
          <w:sz w:val="20"/>
          <w:szCs w:val="20"/>
        </w:rPr>
        <w:t xml:space="preserve">datum nálezu, název taxonu a </w:t>
      </w:r>
      <w:r w:rsidR="009C566A" w:rsidRPr="009F5983">
        <w:rPr>
          <w:rFonts w:ascii="Arial" w:hAnsi="Arial" w:cs="Arial"/>
          <w:color w:val="000000"/>
          <w:sz w:val="20"/>
          <w:szCs w:val="20"/>
        </w:rPr>
        <w:t>informace</w:t>
      </w:r>
      <w:r w:rsidR="00E05AE0">
        <w:rPr>
          <w:rFonts w:ascii="Arial" w:hAnsi="Arial" w:cs="Arial"/>
          <w:color w:val="000000"/>
          <w:sz w:val="20"/>
          <w:szCs w:val="20"/>
        </w:rPr>
        <w:t xml:space="preserve"> o jeho</w:t>
      </w:r>
      <w:r w:rsidR="009C566A" w:rsidRPr="009F5983">
        <w:rPr>
          <w:rFonts w:ascii="Arial" w:hAnsi="Arial" w:cs="Arial"/>
          <w:color w:val="000000"/>
          <w:sz w:val="20"/>
          <w:szCs w:val="20"/>
        </w:rPr>
        <w:t xml:space="preserve"> </w:t>
      </w:r>
      <w:r w:rsidR="00D03B0E">
        <w:rPr>
          <w:rFonts w:ascii="Arial" w:hAnsi="Arial" w:cs="Arial"/>
          <w:color w:val="000000"/>
          <w:sz w:val="20"/>
          <w:szCs w:val="20"/>
        </w:rPr>
        <w:t>po</w:t>
      </w:r>
      <w:r w:rsidR="00D03B0E" w:rsidRPr="00586C66">
        <w:rPr>
          <w:rFonts w:ascii="Arial" w:hAnsi="Arial" w:cs="Arial"/>
          <w:color w:val="000000"/>
          <w:sz w:val="20"/>
          <w:szCs w:val="20"/>
        </w:rPr>
        <w:t>kryvnosti (pro kategorizace se bude</w:t>
      </w:r>
      <w:r w:rsidR="00D03B0E" w:rsidRPr="00B05CFB">
        <w:rPr>
          <w:rFonts w:ascii="Arial" w:hAnsi="Arial" w:cs="Arial"/>
          <w:color w:val="000000"/>
          <w:sz w:val="20"/>
          <w:szCs w:val="20"/>
        </w:rPr>
        <w:t xml:space="preserve"> využívat tzv. </w:t>
      </w:r>
      <w:r w:rsidR="009C566A" w:rsidRPr="00B05CFB">
        <w:rPr>
          <w:rFonts w:ascii="Arial" w:hAnsi="Arial" w:cs="Arial"/>
          <w:color w:val="000000"/>
          <w:sz w:val="20"/>
          <w:szCs w:val="20"/>
        </w:rPr>
        <w:t>zjednodušen</w:t>
      </w:r>
      <w:r w:rsidR="00D03B0E" w:rsidRPr="00B05CFB">
        <w:rPr>
          <w:rFonts w:ascii="Arial" w:hAnsi="Arial" w:cs="Arial"/>
          <w:color w:val="000000"/>
          <w:sz w:val="20"/>
          <w:szCs w:val="20"/>
        </w:rPr>
        <w:t>á</w:t>
      </w:r>
      <w:r w:rsidR="009C566A" w:rsidRPr="00B05CFB">
        <w:rPr>
          <w:rFonts w:ascii="Arial" w:hAnsi="Arial" w:cs="Arial"/>
          <w:color w:val="000000"/>
          <w:sz w:val="20"/>
          <w:szCs w:val="20"/>
        </w:rPr>
        <w:t xml:space="preserve"> škál</w:t>
      </w:r>
      <w:r w:rsidR="00D03B0E" w:rsidRPr="00B05CFB">
        <w:rPr>
          <w:rFonts w:ascii="Arial" w:hAnsi="Arial" w:cs="Arial"/>
          <w:color w:val="000000"/>
          <w:sz w:val="20"/>
          <w:szCs w:val="20"/>
        </w:rPr>
        <w:t>a</w:t>
      </w:r>
      <w:r w:rsidR="009C566A" w:rsidRPr="00B05CFB">
        <w:rPr>
          <w:rFonts w:ascii="Arial" w:hAnsi="Arial" w:cs="Arial"/>
          <w:color w:val="000000"/>
          <w:sz w:val="20"/>
          <w:szCs w:val="20"/>
        </w:rPr>
        <w:t xml:space="preserve"> pokryvnosti</w:t>
      </w:r>
      <w:r w:rsidR="00D03B0E" w:rsidRPr="00B05CFB">
        <w:rPr>
          <w:rFonts w:ascii="Arial" w:hAnsi="Arial" w:cs="Arial"/>
          <w:color w:val="000000"/>
          <w:sz w:val="20"/>
          <w:szCs w:val="20"/>
        </w:rPr>
        <w:t xml:space="preserve"> – viz </w:t>
      </w:r>
      <w:r w:rsidR="00AE11A9" w:rsidRPr="00B05CFB">
        <w:rPr>
          <w:rFonts w:ascii="Arial" w:hAnsi="Arial" w:cs="Arial"/>
          <w:color w:val="000000"/>
          <w:sz w:val="20"/>
          <w:szCs w:val="20"/>
        </w:rPr>
        <w:t>Pergl</w:t>
      </w:r>
      <w:r w:rsidR="00AE11A9">
        <w:rPr>
          <w:rFonts w:ascii="Arial" w:hAnsi="Arial" w:cs="Arial"/>
          <w:color w:val="000000"/>
          <w:sz w:val="20"/>
          <w:szCs w:val="20"/>
        </w:rPr>
        <w:t xml:space="preserve"> et al. 2022</w:t>
      </w:r>
      <w:r w:rsidR="00D03B0E">
        <w:rPr>
          <w:rFonts w:ascii="Arial" w:hAnsi="Arial" w:cs="Arial"/>
          <w:color w:val="000000"/>
          <w:sz w:val="20"/>
          <w:szCs w:val="20"/>
        </w:rPr>
        <w:t>)</w:t>
      </w:r>
      <w:r w:rsidR="009C566A" w:rsidRPr="009F5983">
        <w:rPr>
          <w:rFonts w:ascii="Arial" w:hAnsi="Arial" w:cs="Arial"/>
          <w:color w:val="000000"/>
          <w:sz w:val="20"/>
          <w:szCs w:val="20"/>
        </w:rPr>
        <w:t>, vitalit</w:t>
      </w:r>
      <w:r w:rsidR="009A75B8">
        <w:rPr>
          <w:rFonts w:ascii="Arial" w:hAnsi="Arial" w:cs="Arial"/>
          <w:color w:val="000000"/>
          <w:sz w:val="20"/>
          <w:szCs w:val="20"/>
        </w:rPr>
        <w:t>ě</w:t>
      </w:r>
      <w:r w:rsidR="009C566A" w:rsidRPr="009F5983">
        <w:rPr>
          <w:rFonts w:ascii="Arial" w:hAnsi="Arial" w:cs="Arial"/>
          <w:color w:val="000000"/>
          <w:sz w:val="20"/>
          <w:szCs w:val="20"/>
        </w:rPr>
        <w:t>, fenologick</w:t>
      </w:r>
      <w:r w:rsidR="009A75B8">
        <w:rPr>
          <w:rFonts w:ascii="Arial" w:hAnsi="Arial" w:cs="Arial"/>
          <w:color w:val="000000"/>
          <w:sz w:val="20"/>
          <w:szCs w:val="20"/>
        </w:rPr>
        <w:t>é</w:t>
      </w:r>
      <w:r w:rsidR="009C566A" w:rsidRPr="009F5983">
        <w:rPr>
          <w:rFonts w:ascii="Arial" w:hAnsi="Arial" w:cs="Arial"/>
          <w:color w:val="000000"/>
          <w:sz w:val="20"/>
          <w:szCs w:val="20"/>
        </w:rPr>
        <w:t xml:space="preserve"> fázi, vektor</w:t>
      </w:r>
      <w:r w:rsidR="009A75B8">
        <w:rPr>
          <w:rFonts w:ascii="Arial" w:hAnsi="Arial" w:cs="Arial"/>
          <w:color w:val="000000"/>
          <w:sz w:val="20"/>
          <w:szCs w:val="20"/>
        </w:rPr>
        <w:t>u</w:t>
      </w:r>
      <w:r w:rsidR="009C566A" w:rsidRPr="009F5983">
        <w:rPr>
          <w:rFonts w:ascii="Arial" w:hAnsi="Arial" w:cs="Arial"/>
          <w:color w:val="000000"/>
          <w:sz w:val="20"/>
          <w:szCs w:val="20"/>
        </w:rPr>
        <w:t xml:space="preserve"> šíření a typ</w:t>
      </w:r>
      <w:r w:rsidR="009A75B8">
        <w:rPr>
          <w:rFonts w:ascii="Arial" w:hAnsi="Arial" w:cs="Arial"/>
          <w:color w:val="000000"/>
          <w:sz w:val="20"/>
          <w:szCs w:val="20"/>
        </w:rPr>
        <w:t>u</w:t>
      </w:r>
      <w:r w:rsidR="009C566A" w:rsidRPr="009F5983">
        <w:rPr>
          <w:rFonts w:ascii="Arial" w:hAnsi="Arial" w:cs="Arial"/>
          <w:color w:val="000000"/>
          <w:sz w:val="20"/>
          <w:szCs w:val="20"/>
        </w:rPr>
        <w:t xml:space="preserve"> managementu na lokalitě</w:t>
      </w:r>
      <w:r w:rsidR="002E4FD8">
        <w:rPr>
          <w:rFonts w:ascii="Arial" w:hAnsi="Arial" w:cs="Arial"/>
          <w:color w:val="000000"/>
          <w:sz w:val="20"/>
          <w:szCs w:val="20"/>
        </w:rPr>
        <w:t>,</w:t>
      </w:r>
      <w:r w:rsidR="00E05AE0">
        <w:rPr>
          <w:rFonts w:ascii="Arial" w:hAnsi="Arial" w:cs="Arial"/>
          <w:color w:val="000000"/>
          <w:sz w:val="20"/>
          <w:szCs w:val="20"/>
        </w:rPr>
        <w:t xml:space="preserve"> v souladu s</w:t>
      </w:r>
      <w:r w:rsidR="002E4FD8">
        <w:rPr>
          <w:rFonts w:ascii="Arial" w:hAnsi="Arial" w:cs="Arial"/>
          <w:color w:val="000000"/>
          <w:sz w:val="20"/>
          <w:szCs w:val="20"/>
        </w:rPr>
        <w:t> </w:t>
      </w:r>
      <w:r w:rsidR="00E05AE0">
        <w:rPr>
          <w:rFonts w:ascii="Arial" w:hAnsi="Arial" w:cs="Arial"/>
          <w:color w:val="000000"/>
          <w:sz w:val="20"/>
          <w:szCs w:val="20"/>
        </w:rPr>
        <w:t>metodikou</w:t>
      </w:r>
      <w:r w:rsidR="002E4FD8">
        <w:rPr>
          <w:rFonts w:ascii="Arial" w:hAnsi="Arial" w:cs="Arial"/>
          <w:color w:val="000000"/>
          <w:sz w:val="20"/>
          <w:szCs w:val="20"/>
        </w:rPr>
        <w:t xml:space="preserve"> </w:t>
      </w:r>
      <w:r w:rsidR="00E05AE0">
        <w:rPr>
          <w:rFonts w:ascii="Arial" w:hAnsi="Arial" w:cs="Arial"/>
          <w:color w:val="000000"/>
          <w:sz w:val="20"/>
          <w:szCs w:val="20"/>
        </w:rPr>
        <w:t>Vojík et al. 2024</w:t>
      </w:r>
      <w:r w:rsidR="009C566A" w:rsidRPr="009F5983">
        <w:rPr>
          <w:rFonts w:ascii="Arial" w:hAnsi="Arial" w:cs="Arial"/>
          <w:color w:val="000000"/>
          <w:sz w:val="20"/>
          <w:szCs w:val="20"/>
        </w:rPr>
        <w:t xml:space="preserve">. </w:t>
      </w:r>
      <w:r w:rsidR="004A0B8F">
        <w:rPr>
          <w:rFonts w:ascii="Arial" w:hAnsi="Arial" w:cs="Arial"/>
          <w:color w:val="000000"/>
          <w:sz w:val="20"/>
          <w:szCs w:val="20"/>
        </w:rPr>
        <w:t xml:space="preserve">Nález je </w:t>
      </w:r>
      <w:r>
        <w:rPr>
          <w:rFonts w:ascii="Arial" w:hAnsi="Arial" w:cs="Arial"/>
          <w:color w:val="000000"/>
          <w:sz w:val="20"/>
          <w:szCs w:val="20"/>
        </w:rPr>
        <w:t xml:space="preserve">vhodné </w:t>
      </w:r>
      <w:r w:rsidR="004A0B8F">
        <w:rPr>
          <w:rFonts w:ascii="Arial" w:hAnsi="Arial" w:cs="Arial"/>
          <w:color w:val="000000"/>
          <w:sz w:val="20"/>
          <w:szCs w:val="20"/>
        </w:rPr>
        <w:t>doplnit</w:t>
      </w:r>
      <w:r w:rsidR="002E4FD8">
        <w:rPr>
          <w:rFonts w:ascii="Arial" w:hAnsi="Arial" w:cs="Arial"/>
          <w:color w:val="000000"/>
          <w:sz w:val="20"/>
          <w:szCs w:val="20"/>
        </w:rPr>
        <w:t xml:space="preserve"> také</w:t>
      </w:r>
      <w:r w:rsidR="009C566A" w:rsidRPr="009F5983">
        <w:rPr>
          <w:rFonts w:ascii="Arial" w:hAnsi="Arial" w:cs="Arial"/>
          <w:color w:val="000000"/>
          <w:sz w:val="20"/>
          <w:szCs w:val="20"/>
        </w:rPr>
        <w:t xml:space="preserve"> o fotografii </w:t>
      </w:r>
      <w:r w:rsidR="009A75B8">
        <w:rPr>
          <w:rFonts w:ascii="Arial" w:hAnsi="Arial" w:cs="Arial"/>
          <w:color w:val="000000"/>
          <w:sz w:val="20"/>
          <w:szCs w:val="20"/>
        </w:rPr>
        <w:t xml:space="preserve">výskytu ambrozie nebo jiného zaznamenaného </w:t>
      </w:r>
      <w:r w:rsidR="009C566A" w:rsidRPr="009F5983">
        <w:rPr>
          <w:rFonts w:ascii="Arial" w:hAnsi="Arial" w:cs="Arial"/>
          <w:color w:val="000000"/>
          <w:sz w:val="20"/>
          <w:szCs w:val="20"/>
        </w:rPr>
        <w:t>druhu</w:t>
      </w:r>
      <w:r w:rsidR="009A75B8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9A75B8">
        <w:rPr>
          <w:rFonts w:ascii="Arial" w:hAnsi="Arial" w:cs="Arial"/>
          <w:color w:val="000000"/>
          <w:sz w:val="20"/>
          <w:szCs w:val="20"/>
        </w:rPr>
        <w:t>zejméne</w:t>
      </w:r>
      <w:proofErr w:type="spellEnd"/>
      <w:r w:rsidR="009A75B8">
        <w:rPr>
          <w:rFonts w:ascii="Arial" w:hAnsi="Arial" w:cs="Arial"/>
          <w:color w:val="000000"/>
          <w:sz w:val="20"/>
          <w:szCs w:val="20"/>
        </w:rPr>
        <w:t xml:space="preserve"> v případě determinační nejistoty</w:t>
      </w:r>
      <w:r w:rsidR="009C566A" w:rsidRPr="009F5983">
        <w:rPr>
          <w:rFonts w:ascii="Arial" w:hAnsi="Arial" w:cs="Arial"/>
          <w:color w:val="000000"/>
          <w:sz w:val="20"/>
          <w:szCs w:val="20"/>
        </w:rPr>
        <w:t>.</w:t>
      </w:r>
      <w:r w:rsidRPr="002942BB">
        <w:rPr>
          <w:rFonts w:ascii="Arial" w:hAnsi="Arial" w:cs="Arial"/>
          <w:color w:val="000000"/>
          <w:sz w:val="20"/>
          <w:szCs w:val="22"/>
        </w:rPr>
        <w:t xml:space="preserve"> </w:t>
      </w:r>
      <w:r w:rsidRPr="00C31EF3">
        <w:rPr>
          <w:rFonts w:ascii="Arial" w:hAnsi="Arial" w:cs="Arial"/>
          <w:color w:val="000000"/>
          <w:sz w:val="20"/>
          <w:szCs w:val="22"/>
        </w:rPr>
        <w:t xml:space="preserve">Zaznamenané parametry budou následně sloužit jako podrobný podklad pro budoucí likvidace ambrozie včetně sledování efektivity těchto </w:t>
      </w:r>
      <w:proofErr w:type="spellStart"/>
      <w:r w:rsidRPr="00C31EF3">
        <w:rPr>
          <w:rFonts w:ascii="Arial" w:hAnsi="Arial" w:cs="Arial"/>
          <w:color w:val="000000"/>
          <w:sz w:val="20"/>
          <w:szCs w:val="22"/>
        </w:rPr>
        <w:t>managementových</w:t>
      </w:r>
      <w:proofErr w:type="spellEnd"/>
      <w:r w:rsidRPr="00C31EF3">
        <w:rPr>
          <w:rFonts w:ascii="Arial" w:hAnsi="Arial" w:cs="Arial"/>
          <w:color w:val="000000"/>
          <w:sz w:val="20"/>
          <w:szCs w:val="22"/>
        </w:rPr>
        <w:t xml:space="preserve"> zákroků.</w:t>
      </w:r>
    </w:p>
    <w:p w14:paraId="4B32C5EC" w14:textId="77777777" w:rsidR="006C693D" w:rsidRDefault="006C693D" w:rsidP="00A30EA9">
      <w:pPr>
        <w:spacing w:before="240" w:after="240"/>
        <w:jc w:val="both"/>
        <w:rPr>
          <w:b/>
          <w:u w:val="single"/>
        </w:rPr>
      </w:pPr>
      <w:r w:rsidRPr="00E24EBC">
        <w:rPr>
          <w:b/>
          <w:u w:val="single"/>
        </w:rPr>
        <w:t>Očekávané výsledky a výstupy</w:t>
      </w:r>
    </w:p>
    <w:p w14:paraId="75DFC247" w14:textId="7C9BC19E" w:rsidR="009F5983" w:rsidRPr="009F5983" w:rsidRDefault="009F5983" w:rsidP="00A30EA9">
      <w:pPr>
        <w:pStyle w:val="Normlnweb"/>
        <w:spacing w:before="240" w:beforeAutospacing="0" w:after="240" w:afterAutospacing="0"/>
        <w:jc w:val="both"/>
        <w:rPr>
          <w:rFonts w:ascii="Arial" w:hAnsi="Arial" w:cs="Arial"/>
          <w:sz w:val="20"/>
          <w:szCs w:val="20"/>
        </w:rPr>
      </w:pPr>
      <w:r w:rsidRPr="009F5983">
        <w:rPr>
          <w:rFonts w:ascii="Arial" w:hAnsi="Arial" w:cs="Arial"/>
          <w:color w:val="000000"/>
          <w:sz w:val="20"/>
          <w:szCs w:val="20"/>
        </w:rPr>
        <w:t xml:space="preserve">Zpracovatel odevzdává výsledky v podobě zadaných dat v NDOP (dostupné na Portálu Informačního systému ochrany přírody – </w:t>
      </w:r>
      <w:hyperlink r:id="rId5" w:history="1">
        <w:r w:rsidRPr="009F5983">
          <w:rPr>
            <w:rStyle w:val="Hypertextovodkaz"/>
            <w:rFonts w:ascii="Arial" w:hAnsi="Arial" w:cs="Arial"/>
            <w:color w:val="1155CC"/>
            <w:sz w:val="20"/>
            <w:szCs w:val="20"/>
          </w:rPr>
          <w:t>http://portal.nature.cz</w:t>
        </w:r>
      </w:hyperlink>
      <w:r w:rsidR="00AB1A7C" w:rsidRPr="00AB1A7C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)</w:t>
      </w:r>
      <w:r w:rsidR="006F4B07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, buď přímo</w:t>
      </w:r>
      <w:r w:rsidR="00491976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,</w:t>
      </w:r>
      <w:r w:rsidR="006F4B07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nebo pomocí hromadného importu (import provádí AOPK ČR pouze z korektně vyplněné tabulky dodaného vzoru a vrstvy GIS obsahující korektně zakreslené polygony výskytů)</w:t>
      </w:r>
      <w:r w:rsidR="009D0C9B" w:rsidRPr="006F4B07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. </w:t>
      </w:r>
      <w:r w:rsidR="00EB321B" w:rsidRPr="00EB321B">
        <w:rPr>
          <w:rFonts w:ascii="Arial" w:hAnsi="Arial" w:cs="Arial"/>
          <w:color w:val="000000"/>
          <w:sz w:val="20"/>
          <w:szCs w:val="20"/>
        </w:rPr>
        <w:t>Pro vstup do NDOP je zpracovateli přiděleno přihlašovací jméno a heslo.</w:t>
      </w:r>
      <w:r w:rsidR="00EB321B">
        <w:rPr>
          <w:rFonts w:ascii="Arial" w:hAnsi="Arial" w:cs="Arial"/>
          <w:color w:val="000000"/>
          <w:sz w:val="20"/>
          <w:szCs w:val="20"/>
        </w:rPr>
        <w:t xml:space="preserve"> </w:t>
      </w:r>
      <w:r w:rsidRPr="009F5983">
        <w:rPr>
          <w:rFonts w:ascii="Arial" w:hAnsi="Arial" w:cs="Arial"/>
          <w:color w:val="000000"/>
          <w:sz w:val="20"/>
          <w:szCs w:val="20"/>
        </w:rPr>
        <w:t>Zapsané výsledky jsou součástí NDOP spravované AOPK ČR a jsou přístupné všem orgánům ochrany přírody pro další využití.</w:t>
      </w:r>
      <w:r w:rsidR="009C566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42D0BF1" w14:textId="64E756CA" w:rsidR="009C566A" w:rsidRPr="009C566A" w:rsidRDefault="009C566A" w:rsidP="00A30EA9">
      <w:pPr>
        <w:spacing w:before="240" w:after="240"/>
        <w:jc w:val="both"/>
      </w:pPr>
      <w:r w:rsidRPr="00A81669">
        <w:t>Výstupem bude aktualizovaná</w:t>
      </w:r>
      <w:r>
        <w:t xml:space="preserve"> podrobná</w:t>
      </w:r>
      <w:r w:rsidRPr="00A81669">
        <w:t xml:space="preserve"> mapa rozšíření ambrozie </w:t>
      </w:r>
      <w:proofErr w:type="spellStart"/>
      <w:r w:rsidRPr="00A81669">
        <w:t>peřenolisté</w:t>
      </w:r>
      <w:proofErr w:type="spellEnd"/>
      <w:r w:rsidRPr="00A81669">
        <w:t xml:space="preserve"> </w:t>
      </w:r>
      <w:r>
        <w:t>v</w:t>
      </w:r>
      <w:r w:rsidR="007359B9">
        <w:t> oblasti ohniska</w:t>
      </w:r>
      <w:r>
        <w:t xml:space="preserve"> výskytu</w:t>
      </w:r>
      <w:r w:rsidR="007359B9">
        <w:t xml:space="preserve"> a zónách</w:t>
      </w:r>
      <w:r w:rsidRPr="00A81669">
        <w:t xml:space="preserve"> okolo </w:t>
      </w:r>
      <w:r w:rsidR="007359B9">
        <w:t>něj</w:t>
      </w:r>
      <w:r w:rsidRPr="00A81669">
        <w:t xml:space="preserve">. Získané informace budou dále použity jako podklady pro likvidaci ambrozie, případně dalších </w:t>
      </w:r>
      <w:r>
        <w:t xml:space="preserve">spolu s ní </w:t>
      </w:r>
      <w:r w:rsidRPr="00A81669">
        <w:t>zaznamenaných nepůvodn</w:t>
      </w:r>
      <w:r>
        <w:t xml:space="preserve">ích a invazních druhů rostlin. </w:t>
      </w:r>
    </w:p>
    <w:p w14:paraId="6F2FD0A0" w14:textId="77777777" w:rsidR="009C566A" w:rsidRDefault="009C566A">
      <w:pPr>
        <w:spacing w:before="240" w:after="240"/>
        <w:jc w:val="both"/>
        <w:rPr>
          <w:b/>
          <w:u w:val="single"/>
        </w:rPr>
      </w:pPr>
    </w:p>
    <w:p w14:paraId="18636D2F" w14:textId="77777777" w:rsidR="006C693D" w:rsidRPr="00E24EBC" w:rsidRDefault="006C693D">
      <w:pPr>
        <w:spacing w:before="240" w:after="240"/>
        <w:jc w:val="both"/>
        <w:rPr>
          <w:b/>
          <w:u w:val="single"/>
        </w:rPr>
      </w:pPr>
      <w:r w:rsidRPr="00E24EBC">
        <w:rPr>
          <w:b/>
          <w:u w:val="single"/>
        </w:rPr>
        <w:t>Termín dokončení</w:t>
      </w:r>
    </w:p>
    <w:p w14:paraId="39605CA5" w14:textId="7FB791D7" w:rsidR="006C693D" w:rsidRPr="007359B9" w:rsidRDefault="002822A4">
      <w:pPr>
        <w:spacing w:before="240" w:after="240"/>
        <w:jc w:val="both"/>
      </w:pPr>
      <w:r>
        <w:t>30. 11</w:t>
      </w:r>
      <w:r w:rsidR="00290EB3">
        <w:t>. 202</w:t>
      </w:r>
      <w:r w:rsidR="0098176D">
        <w:t>5</w:t>
      </w:r>
    </w:p>
    <w:p w14:paraId="40CF051A" w14:textId="03B927B3" w:rsidR="009C566A" w:rsidRDefault="005F4295" w:rsidP="003C1FAF">
      <w:pPr>
        <w:keepNext/>
        <w:keepLines/>
        <w:spacing w:before="240" w:after="240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Výpočet </w:t>
      </w:r>
      <w:r w:rsidR="002428D9">
        <w:rPr>
          <w:b/>
          <w:u w:val="single"/>
        </w:rPr>
        <w:t>předpokládaných</w:t>
      </w:r>
      <w:r>
        <w:rPr>
          <w:b/>
          <w:u w:val="single"/>
        </w:rPr>
        <w:t xml:space="preserve"> nákladů</w:t>
      </w:r>
      <w:r w:rsidR="002428D9">
        <w:rPr>
          <w:b/>
          <w:u w:val="single"/>
        </w:rPr>
        <w:t xml:space="preserve"> </w:t>
      </w:r>
      <w:r w:rsidR="00A6647E">
        <w:rPr>
          <w:b/>
          <w:u w:val="single"/>
        </w:rPr>
        <w:t xml:space="preserve">zpracovatele </w:t>
      </w:r>
      <w:r w:rsidR="002428D9">
        <w:rPr>
          <w:b/>
          <w:u w:val="single"/>
        </w:rPr>
        <w:t>(s DPH)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2"/>
        <w:gridCol w:w="1593"/>
        <w:gridCol w:w="1580"/>
        <w:gridCol w:w="1328"/>
        <w:gridCol w:w="1519"/>
      </w:tblGrid>
      <w:tr w:rsidR="00DC11AF" w14:paraId="3C660D54" w14:textId="77777777" w:rsidTr="003D7F3F">
        <w:tc>
          <w:tcPr>
            <w:tcW w:w="1522" w:type="dxa"/>
            <w:shd w:val="clear" w:color="auto" w:fill="E7E6E6" w:themeFill="background2"/>
          </w:tcPr>
          <w:p w14:paraId="1C60D7AD" w14:textId="42ACD1AB" w:rsidR="00DC11AF" w:rsidRPr="003D7F3F" w:rsidRDefault="00DC11AF" w:rsidP="003D7F3F">
            <w:pPr>
              <w:keepNext/>
              <w:keepLines/>
              <w:spacing w:before="240" w:after="240"/>
              <w:rPr>
                <w:b/>
                <w:sz w:val="18"/>
              </w:rPr>
            </w:pPr>
            <w:r w:rsidRPr="003D7F3F">
              <w:rPr>
                <w:b/>
                <w:sz w:val="18"/>
              </w:rPr>
              <w:t>Počet čtverců</w:t>
            </w:r>
          </w:p>
        </w:tc>
        <w:tc>
          <w:tcPr>
            <w:tcW w:w="1593" w:type="dxa"/>
            <w:shd w:val="clear" w:color="auto" w:fill="E7E6E6" w:themeFill="background2"/>
          </w:tcPr>
          <w:p w14:paraId="4A3ED94B" w14:textId="4C876EF2" w:rsidR="00DC11AF" w:rsidRPr="003D7F3F" w:rsidRDefault="00DC11AF" w:rsidP="003D7F3F">
            <w:pPr>
              <w:keepNext/>
              <w:keepLines/>
              <w:spacing w:before="240" w:after="240"/>
              <w:rPr>
                <w:b/>
                <w:sz w:val="18"/>
              </w:rPr>
            </w:pPr>
            <w:r w:rsidRPr="003D7F3F">
              <w:rPr>
                <w:b/>
                <w:sz w:val="18"/>
              </w:rPr>
              <w:t>Mapování mapového pole</w:t>
            </w:r>
          </w:p>
        </w:tc>
        <w:tc>
          <w:tcPr>
            <w:tcW w:w="1580" w:type="dxa"/>
            <w:shd w:val="clear" w:color="auto" w:fill="E7E6E6" w:themeFill="background2"/>
          </w:tcPr>
          <w:p w14:paraId="6822FD17" w14:textId="78499486" w:rsidR="00DC11AF" w:rsidRPr="003D7F3F" w:rsidRDefault="00DC11AF" w:rsidP="003D7F3F">
            <w:pPr>
              <w:keepNext/>
              <w:keepLines/>
              <w:spacing w:before="240" w:after="240"/>
              <w:rPr>
                <w:b/>
                <w:sz w:val="18"/>
              </w:rPr>
            </w:pPr>
            <w:r w:rsidRPr="003D7F3F">
              <w:rPr>
                <w:b/>
                <w:sz w:val="18"/>
              </w:rPr>
              <w:t>Zadávání dat do NDOP</w:t>
            </w:r>
          </w:p>
        </w:tc>
        <w:tc>
          <w:tcPr>
            <w:tcW w:w="1328" w:type="dxa"/>
            <w:shd w:val="clear" w:color="auto" w:fill="E7E6E6" w:themeFill="background2"/>
          </w:tcPr>
          <w:p w14:paraId="1C8138B0" w14:textId="77451F4F" w:rsidR="00DC11AF" w:rsidRPr="003D7F3F" w:rsidRDefault="00DC11AF" w:rsidP="003D7F3F">
            <w:pPr>
              <w:keepNext/>
              <w:keepLines/>
              <w:spacing w:before="240" w:after="240"/>
              <w:rPr>
                <w:b/>
                <w:sz w:val="18"/>
              </w:rPr>
            </w:pPr>
            <w:r w:rsidRPr="003D7F3F">
              <w:rPr>
                <w:b/>
                <w:sz w:val="18"/>
              </w:rPr>
              <w:t>Celkem za čtverec</w:t>
            </w:r>
          </w:p>
        </w:tc>
        <w:tc>
          <w:tcPr>
            <w:tcW w:w="1519" w:type="dxa"/>
            <w:shd w:val="clear" w:color="auto" w:fill="E7E6E6" w:themeFill="background2"/>
          </w:tcPr>
          <w:p w14:paraId="21545C4F" w14:textId="295252FA" w:rsidR="00DC11AF" w:rsidRPr="003D7F3F" w:rsidRDefault="00DC11AF" w:rsidP="003D7F3F">
            <w:pPr>
              <w:keepNext/>
              <w:keepLines/>
              <w:spacing w:before="240" w:after="240"/>
              <w:rPr>
                <w:b/>
                <w:sz w:val="18"/>
              </w:rPr>
            </w:pPr>
            <w:r w:rsidRPr="003D7F3F">
              <w:rPr>
                <w:b/>
                <w:sz w:val="18"/>
              </w:rPr>
              <w:t>Celkem za oblast</w:t>
            </w:r>
          </w:p>
        </w:tc>
      </w:tr>
      <w:tr w:rsidR="00DC11AF" w14:paraId="3B39925E" w14:textId="77777777" w:rsidTr="003D7F3F">
        <w:trPr>
          <w:trHeight w:val="1169"/>
        </w:trPr>
        <w:tc>
          <w:tcPr>
            <w:tcW w:w="1522" w:type="dxa"/>
          </w:tcPr>
          <w:p w14:paraId="3032DF6C" w14:textId="23CBC618" w:rsidR="00DC11AF" w:rsidRPr="003D7F3F" w:rsidRDefault="00DC11AF" w:rsidP="003D7F3F">
            <w:pPr>
              <w:keepNext/>
              <w:keepLines/>
              <w:spacing w:before="240" w:after="240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93" w:type="dxa"/>
          </w:tcPr>
          <w:p w14:paraId="2AB20123" w14:textId="4F617527" w:rsidR="00DC11AF" w:rsidRPr="003D7F3F" w:rsidRDefault="00DC11AF" w:rsidP="003D7F3F">
            <w:pPr>
              <w:keepNext/>
              <w:keepLines/>
              <w:spacing w:before="240" w:after="240"/>
              <w:rPr>
                <w:sz w:val="18"/>
              </w:rPr>
            </w:pPr>
            <w:r w:rsidRPr="003D7F3F">
              <w:rPr>
                <w:sz w:val="18"/>
              </w:rPr>
              <w:t>9000 (10 hod x 2 dny x 450 Kč/hod)</w:t>
            </w:r>
          </w:p>
        </w:tc>
        <w:tc>
          <w:tcPr>
            <w:tcW w:w="1580" w:type="dxa"/>
          </w:tcPr>
          <w:p w14:paraId="09E25976" w14:textId="07A8C6AC" w:rsidR="00DC11AF" w:rsidRPr="003D7F3F" w:rsidRDefault="00DC11AF" w:rsidP="002428D9">
            <w:pPr>
              <w:keepNext/>
              <w:keepLines/>
              <w:spacing w:before="240" w:after="240"/>
              <w:rPr>
                <w:sz w:val="18"/>
              </w:rPr>
            </w:pPr>
            <w:r w:rsidRPr="003D7F3F">
              <w:rPr>
                <w:sz w:val="18"/>
              </w:rPr>
              <w:t xml:space="preserve">2 </w:t>
            </w:r>
            <w:r>
              <w:rPr>
                <w:sz w:val="18"/>
              </w:rPr>
              <w:t>250 (5</w:t>
            </w:r>
            <w:r w:rsidRPr="003D7F3F">
              <w:rPr>
                <w:sz w:val="18"/>
              </w:rPr>
              <w:t xml:space="preserve"> hod x 450 Kč/hod)</w:t>
            </w:r>
          </w:p>
        </w:tc>
        <w:tc>
          <w:tcPr>
            <w:tcW w:w="1328" w:type="dxa"/>
          </w:tcPr>
          <w:p w14:paraId="5699DFE9" w14:textId="2F03A103" w:rsidR="00DC11AF" w:rsidRPr="003D7F3F" w:rsidRDefault="00DC11AF" w:rsidP="002428D9">
            <w:pPr>
              <w:keepNext/>
              <w:keepLines/>
              <w:spacing w:before="240" w:after="240"/>
              <w:rPr>
                <w:sz w:val="18"/>
              </w:rPr>
            </w:pPr>
            <w:r w:rsidRPr="003D7F3F">
              <w:rPr>
                <w:sz w:val="18"/>
              </w:rPr>
              <w:t xml:space="preserve">11 </w:t>
            </w:r>
            <w:r>
              <w:rPr>
                <w:sz w:val="18"/>
              </w:rPr>
              <w:t>250</w:t>
            </w:r>
          </w:p>
        </w:tc>
        <w:tc>
          <w:tcPr>
            <w:tcW w:w="1519" w:type="dxa"/>
          </w:tcPr>
          <w:p w14:paraId="4B8EAAC1" w14:textId="181DD327" w:rsidR="00DC11AF" w:rsidRPr="005F4295" w:rsidRDefault="00DC11AF" w:rsidP="00FB7222">
            <w:pPr>
              <w:keepNext/>
              <w:keepLines/>
              <w:spacing w:before="240" w:after="24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292 500 </w:t>
            </w:r>
            <w:r w:rsidRPr="003077FC">
              <w:rPr>
                <w:sz w:val="18"/>
              </w:rPr>
              <w:t>(</w:t>
            </w:r>
            <w:r>
              <w:rPr>
                <w:sz w:val="18"/>
              </w:rPr>
              <w:t>241 735,</w:t>
            </w:r>
            <w:r w:rsidRPr="00DC11AF">
              <w:rPr>
                <w:sz w:val="18"/>
              </w:rPr>
              <w:t>54</w:t>
            </w:r>
            <w:r>
              <w:rPr>
                <w:sz w:val="18"/>
              </w:rPr>
              <w:t xml:space="preserve"> </w:t>
            </w:r>
            <w:r w:rsidRPr="003077FC">
              <w:rPr>
                <w:sz w:val="18"/>
              </w:rPr>
              <w:t>bez DPH)</w:t>
            </w:r>
          </w:p>
        </w:tc>
      </w:tr>
    </w:tbl>
    <w:p w14:paraId="01E024A9" w14:textId="77777777" w:rsidR="003D7F3F" w:rsidRDefault="003D7F3F" w:rsidP="003C1FAF">
      <w:pPr>
        <w:keepNext/>
        <w:keepLines/>
        <w:spacing w:before="240" w:after="240"/>
        <w:jc w:val="both"/>
        <w:rPr>
          <w:b/>
          <w:u w:val="single"/>
        </w:rPr>
      </w:pPr>
    </w:p>
    <w:p w14:paraId="61038425" w14:textId="77777777" w:rsidR="006C693D" w:rsidRPr="00E24EBC" w:rsidRDefault="006C693D" w:rsidP="003C1FAF">
      <w:pPr>
        <w:keepNext/>
        <w:keepLines/>
        <w:spacing w:before="240" w:after="240"/>
        <w:jc w:val="both"/>
        <w:rPr>
          <w:b/>
          <w:u w:val="single"/>
        </w:rPr>
      </w:pPr>
      <w:r w:rsidRPr="00E24EBC">
        <w:rPr>
          <w:b/>
          <w:u w:val="single"/>
        </w:rPr>
        <w:t>Literatura</w:t>
      </w:r>
    </w:p>
    <w:p w14:paraId="5EF16724" w14:textId="77777777" w:rsidR="009C566A" w:rsidRDefault="009C566A" w:rsidP="009C566A">
      <w:pPr>
        <w:spacing w:before="240" w:after="240"/>
        <w:jc w:val="both"/>
      </w:pPr>
      <w:r w:rsidRPr="000F5B43">
        <w:t xml:space="preserve">Moravcová L., </w:t>
      </w:r>
      <w:proofErr w:type="spellStart"/>
      <w:r w:rsidRPr="000F5B43">
        <w:t>Pyšek</w:t>
      </w:r>
      <w:proofErr w:type="spellEnd"/>
      <w:r w:rsidRPr="000F5B43">
        <w:t xml:space="preserve"> P., Jarošík V., Havlíčková V. &amp; </w:t>
      </w:r>
      <w:proofErr w:type="spellStart"/>
      <w:r w:rsidRPr="000F5B43">
        <w:t>Zákravský</w:t>
      </w:r>
      <w:proofErr w:type="spellEnd"/>
      <w:r w:rsidRPr="000F5B43">
        <w:t xml:space="preserve"> P. (2010) </w:t>
      </w:r>
      <w:proofErr w:type="spellStart"/>
      <w:r w:rsidRPr="000F5B43">
        <w:t>Reproductive</w:t>
      </w:r>
      <w:proofErr w:type="spellEnd"/>
      <w:r w:rsidRPr="000F5B43">
        <w:t xml:space="preserve"> </w:t>
      </w:r>
      <w:proofErr w:type="spellStart"/>
      <w:r w:rsidRPr="000F5B43">
        <w:t>characteristics</w:t>
      </w:r>
      <w:proofErr w:type="spellEnd"/>
      <w:r w:rsidRPr="000F5B43">
        <w:t xml:space="preserve"> </w:t>
      </w:r>
      <w:proofErr w:type="spellStart"/>
      <w:r w:rsidRPr="000F5B43">
        <w:t>of</w:t>
      </w:r>
      <w:proofErr w:type="spellEnd"/>
      <w:r w:rsidRPr="000F5B43">
        <w:t xml:space="preserve"> </w:t>
      </w:r>
      <w:proofErr w:type="spellStart"/>
      <w:r w:rsidRPr="000F5B43">
        <w:t>neophytes</w:t>
      </w:r>
      <w:proofErr w:type="spellEnd"/>
      <w:r w:rsidRPr="000F5B43">
        <w:t xml:space="preserve"> in </w:t>
      </w:r>
      <w:proofErr w:type="spellStart"/>
      <w:r w:rsidRPr="000F5B43">
        <w:t>the</w:t>
      </w:r>
      <w:proofErr w:type="spellEnd"/>
      <w:r w:rsidRPr="000F5B43">
        <w:t xml:space="preserve"> Czech Republic: </w:t>
      </w:r>
      <w:proofErr w:type="spellStart"/>
      <w:r w:rsidRPr="000F5B43">
        <w:t>traits</w:t>
      </w:r>
      <w:proofErr w:type="spellEnd"/>
      <w:r w:rsidRPr="000F5B43">
        <w:t xml:space="preserve"> </w:t>
      </w:r>
      <w:proofErr w:type="spellStart"/>
      <w:r w:rsidRPr="000F5B43">
        <w:t>of</w:t>
      </w:r>
      <w:proofErr w:type="spellEnd"/>
      <w:r w:rsidRPr="000F5B43">
        <w:t xml:space="preserve"> </w:t>
      </w:r>
      <w:proofErr w:type="spellStart"/>
      <w:r w:rsidRPr="000F5B43">
        <w:t>invasive</w:t>
      </w:r>
      <w:proofErr w:type="spellEnd"/>
      <w:r w:rsidRPr="000F5B43">
        <w:t xml:space="preserve"> and non-</w:t>
      </w:r>
      <w:proofErr w:type="spellStart"/>
      <w:r w:rsidRPr="000F5B43">
        <w:t>invasive</w:t>
      </w:r>
      <w:proofErr w:type="spellEnd"/>
      <w:r w:rsidRPr="000F5B43">
        <w:t xml:space="preserve"> species. – </w:t>
      </w:r>
      <w:proofErr w:type="spellStart"/>
      <w:r w:rsidRPr="000F5B43">
        <w:t>Preslia</w:t>
      </w:r>
      <w:proofErr w:type="spellEnd"/>
      <w:r w:rsidRPr="000F5B43">
        <w:t xml:space="preserve"> 82: 365–390</w:t>
      </w:r>
    </w:p>
    <w:p w14:paraId="6B6F1A1E" w14:textId="77777777" w:rsidR="00AE11A9" w:rsidRDefault="009C566A" w:rsidP="009C566A">
      <w:pPr>
        <w:spacing w:before="240" w:after="240"/>
        <w:jc w:val="both"/>
      </w:pPr>
      <w:r>
        <w:t xml:space="preserve">Pergl J., Sádlo J., Petrusek A., Laštůvka Z., Musil J., Perglová I., Šanda R., </w:t>
      </w:r>
      <w:proofErr w:type="spellStart"/>
      <w:r>
        <w:t>Šefrová</w:t>
      </w:r>
      <w:proofErr w:type="spellEnd"/>
      <w:r>
        <w:t xml:space="preserve"> H., Šíma J., Vohralík V. &amp; </w:t>
      </w:r>
      <w:proofErr w:type="spellStart"/>
      <w:r>
        <w:t>Pyšek</w:t>
      </w:r>
      <w:proofErr w:type="spellEnd"/>
      <w:r>
        <w:t xml:space="preserve"> P. (2016) Black, </w:t>
      </w:r>
      <w:proofErr w:type="spellStart"/>
      <w:r>
        <w:t>Grey</w:t>
      </w:r>
      <w:proofErr w:type="spellEnd"/>
      <w:r>
        <w:t xml:space="preserve"> and </w:t>
      </w:r>
      <w:proofErr w:type="spellStart"/>
      <w:r>
        <w:t>Watch</w:t>
      </w:r>
      <w:proofErr w:type="spellEnd"/>
      <w:r>
        <w:t xml:space="preserve"> </w:t>
      </w:r>
      <w:proofErr w:type="spellStart"/>
      <w:r>
        <w:t>Lists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alien</w:t>
      </w:r>
      <w:proofErr w:type="spellEnd"/>
      <w:r>
        <w:t xml:space="preserve"> species in </w:t>
      </w:r>
      <w:proofErr w:type="spellStart"/>
      <w:r>
        <w:t>the</w:t>
      </w:r>
      <w:proofErr w:type="spellEnd"/>
      <w:r>
        <w:t xml:space="preserve"> Czech Republic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impacts</w:t>
      </w:r>
      <w:proofErr w:type="spellEnd"/>
      <w:r>
        <w:t xml:space="preserve"> and management </w:t>
      </w:r>
      <w:proofErr w:type="spellStart"/>
      <w:r>
        <w:t>strategy</w:t>
      </w:r>
      <w:proofErr w:type="spellEnd"/>
      <w:r>
        <w:t xml:space="preserve">. </w:t>
      </w:r>
      <w:proofErr w:type="spellStart"/>
      <w:r>
        <w:t>NeoBiota</w:t>
      </w:r>
      <w:proofErr w:type="spellEnd"/>
      <w:r>
        <w:t xml:space="preserve"> 28:1–37.</w:t>
      </w:r>
    </w:p>
    <w:p w14:paraId="6E0EB8E6" w14:textId="4B3A368A" w:rsidR="009C566A" w:rsidRPr="00322789" w:rsidRDefault="00AE11A9" w:rsidP="00AE11A9">
      <w:pPr>
        <w:spacing w:before="240" w:after="240"/>
        <w:jc w:val="both"/>
      </w:pPr>
      <w:r>
        <w:t xml:space="preserve">Pergl J., </w:t>
      </w:r>
      <w:proofErr w:type="spellStart"/>
      <w:r>
        <w:t>Görner</w:t>
      </w:r>
      <w:proofErr w:type="spellEnd"/>
      <w:r>
        <w:t xml:space="preserve"> T., Koubková A., Chobot K., Bauer P., Perglová I. &amp; Stejskal R. (2022) Příručka pro zpracování a hodnocení projektů k likvidaci invazních druhů. Agentura ochrany přírody a krajiny ČR. </w:t>
      </w:r>
      <w:r w:rsidRPr="00322789">
        <w:t>Praha</w:t>
      </w:r>
    </w:p>
    <w:p w14:paraId="45D8542E" w14:textId="77777777" w:rsidR="009C566A" w:rsidRDefault="009C566A" w:rsidP="009C566A">
      <w:pPr>
        <w:spacing w:before="240" w:after="240"/>
        <w:jc w:val="both"/>
      </w:pPr>
      <w:proofErr w:type="spellStart"/>
      <w:r w:rsidRPr="00322789">
        <w:t>Pyšek</w:t>
      </w:r>
      <w:proofErr w:type="spellEnd"/>
      <w:r w:rsidRPr="00322789">
        <w:t xml:space="preserve"> P., Sádlo J., </w:t>
      </w:r>
      <w:proofErr w:type="spellStart"/>
      <w:r w:rsidRPr="00322789">
        <w:t>Chrtek</w:t>
      </w:r>
      <w:proofErr w:type="spellEnd"/>
      <w:r w:rsidRPr="00322789">
        <w:t xml:space="preserve"> J., Chytrý M., Kaplan Z., Pergl J., Pokorná A., Axmanová I., Čuda J., Doležal J., </w:t>
      </w:r>
      <w:proofErr w:type="spellStart"/>
      <w:r w:rsidRPr="00322789">
        <w:t>Dřevojan</w:t>
      </w:r>
      <w:proofErr w:type="spellEnd"/>
      <w:r w:rsidRPr="00322789">
        <w:t xml:space="preserve"> P., Hejda M., Kočár P., </w:t>
      </w:r>
      <w:proofErr w:type="spellStart"/>
      <w:r w:rsidRPr="00322789">
        <w:t>Kortz</w:t>
      </w:r>
      <w:proofErr w:type="spellEnd"/>
      <w:r w:rsidRPr="00322789">
        <w:t xml:space="preserve"> A., Lososová Z., </w:t>
      </w:r>
      <w:proofErr w:type="spellStart"/>
      <w:r w:rsidRPr="00322789">
        <w:t>Lustyk</w:t>
      </w:r>
      <w:proofErr w:type="spellEnd"/>
      <w:r w:rsidRPr="00322789">
        <w:t xml:space="preserve"> P., Skálová H., </w:t>
      </w:r>
      <w:proofErr w:type="spellStart"/>
      <w:r w:rsidRPr="00322789">
        <w:t>Štajerová</w:t>
      </w:r>
      <w:proofErr w:type="spellEnd"/>
      <w:r w:rsidRPr="00322789">
        <w:t xml:space="preserve"> K., Večeřa M., Vítková M., </w:t>
      </w:r>
      <w:proofErr w:type="spellStart"/>
      <w:r w:rsidRPr="00322789">
        <w:t>Wild</w:t>
      </w:r>
      <w:proofErr w:type="spellEnd"/>
      <w:r w:rsidRPr="00322789">
        <w:t xml:space="preserve"> J. &amp; Danihelka J. (2022) </w:t>
      </w:r>
      <w:proofErr w:type="spellStart"/>
      <w:r w:rsidRPr="00322789">
        <w:t>Catalogue</w:t>
      </w:r>
      <w:proofErr w:type="spellEnd"/>
      <w:r w:rsidRPr="00322789">
        <w:t xml:space="preserve"> </w:t>
      </w:r>
      <w:proofErr w:type="spellStart"/>
      <w:r w:rsidRPr="00322789">
        <w:t>of</w:t>
      </w:r>
      <w:proofErr w:type="spellEnd"/>
      <w:r w:rsidRPr="00322789">
        <w:t xml:space="preserve"> </w:t>
      </w:r>
      <w:proofErr w:type="spellStart"/>
      <w:r w:rsidRPr="00322789">
        <w:t>alien</w:t>
      </w:r>
      <w:proofErr w:type="spellEnd"/>
      <w:r w:rsidRPr="00322789">
        <w:t xml:space="preserve"> </w:t>
      </w:r>
      <w:proofErr w:type="spellStart"/>
      <w:r w:rsidRPr="00322789">
        <w:t>plants</w:t>
      </w:r>
      <w:proofErr w:type="spellEnd"/>
      <w:r w:rsidRPr="00322789">
        <w:t xml:space="preserve"> </w:t>
      </w:r>
      <w:proofErr w:type="spellStart"/>
      <w:r w:rsidRPr="00322789">
        <w:t>of</w:t>
      </w:r>
      <w:proofErr w:type="spellEnd"/>
      <w:r w:rsidRPr="00322789">
        <w:t xml:space="preserve"> </w:t>
      </w:r>
      <w:proofErr w:type="spellStart"/>
      <w:r w:rsidRPr="00322789">
        <w:t>the</w:t>
      </w:r>
      <w:proofErr w:type="spellEnd"/>
      <w:r w:rsidRPr="00322789">
        <w:t xml:space="preserve"> Czech Republic (3rd </w:t>
      </w:r>
      <w:proofErr w:type="spellStart"/>
      <w:r w:rsidRPr="00322789">
        <w:t>edition</w:t>
      </w:r>
      <w:proofErr w:type="spellEnd"/>
      <w:r w:rsidRPr="00322789">
        <w:t xml:space="preserve">). </w:t>
      </w:r>
      <w:proofErr w:type="spellStart"/>
      <w:r w:rsidRPr="00322789">
        <w:t>Preslia</w:t>
      </w:r>
      <w:proofErr w:type="spellEnd"/>
      <w:r w:rsidRPr="00322789">
        <w:t xml:space="preserve"> 94:447–577.</w:t>
      </w:r>
    </w:p>
    <w:p w14:paraId="17222FAC" w14:textId="4447467D" w:rsidR="009C566A" w:rsidRDefault="009C566A" w:rsidP="009C566A">
      <w:pPr>
        <w:spacing w:before="240" w:after="240"/>
        <w:jc w:val="both"/>
      </w:pPr>
      <w:r w:rsidRPr="00C47A56">
        <w:t xml:space="preserve">Skálová H., </w:t>
      </w:r>
      <w:proofErr w:type="spellStart"/>
      <w:proofErr w:type="gramStart"/>
      <w:r w:rsidRPr="00C47A56">
        <w:t>Guo</w:t>
      </w:r>
      <w:proofErr w:type="spellEnd"/>
      <w:r w:rsidRPr="00C47A56">
        <w:t xml:space="preserve"> W.-Y., </w:t>
      </w:r>
      <w:proofErr w:type="spellStart"/>
      <w:r w:rsidRPr="00C47A56">
        <w:t>Wild</w:t>
      </w:r>
      <w:proofErr w:type="spellEnd"/>
      <w:proofErr w:type="gramEnd"/>
      <w:r w:rsidRPr="00C47A56">
        <w:t xml:space="preserve"> J. &amp; </w:t>
      </w:r>
      <w:proofErr w:type="spellStart"/>
      <w:r w:rsidRPr="00C47A56">
        <w:t>Pyšek</w:t>
      </w:r>
      <w:proofErr w:type="spellEnd"/>
      <w:r w:rsidRPr="00C47A56">
        <w:t xml:space="preserve"> P. (2017) Ambrosia </w:t>
      </w:r>
      <w:proofErr w:type="spellStart"/>
      <w:r w:rsidRPr="00C47A56">
        <w:t>artemisiifolia</w:t>
      </w:r>
      <w:proofErr w:type="spellEnd"/>
      <w:r w:rsidRPr="00C47A56">
        <w:t xml:space="preserve"> in </w:t>
      </w:r>
      <w:proofErr w:type="spellStart"/>
      <w:r w:rsidRPr="00C47A56">
        <w:t>the</w:t>
      </w:r>
      <w:proofErr w:type="spellEnd"/>
      <w:r w:rsidRPr="00C47A56">
        <w:t xml:space="preserve"> Czech Republic: </w:t>
      </w:r>
      <w:proofErr w:type="spellStart"/>
      <w:r w:rsidRPr="00C47A56">
        <w:t>history</w:t>
      </w:r>
      <w:proofErr w:type="spellEnd"/>
      <w:r w:rsidRPr="00C47A56">
        <w:t xml:space="preserve"> </w:t>
      </w:r>
      <w:proofErr w:type="spellStart"/>
      <w:r w:rsidRPr="00C47A56">
        <w:t>of</w:t>
      </w:r>
      <w:proofErr w:type="spellEnd"/>
      <w:r w:rsidRPr="00C47A56">
        <w:t xml:space="preserve"> </w:t>
      </w:r>
      <w:proofErr w:type="spellStart"/>
      <w:r w:rsidRPr="00C47A56">
        <w:t>invasion</w:t>
      </w:r>
      <w:proofErr w:type="spellEnd"/>
      <w:r w:rsidRPr="00C47A56">
        <w:t xml:space="preserve">, </w:t>
      </w:r>
      <w:proofErr w:type="spellStart"/>
      <w:r w:rsidRPr="00C47A56">
        <w:t>current</w:t>
      </w:r>
      <w:proofErr w:type="spellEnd"/>
      <w:r w:rsidRPr="00C47A56">
        <w:t xml:space="preserve"> </w:t>
      </w:r>
      <w:proofErr w:type="spellStart"/>
      <w:r w:rsidRPr="00C47A56">
        <w:t>distribution</w:t>
      </w:r>
      <w:proofErr w:type="spellEnd"/>
      <w:r w:rsidRPr="00C47A56">
        <w:t xml:space="preserve"> and </w:t>
      </w:r>
      <w:proofErr w:type="spellStart"/>
      <w:r w:rsidRPr="00C47A56">
        <w:t>prediction</w:t>
      </w:r>
      <w:proofErr w:type="spellEnd"/>
      <w:r w:rsidRPr="00C47A56">
        <w:t xml:space="preserve"> </w:t>
      </w:r>
      <w:proofErr w:type="spellStart"/>
      <w:r w:rsidRPr="00C47A56">
        <w:t>of</w:t>
      </w:r>
      <w:proofErr w:type="spellEnd"/>
      <w:r w:rsidRPr="00C47A56">
        <w:t xml:space="preserve"> </w:t>
      </w:r>
      <w:proofErr w:type="spellStart"/>
      <w:r w:rsidRPr="00C47A56">
        <w:t>future</w:t>
      </w:r>
      <w:proofErr w:type="spellEnd"/>
      <w:r w:rsidRPr="00C47A56">
        <w:t xml:space="preserve"> </w:t>
      </w:r>
      <w:proofErr w:type="spellStart"/>
      <w:r w:rsidRPr="00C47A56">
        <w:t>spread</w:t>
      </w:r>
      <w:proofErr w:type="spellEnd"/>
      <w:r w:rsidRPr="00C47A56">
        <w:t xml:space="preserve">. – </w:t>
      </w:r>
      <w:proofErr w:type="spellStart"/>
      <w:r w:rsidRPr="00C47A56">
        <w:t>Preslia</w:t>
      </w:r>
      <w:proofErr w:type="spellEnd"/>
      <w:r w:rsidRPr="00C47A56">
        <w:t xml:space="preserve"> 89: 1–16, https://doi.org/10.23855/preslia.2017.001</w:t>
      </w:r>
    </w:p>
    <w:p w14:paraId="158B8D7D" w14:textId="4C922A1B" w:rsidR="006C693D" w:rsidRDefault="009C566A" w:rsidP="009C566A">
      <w:pPr>
        <w:spacing w:before="240" w:after="240"/>
        <w:jc w:val="both"/>
      </w:pPr>
      <w:r w:rsidRPr="005D298B">
        <w:t>Slavík B. (2004): Ambrosia L. – ambrózie. – In: Slavík B., Štěpánková J. &amp; Štěpánek J. (</w:t>
      </w:r>
      <w:proofErr w:type="spellStart"/>
      <w:r w:rsidRPr="005D298B">
        <w:t>eds</w:t>
      </w:r>
      <w:proofErr w:type="spellEnd"/>
      <w:r w:rsidRPr="005D298B">
        <w:t>), Květena České republiky 7, p. 468–474, Academia, Praha.</w:t>
      </w:r>
    </w:p>
    <w:p w14:paraId="1E661D9C" w14:textId="138EF3DE" w:rsidR="00AE11A9" w:rsidRPr="00E24EBC" w:rsidRDefault="00AE11A9" w:rsidP="00E05AE0">
      <w:pPr>
        <w:spacing w:before="240" w:after="240"/>
        <w:jc w:val="both"/>
      </w:pPr>
      <w:r>
        <w:t xml:space="preserve">Vojík M., </w:t>
      </w:r>
      <w:proofErr w:type="spellStart"/>
      <w:r>
        <w:t>Haveldová</w:t>
      </w:r>
      <w:proofErr w:type="spellEnd"/>
      <w:r>
        <w:t xml:space="preserve"> A., Chobot K., Pergl J. &amp; Sádlo J</w:t>
      </w:r>
      <w:r w:rsidR="00E05AE0">
        <w:t>. (2024</w:t>
      </w:r>
      <w:r>
        <w:t xml:space="preserve">) </w:t>
      </w:r>
      <w:r w:rsidR="00E05AE0">
        <w:t>Metodika síťového mapování nepůvodních a invazních druhů rostlin na území České republiky</w:t>
      </w:r>
      <w:r>
        <w:t>. Agentura ochrany přírody a krajiny ČR. Praha</w:t>
      </w:r>
      <w:r w:rsidR="006D616B">
        <w:t xml:space="preserve">. Dostupné z: </w:t>
      </w:r>
      <w:r w:rsidR="006D616B" w:rsidRPr="002942BB">
        <w:rPr>
          <w:color w:val="000000"/>
          <w:szCs w:val="22"/>
        </w:rPr>
        <w:t xml:space="preserve">viz </w:t>
      </w:r>
      <w:hyperlink r:id="rId6" w:history="1">
        <w:r w:rsidR="006D616B" w:rsidRPr="00FF7DB8">
          <w:rPr>
            <w:rStyle w:val="Hypertextovodkaz"/>
            <w:szCs w:val="22"/>
          </w:rPr>
          <w:t>https://portal.nature.cz/metodiky</w:t>
        </w:r>
      </w:hyperlink>
      <w:r w:rsidR="006D616B">
        <w:rPr>
          <w:color w:val="000000"/>
          <w:szCs w:val="22"/>
        </w:rPr>
        <w:t xml:space="preserve"> </w:t>
      </w:r>
    </w:p>
    <w:p w14:paraId="25BFAA23" w14:textId="158128B2" w:rsidR="00F272E5" w:rsidRDefault="00F272E5">
      <w:pPr>
        <w:spacing w:before="0" w:after="160" w:line="259" w:lineRule="auto"/>
      </w:pPr>
      <w:r>
        <w:br w:type="page"/>
      </w:r>
    </w:p>
    <w:p w14:paraId="7436A85E" w14:textId="136931DC" w:rsidR="00F10E31" w:rsidRDefault="00890431">
      <w:r>
        <w:rPr>
          <w:b/>
        </w:rPr>
        <w:lastRenderedPageBreak/>
        <w:t>Příloha</w:t>
      </w:r>
      <w:r w:rsidR="00AF20F5">
        <w:rPr>
          <w:b/>
        </w:rPr>
        <w:t xml:space="preserve"> 1: </w:t>
      </w:r>
      <w:r w:rsidR="00281D59" w:rsidRPr="00AF20F5">
        <w:rPr>
          <w:b/>
        </w:rPr>
        <w:t xml:space="preserve">Mapa vybraných polí 1. řádu, ve kterých bude zjišťován aktuální výskyt </w:t>
      </w:r>
      <w:r w:rsidR="00647577">
        <w:rPr>
          <w:b/>
        </w:rPr>
        <w:t xml:space="preserve">ambrozie </w:t>
      </w:r>
      <w:proofErr w:type="spellStart"/>
      <w:r w:rsidR="00647577">
        <w:rPr>
          <w:b/>
        </w:rPr>
        <w:t>peřenolisté</w:t>
      </w:r>
      <w:proofErr w:type="spellEnd"/>
      <w:r w:rsidR="00647577">
        <w:rPr>
          <w:b/>
        </w:rPr>
        <w:t>.</w:t>
      </w:r>
    </w:p>
    <w:p w14:paraId="20EAFD26" w14:textId="6DB79BF3" w:rsidR="00B40C39" w:rsidRDefault="00345D59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B9F41AC" wp14:editId="17747010">
            <wp:simplePos x="0" y="0"/>
            <wp:positionH relativeFrom="margin">
              <wp:posOffset>38100</wp:posOffset>
            </wp:positionH>
            <wp:positionV relativeFrom="paragraph">
              <wp:posOffset>103505</wp:posOffset>
            </wp:positionV>
            <wp:extent cx="5760720" cy="315658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B44CDD" w14:textId="25362A18" w:rsidR="00B40C39" w:rsidRDefault="00B40C39"/>
    <w:p w14:paraId="073FE5B9" w14:textId="2503643C" w:rsidR="002E1F3C" w:rsidRDefault="002E1F3C">
      <w:pPr>
        <w:rPr>
          <w:b/>
        </w:rPr>
      </w:pPr>
    </w:p>
    <w:p w14:paraId="31EECAAD" w14:textId="02A6C125" w:rsidR="002E1F3C" w:rsidRDefault="002E1F3C">
      <w:pPr>
        <w:rPr>
          <w:b/>
        </w:rPr>
      </w:pPr>
    </w:p>
    <w:p w14:paraId="6F793705" w14:textId="0609E688" w:rsidR="002E1F3C" w:rsidRDefault="002E1F3C">
      <w:pPr>
        <w:rPr>
          <w:b/>
        </w:rPr>
      </w:pPr>
    </w:p>
    <w:p w14:paraId="0567CB2C" w14:textId="7822EF5D" w:rsidR="002E1F3C" w:rsidRDefault="002E1F3C">
      <w:pPr>
        <w:rPr>
          <w:b/>
        </w:rPr>
      </w:pPr>
    </w:p>
    <w:p w14:paraId="228083F7" w14:textId="22467FE8" w:rsidR="002E1F3C" w:rsidRDefault="002E1F3C">
      <w:pPr>
        <w:rPr>
          <w:b/>
        </w:rPr>
      </w:pPr>
    </w:p>
    <w:p w14:paraId="12E90D8C" w14:textId="274B6400" w:rsidR="002E1F3C" w:rsidRDefault="002E1F3C">
      <w:pPr>
        <w:rPr>
          <w:b/>
        </w:rPr>
      </w:pPr>
    </w:p>
    <w:p w14:paraId="13D1BC7B" w14:textId="7B401AE3" w:rsidR="002E1F3C" w:rsidRDefault="002E1F3C">
      <w:pPr>
        <w:rPr>
          <w:b/>
        </w:rPr>
      </w:pPr>
    </w:p>
    <w:p w14:paraId="431747D7" w14:textId="2E9D43CA" w:rsidR="002E1F3C" w:rsidRDefault="002E1F3C">
      <w:pPr>
        <w:rPr>
          <w:b/>
        </w:rPr>
      </w:pPr>
    </w:p>
    <w:p w14:paraId="7DD123B9" w14:textId="27E8A774" w:rsidR="002E1F3C" w:rsidRDefault="002E1F3C">
      <w:pPr>
        <w:rPr>
          <w:b/>
        </w:rPr>
      </w:pPr>
      <w:bookmarkStart w:id="0" w:name="_GoBack"/>
      <w:bookmarkEnd w:id="0"/>
    </w:p>
    <w:p w14:paraId="536EA69D" w14:textId="77777777" w:rsidR="002E1F3C" w:rsidRDefault="002E1F3C">
      <w:pPr>
        <w:rPr>
          <w:b/>
        </w:rPr>
      </w:pPr>
    </w:p>
    <w:p w14:paraId="691F440A" w14:textId="72950459" w:rsidR="002E1F3C" w:rsidRDefault="002E1F3C">
      <w:pPr>
        <w:rPr>
          <w:b/>
        </w:rPr>
      </w:pPr>
    </w:p>
    <w:p w14:paraId="6BFB04BD" w14:textId="77777777" w:rsidR="002E1F3C" w:rsidRDefault="002E1F3C">
      <w:pPr>
        <w:rPr>
          <w:b/>
        </w:rPr>
      </w:pPr>
    </w:p>
    <w:p w14:paraId="19EA8085" w14:textId="236CD260" w:rsidR="00DC11AF" w:rsidRDefault="00A81E50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8845FCB" wp14:editId="0B269BF1">
            <wp:simplePos x="0" y="0"/>
            <wp:positionH relativeFrom="margin">
              <wp:posOffset>2548890</wp:posOffset>
            </wp:positionH>
            <wp:positionV relativeFrom="paragraph">
              <wp:posOffset>125730</wp:posOffset>
            </wp:positionV>
            <wp:extent cx="4255783" cy="2524760"/>
            <wp:effectExtent l="0" t="0" r="0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5783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1AF">
        <w:rPr>
          <w:b/>
        </w:rPr>
        <w:t>Seznam polí: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0"/>
      </w:tblGrid>
      <w:tr w:rsidR="00E5145C" w14:paraId="7CAA27CB" w14:textId="208E47C8" w:rsidTr="00E5145C">
        <w:tc>
          <w:tcPr>
            <w:tcW w:w="846" w:type="dxa"/>
            <w:shd w:val="clear" w:color="auto" w:fill="auto"/>
          </w:tcPr>
          <w:p w14:paraId="188006FE" w14:textId="426C1DED" w:rsidR="00E5145C" w:rsidRPr="002F4549" w:rsidRDefault="00E5145C" w:rsidP="00E5145C">
            <w:pPr>
              <w:rPr>
                <w:b/>
                <w:sz w:val="18"/>
                <w:szCs w:val="18"/>
              </w:rPr>
            </w:pPr>
            <w:r w:rsidRPr="002F4549">
              <w:rPr>
                <w:b/>
                <w:sz w:val="18"/>
                <w:szCs w:val="18"/>
              </w:rPr>
              <w:t>7166a</w:t>
            </w:r>
          </w:p>
        </w:tc>
        <w:tc>
          <w:tcPr>
            <w:tcW w:w="850" w:type="dxa"/>
            <w:shd w:val="clear" w:color="auto" w:fill="auto"/>
          </w:tcPr>
          <w:p w14:paraId="02990E00" w14:textId="3D04D091" w:rsidR="00E5145C" w:rsidRPr="002F4549" w:rsidRDefault="00E5145C" w:rsidP="00E5145C">
            <w:pPr>
              <w:rPr>
                <w:b/>
                <w:sz w:val="18"/>
                <w:szCs w:val="18"/>
              </w:rPr>
            </w:pPr>
            <w:r w:rsidRPr="002F4549">
              <w:rPr>
                <w:b/>
                <w:sz w:val="18"/>
                <w:szCs w:val="18"/>
              </w:rPr>
              <w:t>7167c</w:t>
            </w:r>
          </w:p>
        </w:tc>
        <w:tc>
          <w:tcPr>
            <w:tcW w:w="851" w:type="dxa"/>
            <w:shd w:val="clear" w:color="auto" w:fill="auto"/>
          </w:tcPr>
          <w:p w14:paraId="44BAD3AB" w14:textId="0D4867D0" w:rsidR="00E5145C" w:rsidRPr="002F4549" w:rsidRDefault="00E5145C" w:rsidP="00E5145C">
            <w:pPr>
              <w:rPr>
                <w:b/>
                <w:sz w:val="18"/>
                <w:szCs w:val="18"/>
              </w:rPr>
            </w:pPr>
            <w:r w:rsidRPr="002F4549">
              <w:rPr>
                <w:b/>
                <w:sz w:val="18"/>
                <w:szCs w:val="18"/>
              </w:rPr>
              <w:t>7266a</w:t>
            </w:r>
          </w:p>
        </w:tc>
        <w:tc>
          <w:tcPr>
            <w:tcW w:w="850" w:type="dxa"/>
            <w:shd w:val="clear" w:color="auto" w:fill="auto"/>
          </w:tcPr>
          <w:p w14:paraId="4E570D68" w14:textId="335280EE" w:rsidR="00E5145C" w:rsidRPr="002F4549" w:rsidRDefault="00E5145C" w:rsidP="00E5145C">
            <w:pPr>
              <w:rPr>
                <w:b/>
                <w:sz w:val="18"/>
                <w:szCs w:val="18"/>
              </w:rPr>
            </w:pPr>
            <w:r w:rsidRPr="002F4549">
              <w:rPr>
                <w:b/>
                <w:sz w:val="18"/>
                <w:szCs w:val="18"/>
              </w:rPr>
              <w:t>7267c</w:t>
            </w:r>
          </w:p>
        </w:tc>
        <w:tc>
          <w:tcPr>
            <w:tcW w:w="850" w:type="dxa"/>
            <w:shd w:val="clear" w:color="auto" w:fill="auto"/>
          </w:tcPr>
          <w:p w14:paraId="0D647E41" w14:textId="0E00101B" w:rsidR="00E5145C" w:rsidRPr="002F4549" w:rsidRDefault="00E5145C" w:rsidP="00E5145C">
            <w:pPr>
              <w:rPr>
                <w:b/>
                <w:sz w:val="18"/>
                <w:szCs w:val="18"/>
              </w:rPr>
            </w:pPr>
            <w:r w:rsidRPr="002F4549">
              <w:rPr>
                <w:b/>
                <w:sz w:val="18"/>
                <w:szCs w:val="18"/>
              </w:rPr>
              <w:t>7367b</w:t>
            </w:r>
          </w:p>
        </w:tc>
      </w:tr>
      <w:tr w:rsidR="00E5145C" w14:paraId="1EB1C471" w14:textId="634C38BC" w:rsidTr="00E5145C">
        <w:tc>
          <w:tcPr>
            <w:tcW w:w="846" w:type="dxa"/>
            <w:shd w:val="clear" w:color="auto" w:fill="auto"/>
          </w:tcPr>
          <w:p w14:paraId="26C58EDC" w14:textId="0049B0F0" w:rsidR="00E5145C" w:rsidRPr="002F4549" w:rsidRDefault="00E5145C" w:rsidP="00E5145C">
            <w:pPr>
              <w:rPr>
                <w:b/>
                <w:sz w:val="18"/>
                <w:szCs w:val="18"/>
              </w:rPr>
            </w:pPr>
            <w:r w:rsidRPr="002F4549">
              <w:rPr>
                <w:b/>
                <w:sz w:val="18"/>
                <w:szCs w:val="18"/>
              </w:rPr>
              <w:t>7166b</w:t>
            </w:r>
          </w:p>
        </w:tc>
        <w:tc>
          <w:tcPr>
            <w:tcW w:w="850" w:type="dxa"/>
            <w:shd w:val="clear" w:color="auto" w:fill="auto"/>
          </w:tcPr>
          <w:p w14:paraId="040647FF" w14:textId="2736C406" w:rsidR="00E5145C" w:rsidRPr="002F4549" w:rsidRDefault="00E5145C" w:rsidP="00E5145C">
            <w:pPr>
              <w:rPr>
                <w:b/>
                <w:sz w:val="18"/>
                <w:szCs w:val="18"/>
              </w:rPr>
            </w:pPr>
            <w:r w:rsidRPr="002F4549">
              <w:rPr>
                <w:b/>
                <w:sz w:val="18"/>
                <w:szCs w:val="18"/>
              </w:rPr>
              <w:t>7167d</w:t>
            </w:r>
          </w:p>
        </w:tc>
        <w:tc>
          <w:tcPr>
            <w:tcW w:w="851" w:type="dxa"/>
            <w:shd w:val="clear" w:color="auto" w:fill="auto"/>
          </w:tcPr>
          <w:p w14:paraId="0004AC5A" w14:textId="2DC34133" w:rsidR="00E5145C" w:rsidRPr="002F4549" w:rsidRDefault="00E5145C" w:rsidP="00E5145C">
            <w:pPr>
              <w:rPr>
                <w:b/>
                <w:sz w:val="18"/>
                <w:szCs w:val="18"/>
              </w:rPr>
            </w:pPr>
            <w:r w:rsidRPr="002F4549">
              <w:rPr>
                <w:b/>
                <w:sz w:val="18"/>
                <w:szCs w:val="18"/>
              </w:rPr>
              <w:t>7266b</w:t>
            </w:r>
          </w:p>
        </w:tc>
        <w:tc>
          <w:tcPr>
            <w:tcW w:w="850" w:type="dxa"/>
            <w:shd w:val="clear" w:color="auto" w:fill="auto"/>
          </w:tcPr>
          <w:p w14:paraId="4E549A56" w14:textId="51BD8567" w:rsidR="00E5145C" w:rsidRPr="002F4549" w:rsidRDefault="00E5145C" w:rsidP="00E5145C">
            <w:pPr>
              <w:rPr>
                <w:b/>
                <w:sz w:val="18"/>
                <w:szCs w:val="18"/>
              </w:rPr>
            </w:pPr>
            <w:r w:rsidRPr="002F4549">
              <w:rPr>
                <w:b/>
                <w:sz w:val="18"/>
                <w:szCs w:val="18"/>
              </w:rPr>
              <w:t>7267d</w:t>
            </w:r>
          </w:p>
        </w:tc>
        <w:tc>
          <w:tcPr>
            <w:tcW w:w="850" w:type="dxa"/>
            <w:shd w:val="clear" w:color="auto" w:fill="auto"/>
          </w:tcPr>
          <w:p w14:paraId="7E297C2E" w14:textId="33769A73" w:rsidR="00E5145C" w:rsidRPr="002F4549" w:rsidRDefault="00E5145C" w:rsidP="00E5145C">
            <w:pPr>
              <w:rPr>
                <w:b/>
                <w:sz w:val="18"/>
                <w:szCs w:val="18"/>
              </w:rPr>
            </w:pPr>
            <w:r w:rsidRPr="002F4549">
              <w:rPr>
                <w:b/>
                <w:sz w:val="18"/>
                <w:szCs w:val="18"/>
              </w:rPr>
              <w:t>7367d</w:t>
            </w:r>
          </w:p>
        </w:tc>
      </w:tr>
      <w:tr w:rsidR="00E5145C" w14:paraId="7DCE56C9" w14:textId="188DE288" w:rsidTr="00E5145C">
        <w:tc>
          <w:tcPr>
            <w:tcW w:w="846" w:type="dxa"/>
            <w:shd w:val="clear" w:color="auto" w:fill="auto"/>
          </w:tcPr>
          <w:p w14:paraId="24C9D34E" w14:textId="702D41B3" w:rsidR="00E5145C" w:rsidRPr="002F4549" w:rsidRDefault="00E5145C" w:rsidP="00E5145C">
            <w:pPr>
              <w:rPr>
                <w:b/>
                <w:sz w:val="18"/>
                <w:szCs w:val="18"/>
              </w:rPr>
            </w:pPr>
            <w:r w:rsidRPr="002F4549">
              <w:rPr>
                <w:b/>
                <w:sz w:val="18"/>
                <w:szCs w:val="18"/>
              </w:rPr>
              <w:t>7166c</w:t>
            </w:r>
          </w:p>
        </w:tc>
        <w:tc>
          <w:tcPr>
            <w:tcW w:w="850" w:type="dxa"/>
            <w:shd w:val="clear" w:color="auto" w:fill="auto"/>
          </w:tcPr>
          <w:p w14:paraId="6DBC3046" w14:textId="6B5C5335" w:rsidR="00E5145C" w:rsidRPr="002F4549" w:rsidRDefault="00E5145C" w:rsidP="00E5145C">
            <w:pPr>
              <w:rPr>
                <w:b/>
                <w:sz w:val="18"/>
                <w:szCs w:val="18"/>
              </w:rPr>
            </w:pPr>
            <w:r w:rsidRPr="002F4549">
              <w:rPr>
                <w:b/>
                <w:sz w:val="18"/>
                <w:szCs w:val="18"/>
              </w:rPr>
              <w:t>7168a</w:t>
            </w:r>
          </w:p>
        </w:tc>
        <w:tc>
          <w:tcPr>
            <w:tcW w:w="851" w:type="dxa"/>
            <w:shd w:val="clear" w:color="auto" w:fill="auto"/>
          </w:tcPr>
          <w:p w14:paraId="6794DE92" w14:textId="36A90291" w:rsidR="00E5145C" w:rsidRPr="002F4549" w:rsidRDefault="00E5145C" w:rsidP="00E5145C">
            <w:pPr>
              <w:rPr>
                <w:b/>
                <w:sz w:val="18"/>
                <w:szCs w:val="18"/>
              </w:rPr>
            </w:pPr>
            <w:r w:rsidRPr="002F4549">
              <w:rPr>
                <w:b/>
                <w:sz w:val="18"/>
                <w:szCs w:val="18"/>
              </w:rPr>
              <w:t>7266c</w:t>
            </w:r>
          </w:p>
        </w:tc>
        <w:tc>
          <w:tcPr>
            <w:tcW w:w="850" w:type="dxa"/>
            <w:shd w:val="clear" w:color="auto" w:fill="auto"/>
          </w:tcPr>
          <w:p w14:paraId="552B6BAB" w14:textId="07371215" w:rsidR="00E5145C" w:rsidRPr="002F4549" w:rsidRDefault="00E5145C" w:rsidP="00E5145C">
            <w:pPr>
              <w:rPr>
                <w:b/>
                <w:sz w:val="18"/>
                <w:szCs w:val="18"/>
              </w:rPr>
            </w:pPr>
            <w:r w:rsidRPr="002F4549">
              <w:rPr>
                <w:b/>
                <w:sz w:val="18"/>
                <w:szCs w:val="18"/>
              </w:rPr>
              <w:t>7268a</w:t>
            </w:r>
          </w:p>
        </w:tc>
        <w:tc>
          <w:tcPr>
            <w:tcW w:w="850" w:type="dxa"/>
            <w:shd w:val="clear" w:color="auto" w:fill="auto"/>
          </w:tcPr>
          <w:p w14:paraId="16382B97" w14:textId="3BC85EF6" w:rsidR="00E5145C" w:rsidRPr="002F4549" w:rsidRDefault="00E5145C" w:rsidP="00E5145C">
            <w:pPr>
              <w:rPr>
                <w:b/>
                <w:sz w:val="18"/>
                <w:szCs w:val="18"/>
              </w:rPr>
            </w:pPr>
          </w:p>
        </w:tc>
      </w:tr>
      <w:tr w:rsidR="00E5145C" w14:paraId="09EA1E8F" w14:textId="03ECEB78" w:rsidTr="00E5145C">
        <w:tc>
          <w:tcPr>
            <w:tcW w:w="846" w:type="dxa"/>
            <w:shd w:val="clear" w:color="auto" w:fill="auto"/>
          </w:tcPr>
          <w:p w14:paraId="6FE44AC9" w14:textId="417043E6" w:rsidR="00E5145C" w:rsidRPr="002F4549" w:rsidRDefault="00E5145C" w:rsidP="00E5145C">
            <w:pPr>
              <w:rPr>
                <w:b/>
                <w:sz w:val="18"/>
                <w:szCs w:val="18"/>
              </w:rPr>
            </w:pPr>
            <w:r w:rsidRPr="002F4549">
              <w:rPr>
                <w:b/>
                <w:color w:val="000000"/>
                <w:sz w:val="18"/>
                <w:szCs w:val="18"/>
                <w:lang w:eastAsia="cs-CZ"/>
              </w:rPr>
              <w:t>7166d</w:t>
            </w:r>
          </w:p>
        </w:tc>
        <w:tc>
          <w:tcPr>
            <w:tcW w:w="850" w:type="dxa"/>
            <w:shd w:val="clear" w:color="auto" w:fill="auto"/>
          </w:tcPr>
          <w:p w14:paraId="24160545" w14:textId="67633715" w:rsidR="00E5145C" w:rsidRPr="002F4549" w:rsidRDefault="00E5145C" w:rsidP="00E5145C">
            <w:pPr>
              <w:rPr>
                <w:b/>
                <w:sz w:val="18"/>
                <w:szCs w:val="18"/>
              </w:rPr>
            </w:pPr>
            <w:r w:rsidRPr="002F4549">
              <w:rPr>
                <w:b/>
                <w:sz w:val="18"/>
                <w:szCs w:val="18"/>
              </w:rPr>
              <w:t>7168b</w:t>
            </w:r>
          </w:p>
        </w:tc>
        <w:tc>
          <w:tcPr>
            <w:tcW w:w="851" w:type="dxa"/>
            <w:shd w:val="clear" w:color="auto" w:fill="auto"/>
          </w:tcPr>
          <w:p w14:paraId="7BD4F278" w14:textId="03AED100" w:rsidR="00E5145C" w:rsidRPr="002F4549" w:rsidRDefault="00E5145C" w:rsidP="00E5145C">
            <w:pPr>
              <w:rPr>
                <w:b/>
                <w:sz w:val="18"/>
                <w:szCs w:val="18"/>
              </w:rPr>
            </w:pPr>
            <w:r w:rsidRPr="002F4549">
              <w:rPr>
                <w:b/>
                <w:sz w:val="18"/>
                <w:szCs w:val="18"/>
              </w:rPr>
              <w:t>7266d</w:t>
            </w:r>
          </w:p>
        </w:tc>
        <w:tc>
          <w:tcPr>
            <w:tcW w:w="850" w:type="dxa"/>
            <w:shd w:val="clear" w:color="auto" w:fill="auto"/>
          </w:tcPr>
          <w:p w14:paraId="3366CD98" w14:textId="7BA5F386" w:rsidR="00E5145C" w:rsidRPr="002F4549" w:rsidRDefault="00E5145C" w:rsidP="00E5145C">
            <w:pPr>
              <w:rPr>
                <w:b/>
                <w:sz w:val="18"/>
                <w:szCs w:val="18"/>
              </w:rPr>
            </w:pPr>
            <w:r w:rsidRPr="002F4549">
              <w:rPr>
                <w:b/>
                <w:sz w:val="18"/>
                <w:szCs w:val="18"/>
              </w:rPr>
              <w:t>7268b</w:t>
            </w:r>
          </w:p>
        </w:tc>
        <w:tc>
          <w:tcPr>
            <w:tcW w:w="850" w:type="dxa"/>
            <w:shd w:val="clear" w:color="auto" w:fill="auto"/>
          </w:tcPr>
          <w:p w14:paraId="33120322" w14:textId="77777777" w:rsidR="00E5145C" w:rsidRPr="002F4549" w:rsidRDefault="00E5145C" w:rsidP="00E5145C">
            <w:pPr>
              <w:rPr>
                <w:b/>
                <w:sz w:val="18"/>
                <w:szCs w:val="18"/>
              </w:rPr>
            </w:pPr>
          </w:p>
        </w:tc>
      </w:tr>
      <w:tr w:rsidR="00E5145C" w14:paraId="61A9312B" w14:textId="550EED17" w:rsidTr="00E5145C">
        <w:tc>
          <w:tcPr>
            <w:tcW w:w="846" w:type="dxa"/>
            <w:shd w:val="clear" w:color="auto" w:fill="auto"/>
          </w:tcPr>
          <w:p w14:paraId="75A2FB5C" w14:textId="230C7C2F" w:rsidR="00E5145C" w:rsidRPr="002F4549" w:rsidRDefault="00E5145C" w:rsidP="00E5145C">
            <w:pPr>
              <w:rPr>
                <w:b/>
                <w:sz w:val="18"/>
                <w:szCs w:val="18"/>
              </w:rPr>
            </w:pPr>
            <w:r w:rsidRPr="002F4549">
              <w:rPr>
                <w:b/>
                <w:sz w:val="18"/>
                <w:szCs w:val="18"/>
              </w:rPr>
              <w:t>7167a</w:t>
            </w:r>
          </w:p>
        </w:tc>
        <w:tc>
          <w:tcPr>
            <w:tcW w:w="850" w:type="dxa"/>
            <w:shd w:val="clear" w:color="auto" w:fill="auto"/>
          </w:tcPr>
          <w:p w14:paraId="0891E718" w14:textId="2DD34483" w:rsidR="00E5145C" w:rsidRPr="002F4549" w:rsidRDefault="00E5145C" w:rsidP="00E5145C">
            <w:pPr>
              <w:rPr>
                <w:b/>
                <w:sz w:val="18"/>
                <w:szCs w:val="18"/>
              </w:rPr>
            </w:pPr>
            <w:r w:rsidRPr="002F4549">
              <w:rPr>
                <w:b/>
                <w:sz w:val="18"/>
                <w:szCs w:val="18"/>
              </w:rPr>
              <w:t>7168c</w:t>
            </w:r>
          </w:p>
        </w:tc>
        <w:tc>
          <w:tcPr>
            <w:tcW w:w="851" w:type="dxa"/>
            <w:shd w:val="clear" w:color="auto" w:fill="auto"/>
          </w:tcPr>
          <w:p w14:paraId="605B4222" w14:textId="0F65A95D" w:rsidR="00E5145C" w:rsidRPr="002F4549" w:rsidRDefault="00E5145C" w:rsidP="00E5145C">
            <w:pPr>
              <w:rPr>
                <w:b/>
                <w:sz w:val="18"/>
                <w:szCs w:val="18"/>
              </w:rPr>
            </w:pPr>
            <w:r w:rsidRPr="002F4549">
              <w:rPr>
                <w:b/>
                <w:sz w:val="18"/>
                <w:szCs w:val="18"/>
              </w:rPr>
              <w:t>7267a</w:t>
            </w:r>
          </w:p>
        </w:tc>
        <w:tc>
          <w:tcPr>
            <w:tcW w:w="850" w:type="dxa"/>
            <w:shd w:val="clear" w:color="auto" w:fill="auto"/>
          </w:tcPr>
          <w:p w14:paraId="2804F7F5" w14:textId="5806B957" w:rsidR="00E5145C" w:rsidRPr="002F4549" w:rsidRDefault="00E5145C" w:rsidP="00E5145C">
            <w:pPr>
              <w:rPr>
                <w:b/>
                <w:sz w:val="18"/>
                <w:szCs w:val="18"/>
              </w:rPr>
            </w:pPr>
            <w:r w:rsidRPr="002F4549">
              <w:rPr>
                <w:b/>
                <w:sz w:val="18"/>
                <w:szCs w:val="18"/>
              </w:rPr>
              <w:t>7268c</w:t>
            </w:r>
          </w:p>
        </w:tc>
        <w:tc>
          <w:tcPr>
            <w:tcW w:w="850" w:type="dxa"/>
            <w:shd w:val="clear" w:color="auto" w:fill="auto"/>
          </w:tcPr>
          <w:p w14:paraId="38AA7EF8" w14:textId="77777777" w:rsidR="00E5145C" w:rsidRPr="002F4549" w:rsidRDefault="00E5145C" w:rsidP="00E5145C">
            <w:pPr>
              <w:rPr>
                <w:b/>
                <w:sz w:val="18"/>
                <w:szCs w:val="18"/>
              </w:rPr>
            </w:pPr>
          </w:p>
        </w:tc>
      </w:tr>
      <w:tr w:rsidR="00E5145C" w14:paraId="5164C148" w14:textId="7FD5D458" w:rsidTr="00E5145C">
        <w:tc>
          <w:tcPr>
            <w:tcW w:w="846" w:type="dxa"/>
            <w:shd w:val="clear" w:color="auto" w:fill="auto"/>
          </w:tcPr>
          <w:p w14:paraId="32D01D2F" w14:textId="1A171AC6" w:rsidR="00E5145C" w:rsidRPr="002F4549" w:rsidRDefault="00E5145C" w:rsidP="00E5145C">
            <w:pPr>
              <w:rPr>
                <w:b/>
                <w:sz w:val="18"/>
                <w:szCs w:val="18"/>
              </w:rPr>
            </w:pPr>
            <w:r w:rsidRPr="002F4549">
              <w:rPr>
                <w:b/>
                <w:sz w:val="18"/>
                <w:szCs w:val="18"/>
              </w:rPr>
              <w:t>7167b</w:t>
            </w:r>
          </w:p>
        </w:tc>
        <w:tc>
          <w:tcPr>
            <w:tcW w:w="850" w:type="dxa"/>
            <w:shd w:val="clear" w:color="auto" w:fill="auto"/>
          </w:tcPr>
          <w:p w14:paraId="74FC5063" w14:textId="16A4547C" w:rsidR="00E5145C" w:rsidRPr="002F4549" w:rsidRDefault="00E5145C" w:rsidP="00E5145C">
            <w:pPr>
              <w:rPr>
                <w:b/>
                <w:sz w:val="18"/>
                <w:szCs w:val="18"/>
              </w:rPr>
            </w:pPr>
            <w:r w:rsidRPr="002F4549">
              <w:rPr>
                <w:b/>
                <w:sz w:val="18"/>
                <w:szCs w:val="18"/>
              </w:rPr>
              <w:t>7168d</w:t>
            </w:r>
          </w:p>
        </w:tc>
        <w:tc>
          <w:tcPr>
            <w:tcW w:w="851" w:type="dxa"/>
            <w:shd w:val="clear" w:color="auto" w:fill="auto"/>
          </w:tcPr>
          <w:p w14:paraId="0EA4EEA3" w14:textId="4A1EFDEC" w:rsidR="00E5145C" w:rsidRPr="002F4549" w:rsidRDefault="00E5145C" w:rsidP="00E5145C">
            <w:pPr>
              <w:rPr>
                <w:b/>
                <w:sz w:val="18"/>
                <w:szCs w:val="18"/>
              </w:rPr>
            </w:pPr>
            <w:r w:rsidRPr="002F4549">
              <w:rPr>
                <w:b/>
                <w:sz w:val="18"/>
                <w:szCs w:val="18"/>
              </w:rPr>
              <w:t>7267b</w:t>
            </w:r>
          </w:p>
        </w:tc>
        <w:tc>
          <w:tcPr>
            <w:tcW w:w="850" w:type="dxa"/>
            <w:shd w:val="clear" w:color="auto" w:fill="auto"/>
          </w:tcPr>
          <w:p w14:paraId="6863A2AD" w14:textId="448D80F1" w:rsidR="00E5145C" w:rsidRPr="002F4549" w:rsidRDefault="00E5145C" w:rsidP="00E5145C">
            <w:pPr>
              <w:rPr>
                <w:b/>
                <w:sz w:val="18"/>
                <w:szCs w:val="18"/>
              </w:rPr>
            </w:pPr>
            <w:r w:rsidRPr="002F4549">
              <w:rPr>
                <w:b/>
                <w:sz w:val="18"/>
                <w:szCs w:val="18"/>
              </w:rPr>
              <w:t>7367a</w:t>
            </w:r>
          </w:p>
        </w:tc>
        <w:tc>
          <w:tcPr>
            <w:tcW w:w="850" w:type="dxa"/>
            <w:shd w:val="clear" w:color="auto" w:fill="auto"/>
          </w:tcPr>
          <w:p w14:paraId="49403585" w14:textId="77777777" w:rsidR="00E5145C" w:rsidRPr="002F4549" w:rsidRDefault="00E5145C" w:rsidP="00E5145C">
            <w:pPr>
              <w:rPr>
                <w:b/>
                <w:sz w:val="18"/>
                <w:szCs w:val="18"/>
              </w:rPr>
            </w:pPr>
          </w:p>
        </w:tc>
      </w:tr>
    </w:tbl>
    <w:p w14:paraId="7DAFF1FE" w14:textId="77777777" w:rsidR="00DC11AF" w:rsidRDefault="00DC11AF">
      <w:pPr>
        <w:rPr>
          <w:b/>
        </w:rPr>
      </w:pPr>
    </w:p>
    <w:p w14:paraId="31A5715B" w14:textId="213D35A2" w:rsidR="00C60C61" w:rsidRDefault="00C60C61"/>
    <w:p w14:paraId="14AAEC8F" w14:textId="45DDEC1B" w:rsidR="00C60C61" w:rsidRDefault="008D02C6" w:rsidP="00AF408C">
      <w:r>
        <w:br w:type="textWrapping" w:clear="all"/>
      </w:r>
    </w:p>
    <w:p w14:paraId="6FA202F3" w14:textId="197616FA" w:rsidR="006B710B" w:rsidRPr="006B710B" w:rsidRDefault="006B710B" w:rsidP="00AF408C">
      <w:pPr>
        <w:rPr>
          <w:b/>
        </w:rPr>
      </w:pPr>
    </w:p>
    <w:sectPr w:rsidR="006B710B" w:rsidRPr="006B7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2CE1FCC" w16cex:dateUtc="2024-06-21T0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DC92B29" w16cid:durableId="72CE1FC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E4DD5"/>
    <w:multiLevelType w:val="hybridMultilevel"/>
    <w:tmpl w:val="2B6AD580"/>
    <w:lvl w:ilvl="0" w:tplc="E542BFB6">
      <w:start w:val="5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A7929C5"/>
    <w:multiLevelType w:val="hybridMultilevel"/>
    <w:tmpl w:val="BF5A85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76727"/>
    <w:multiLevelType w:val="hybridMultilevel"/>
    <w:tmpl w:val="36327F7C"/>
    <w:lvl w:ilvl="0" w:tplc="73D08D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94E35"/>
    <w:multiLevelType w:val="hybridMultilevel"/>
    <w:tmpl w:val="8E165EB4"/>
    <w:lvl w:ilvl="0" w:tplc="A80E8AAC">
      <w:start w:val="3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0422EE2"/>
    <w:multiLevelType w:val="hybridMultilevel"/>
    <w:tmpl w:val="8DB8590C"/>
    <w:lvl w:ilvl="0" w:tplc="88D276B8">
      <w:start w:val="1"/>
      <w:numFmt w:val="upperLetter"/>
      <w:lvlText w:val="%1)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D197C"/>
    <w:multiLevelType w:val="hybridMultilevel"/>
    <w:tmpl w:val="83DAA564"/>
    <w:lvl w:ilvl="0" w:tplc="5E06A2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91"/>
    <w:rsid w:val="00017810"/>
    <w:rsid w:val="00065E20"/>
    <w:rsid w:val="000D6D55"/>
    <w:rsid w:val="000F5B43"/>
    <w:rsid w:val="001254E6"/>
    <w:rsid w:val="00150290"/>
    <w:rsid w:val="00221013"/>
    <w:rsid w:val="00227438"/>
    <w:rsid w:val="002302F2"/>
    <w:rsid w:val="00231338"/>
    <w:rsid w:val="002428D9"/>
    <w:rsid w:val="002462E4"/>
    <w:rsid w:val="0027614C"/>
    <w:rsid w:val="00276B20"/>
    <w:rsid w:val="00281D59"/>
    <w:rsid w:val="002822A4"/>
    <w:rsid w:val="00290EB3"/>
    <w:rsid w:val="002942BB"/>
    <w:rsid w:val="002E1F3C"/>
    <w:rsid w:val="002E4FD8"/>
    <w:rsid w:val="002F4549"/>
    <w:rsid w:val="003077FC"/>
    <w:rsid w:val="00322789"/>
    <w:rsid w:val="00345D59"/>
    <w:rsid w:val="003537C2"/>
    <w:rsid w:val="00361001"/>
    <w:rsid w:val="00363D57"/>
    <w:rsid w:val="003C1FAF"/>
    <w:rsid w:val="003D7F3F"/>
    <w:rsid w:val="004271AF"/>
    <w:rsid w:val="0043240B"/>
    <w:rsid w:val="00436049"/>
    <w:rsid w:val="00487BED"/>
    <w:rsid w:val="00491976"/>
    <w:rsid w:val="00494ABB"/>
    <w:rsid w:val="004A0B8F"/>
    <w:rsid w:val="004D5797"/>
    <w:rsid w:val="005213E6"/>
    <w:rsid w:val="00573849"/>
    <w:rsid w:val="00586C66"/>
    <w:rsid w:val="00586D91"/>
    <w:rsid w:val="005B08A9"/>
    <w:rsid w:val="005D298B"/>
    <w:rsid w:val="005F4295"/>
    <w:rsid w:val="00647577"/>
    <w:rsid w:val="0067586D"/>
    <w:rsid w:val="006B710B"/>
    <w:rsid w:val="006C693D"/>
    <w:rsid w:val="006D616B"/>
    <w:rsid w:val="006D7907"/>
    <w:rsid w:val="006E6192"/>
    <w:rsid w:val="006F4B07"/>
    <w:rsid w:val="00713E85"/>
    <w:rsid w:val="00733205"/>
    <w:rsid w:val="007359B9"/>
    <w:rsid w:val="00742C4E"/>
    <w:rsid w:val="007C64AE"/>
    <w:rsid w:val="00801489"/>
    <w:rsid w:val="00801C1F"/>
    <w:rsid w:val="0085033D"/>
    <w:rsid w:val="00890431"/>
    <w:rsid w:val="008D02C6"/>
    <w:rsid w:val="00934157"/>
    <w:rsid w:val="009435FC"/>
    <w:rsid w:val="0098176D"/>
    <w:rsid w:val="009860D0"/>
    <w:rsid w:val="009A75B8"/>
    <w:rsid w:val="009C566A"/>
    <w:rsid w:val="009D0C9B"/>
    <w:rsid w:val="009E717F"/>
    <w:rsid w:val="009F5983"/>
    <w:rsid w:val="00A12848"/>
    <w:rsid w:val="00A1467D"/>
    <w:rsid w:val="00A30EA9"/>
    <w:rsid w:val="00A443A2"/>
    <w:rsid w:val="00A6647E"/>
    <w:rsid w:val="00A81669"/>
    <w:rsid w:val="00A81E50"/>
    <w:rsid w:val="00AB1542"/>
    <w:rsid w:val="00AB1A7C"/>
    <w:rsid w:val="00AE11A9"/>
    <w:rsid w:val="00AE1BA7"/>
    <w:rsid w:val="00AF20F5"/>
    <w:rsid w:val="00AF408C"/>
    <w:rsid w:val="00AF4DB9"/>
    <w:rsid w:val="00B05CFB"/>
    <w:rsid w:val="00B33661"/>
    <w:rsid w:val="00B40C39"/>
    <w:rsid w:val="00BA2057"/>
    <w:rsid w:val="00BE0F59"/>
    <w:rsid w:val="00BE49A6"/>
    <w:rsid w:val="00C123F7"/>
    <w:rsid w:val="00C128F2"/>
    <w:rsid w:val="00C31EF3"/>
    <w:rsid w:val="00C47A56"/>
    <w:rsid w:val="00C60C61"/>
    <w:rsid w:val="00CB1023"/>
    <w:rsid w:val="00CF6914"/>
    <w:rsid w:val="00D03B0E"/>
    <w:rsid w:val="00DC11AF"/>
    <w:rsid w:val="00DF5BFB"/>
    <w:rsid w:val="00E05AE0"/>
    <w:rsid w:val="00E070D5"/>
    <w:rsid w:val="00E348E8"/>
    <w:rsid w:val="00E40468"/>
    <w:rsid w:val="00E46624"/>
    <w:rsid w:val="00E5145C"/>
    <w:rsid w:val="00E53AFA"/>
    <w:rsid w:val="00EB321B"/>
    <w:rsid w:val="00EB4A94"/>
    <w:rsid w:val="00EE18C4"/>
    <w:rsid w:val="00F10E31"/>
    <w:rsid w:val="00F12B06"/>
    <w:rsid w:val="00F272E5"/>
    <w:rsid w:val="00F579F4"/>
    <w:rsid w:val="00F84B02"/>
    <w:rsid w:val="00F92BBE"/>
    <w:rsid w:val="00FB7222"/>
    <w:rsid w:val="00FD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43B9"/>
  <w15:chartTrackingRefBased/>
  <w15:docId w15:val="{220B0876-E0DE-4BB2-A8CD-D3FBE891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6C693D"/>
    <w:pPr>
      <w:spacing w:before="120" w:after="120" w:line="260" w:lineRule="exact"/>
    </w:pPr>
    <w:rPr>
      <w:rFonts w:ascii="Arial" w:eastAsia="Times New Roman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614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E0F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5983"/>
    <w:rPr>
      <w:color w:val="0000FF"/>
      <w:u w:val="single"/>
    </w:rPr>
  </w:style>
  <w:style w:type="paragraph" w:styleId="Revize">
    <w:name w:val="Revision"/>
    <w:hidden/>
    <w:uiPriority w:val="99"/>
    <w:semiHidden/>
    <w:rsid w:val="004A0B8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A0B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A0B8F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4A0B8F"/>
    <w:rPr>
      <w:rFonts w:ascii="Arial" w:eastAsia="Times New Roman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0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0B8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2BB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BBE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nature.cz/metodiky" TargetMode="External"/><Relationship Id="rId5" Type="http://schemas.openxmlformats.org/officeDocument/2006/relationships/hyperlink" Target="http://portal.nature.cz" TargetMode="Externa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Agentura ochrany přírody a krajiny ČR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Kunovjánková</dc:creator>
  <cp:keywords/>
  <dc:description/>
  <cp:lastModifiedBy>Alice Haveldová2</cp:lastModifiedBy>
  <cp:revision>2</cp:revision>
  <dcterms:created xsi:type="dcterms:W3CDTF">2024-11-11T12:44:00Z</dcterms:created>
  <dcterms:modified xsi:type="dcterms:W3CDTF">2024-11-11T12:44:00Z</dcterms:modified>
</cp:coreProperties>
</file>