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1011" w14:textId="5336B855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DODATEK č. 1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43D4203C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>dne 29.2.2024</w:t>
      </w:r>
      <w:r w:rsidR="00C51B61" w:rsidRPr="002A6D2D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4950C406" w14:textId="48729828" w:rsidR="004352F5" w:rsidRPr="00FA5D22" w:rsidRDefault="0004034D" w:rsidP="004352F5">
      <w:pPr>
        <w:spacing w:after="0" w:line="276" w:lineRule="auto"/>
        <w:rPr>
          <w:rFonts w:cstheme="minorHAnsi"/>
          <w:b/>
          <w:i/>
          <w:iCs/>
        </w:rPr>
      </w:pPr>
      <w:r w:rsidRPr="00FA5D22">
        <w:rPr>
          <w:rFonts w:cstheme="minorHAnsi"/>
          <w:b/>
        </w:rPr>
        <w:t>Stavení spořitelna</w:t>
      </w:r>
      <w:r w:rsidR="0056139A" w:rsidRPr="00FA5D22">
        <w:rPr>
          <w:rFonts w:cstheme="minorHAnsi"/>
          <w:b/>
        </w:rPr>
        <w:t xml:space="preserve"> České spořitelny</w:t>
      </w:r>
      <w:r w:rsidRPr="00FA5D22">
        <w:rPr>
          <w:rFonts w:cstheme="minorHAnsi"/>
          <w:b/>
        </w:rPr>
        <w:t>, a.s.</w:t>
      </w:r>
    </w:p>
    <w:p w14:paraId="3A7CFF42" w14:textId="30AD8DDD" w:rsidR="004352F5" w:rsidRPr="00FA5D22" w:rsidRDefault="004352F5" w:rsidP="004352F5">
      <w:pPr>
        <w:spacing w:after="0" w:line="276" w:lineRule="auto"/>
        <w:rPr>
          <w:rFonts w:cstheme="minorHAnsi"/>
          <w:i/>
        </w:rPr>
      </w:pPr>
      <w:r w:rsidRPr="00FA5D22">
        <w:rPr>
          <w:rFonts w:cstheme="minorHAnsi"/>
        </w:rPr>
        <w:t>zapsaný/á v</w:t>
      </w:r>
      <w:r w:rsidR="0004034D" w:rsidRPr="00FA5D22">
        <w:rPr>
          <w:rFonts w:cstheme="minorHAnsi"/>
        </w:rPr>
        <w:t> obchodním rejstříku u Městského soudu v Praze, oddíl B, vložka 2</w:t>
      </w:r>
      <w:r w:rsidR="0056139A" w:rsidRPr="00FA5D22">
        <w:rPr>
          <w:rFonts w:cstheme="minorHAnsi"/>
        </w:rPr>
        <w:t>6</w:t>
      </w:r>
      <w:r w:rsidR="0004034D" w:rsidRPr="00FA5D22">
        <w:rPr>
          <w:rFonts w:cstheme="minorHAnsi"/>
        </w:rPr>
        <w:t>1</w:t>
      </w:r>
      <w:r w:rsidR="0056139A" w:rsidRPr="00FA5D22">
        <w:rPr>
          <w:rFonts w:cstheme="minorHAnsi"/>
        </w:rPr>
        <w:t>6</w:t>
      </w:r>
    </w:p>
    <w:p w14:paraId="68596216" w14:textId="41C159F8" w:rsidR="004352F5" w:rsidRPr="00FA5D22" w:rsidRDefault="004352F5" w:rsidP="004352F5">
      <w:pPr>
        <w:spacing w:after="0" w:line="276" w:lineRule="auto"/>
        <w:rPr>
          <w:rFonts w:cstheme="minorHAnsi"/>
          <w:i/>
        </w:rPr>
      </w:pPr>
      <w:r w:rsidRPr="00FA5D22">
        <w:rPr>
          <w:rFonts w:cstheme="minorHAnsi"/>
        </w:rPr>
        <w:t xml:space="preserve">sídlo/místo podnikání: </w:t>
      </w:r>
      <w:r w:rsidR="0056139A" w:rsidRPr="00FA5D22">
        <w:rPr>
          <w:rFonts w:cstheme="minorHAnsi"/>
        </w:rPr>
        <w:t>Antala Staška 1292/32, Krč, 140 00 Praha 4</w:t>
      </w:r>
    </w:p>
    <w:p w14:paraId="4814E166" w14:textId="543EA2BE" w:rsidR="004352F5" w:rsidRPr="00FA5D22" w:rsidRDefault="004352F5" w:rsidP="004352F5">
      <w:pPr>
        <w:spacing w:after="0" w:line="276" w:lineRule="auto"/>
        <w:rPr>
          <w:rFonts w:cstheme="minorHAnsi"/>
        </w:rPr>
      </w:pPr>
      <w:r w:rsidRPr="00FA5D22">
        <w:rPr>
          <w:rFonts w:cstheme="minorHAnsi"/>
        </w:rPr>
        <w:t xml:space="preserve">zastoupen/a: </w:t>
      </w:r>
      <w:r w:rsidR="0004034D" w:rsidRPr="00FA5D22">
        <w:rPr>
          <w:rFonts w:cstheme="minorHAnsi"/>
        </w:rPr>
        <w:tab/>
      </w:r>
      <w:r w:rsidR="0056139A" w:rsidRPr="00FA5D22">
        <w:rPr>
          <w:rFonts w:cstheme="minorHAnsi"/>
        </w:rPr>
        <w:t>Ing. Liborem Vošickým</w:t>
      </w:r>
      <w:r w:rsidR="0004034D" w:rsidRPr="00FA5D22">
        <w:rPr>
          <w:rFonts w:cstheme="minorHAnsi"/>
        </w:rPr>
        <w:t>, předsedou představenstva</w:t>
      </w:r>
    </w:p>
    <w:p w14:paraId="55D39A20" w14:textId="742E7518" w:rsidR="0004034D" w:rsidRPr="00FA5D22" w:rsidRDefault="0004034D" w:rsidP="004352F5">
      <w:pPr>
        <w:spacing w:after="0" w:line="276" w:lineRule="auto"/>
        <w:rPr>
          <w:rFonts w:cstheme="minorHAnsi"/>
          <w:i/>
          <w:iCs/>
        </w:rPr>
      </w:pPr>
      <w:r w:rsidRPr="00FA5D22">
        <w:rPr>
          <w:rFonts w:cstheme="minorHAnsi"/>
        </w:rPr>
        <w:tab/>
      </w:r>
      <w:r w:rsidRPr="00FA5D22">
        <w:rPr>
          <w:rFonts w:cstheme="minorHAnsi"/>
        </w:rPr>
        <w:tab/>
      </w:r>
      <w:r w:rsidR="0056139A" w:rsidRPr="00FA5D22">
        <w:rPr>
          <w:rFonts w:cstheme="minorHAnsi"/>
        </w:rPr>
        <w:t xml:space="preserve">RNDr. Monikou </w:t>
      </w:r>
      <w:proofErr w:type="spellStart"/>
      <w:r w:rsidR="0056139A" w:rsidRPr="00FA5D22">
        <w:rPr>
          <w:rFonts w:cstheme="minorHAnsi"/>
        </w:rPr>
        <w:t>Laušmanovou</w:t>
      </w:r>
      <w:proofErr w:type="spellEnd"/>
      <w:r w:rsidR="0056139A" w:rsidRPr="00FA5D22">
        <w:rPr>
          <w:rFonts w:cstheme="minorHAnsi"/>
        </w:rPr>
        <w:t>, CSc.,</w:t>
      </w:r>
      <w:r w:rsidRPr="00FA5D22">
        <w:rPr>
          <w:rFonts w:cstheme="minorHAnsi"/>
        </w:rPr>
        <w:t xml:space="preserve"> místopředsed</w:t>
      </w:r>
      <w:r w:rsidR="0056139A" w:rsidRPr="00FA5D22">
        <w:rPr>
          <w:rFonts w:cstheme="minorHAnsi"/>
        </w:rPr>
        <w:t>kyní</w:t>
      </w:r>
      <w:r w:rsidRPr="00FA5D22">
        <w:rPr>
          <w:rFonts w:cstheme="minorHAnsi"/>
        </w:rPr>
        <w:t xml:space="preserve"> představenstva</w:t>
      </w:r>
    </w:p>
    <w:p w14:paraId="6417E61C" w14:textId="0E6114CF" w:rsidR="004352F5" w:rsidRPr="00FA5D22" w:rsidRDefault="004352F5" w:rsidP="004352F5">
      <w:pPr>
        <w:spacing w:after="0" w:line="276" w:lineRule="auto"/>
        <w:rPr>
          <w:rFonts w:cstheme="minorHAnsi"/>
          <w:i/>
        </w:rPr>
      </w:pPr>
      <w:r w:rsidRPr="00FA5D22">
        <w:rPr>
          <w:rFonts w:cstheme="minorHAnsi"/>
        </w:rPr>
        <w:t xml:space="preserve">IČO: </w:t>
      </w:r>
      <w:r w:rsidR="0056139A" w:rsidRPr="00FA5D22">
        <w:rPr>
          <w:rFonts w:cstheme="minorHAnsi"/>
        </w:rPr>
        <w:t>60197609</w:t>
      </w:r>
    </w:p>
    <w:p w14:paraId="03E3BB22" w14:textId="41C2E27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FA5D22">
        <w:rPr>
          <w:rFonts w:cstheme="minorHAnsi"/>
        </w:rPr>
        <w:t xml:space="preserve">DIČ: </w:t>
      </w:r>
      <w:r w:rsidR="0004034D" w:rsidRPr="00FA5D22">
        <w:rPr>
          <w:rFonts w:cstheme="minorHAnsi"/>
        </w:rPr>
        <w:t>CZ6</w:t>
      </w:r>
      <w:r w:rsidR="0056139A" w:rsidRPr="00FA5D22">
        <w:rPr>
          <w:rFonts w:cstheme="minorHAnsi"/>
        </w:rPr>
        <w:t>01</w:t>
      </w:r>
      <w:r w:rsidR="0004034D" w:rsidRPr="00FA5D22">
        <w:rPr>
          <w:rFonts w:cstheme="minorHAnsi"/>
        </w:rPr>
        <w:t>9</w:t>
      </w:r>
      <w:r w:rsidR="0056139A" w:rsidRPr="00FA5D22">
        <w:rPr>
          <w:rFonts w:cstheme="minorHAnsi"/>
        </w:rPr>
        <w:t>760</w:t>
      </w:r>
      <w:r w:rsidR="0004034D" w:rsidRPr="00FA5D22">
        <w:rPr>
          <w:rFonts w:cstheme="minorHAnsi"/>
        </w:rPr>
        <w:t>9</w:t>
      </w:r>
      <w:r w:rsidR="0056139A" w:rsidRPr="00FA5D22">
        <w:rPr>
          <w:rFonts w:cstheme="minorHAnsi"/>
        </w:rPr>
        <w:t xml:space="preserve"> (skupinové</w:t>
      </w:r>
      <w:r w:rsidR="0056139A">
        <w:rPr>
          <w:rFonts w:cstheme="minorHAnsi"/>
        </w:rPr>
        <w:t xml:space="preserve"> DIČ pro účely DPH CZ699001261)</w:t>
      </w:r>
    </w:p>
    <w:p w14:paraId="528EBD99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2471CF3B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>e 18. listopadu 2024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 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03FA6AD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1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______________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71D64AFB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076B4E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_____________________________</w:t>
            </w:r>
          </w:p>
          <w:p w14:paraId="787EFCD5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5E35B4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  <w:p w14:paraId="3AB6641A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470BC629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1A7737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73EEE5E5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1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AE01C06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7177B184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 NZÚ – Oprav dům</w:t>
      </w:r>
      <w:r w:rsidR="00673D3B" w:rsidRPr="001D4A07">
        <w:rPr>
          <w:rFonts w:cstheme="minorHAnsi"/>
        </w:rPr>
        <w:t xml:space="preserve"> po babičce</w:t>
      </w:r>
      <w:r w:rsidRPr="001D4A07">
        <w:rPr>
          <w:rFonts w:cstheme="minorHAnsi"/>
        </w:rPr>
        <w:t xml:space="preserve"> </w:t>
      </w:r>
      <w:r w:rsidR="00673D3B" w:rsidRPr="001D4A07">
        <w:rPr>
          <w:rFonts w:cstheme="minorHAnsi"/>
        </w:rPr>
        <w:t>(dále jen „</w:t>
      </w:r>
      <w:r w:rsidR="00673D3B" w:rsidRPr="001D4A07">
        <w:rPr>
          <w:rFonts w:cstheme="minorHAnsi"/>
          <w:b/>
          <w:bCs/>
        </w:rPr>
        <w:t>NZÚ – Oprav dům</w:t>
      </w:r>
      <w:r w:rsidR="00673D3B" w:rsidRPr="001D4A07">
        <w:rPr>
          <w:rFonts w:cstheme="minorHAnsi"/>
        </w:rPr>
        <w:t xml:space="preserve">“)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z výzvy NZÚ – Oprav dům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proofErr w:type="spellEnd"/>
      <w:r w:rsidRPr="001D4A07">
        <w:rPr>
          <w:rFonts w:cstheme="minorHAnsi"/>
        </w:rPr>
        <w:t xml:space="preserve"> opatření v reakci na změnu klimatu ve starších rodinných domech;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4892FAE3" w:rsidR="00C53E7B" w:rsidRPr="002A6D2D" w:rsidRDefault="009F38EF" w:rsidP="00C53E7B">
      <w:pPr>
        <w:pStyle w:val="Podmnky"/>
        <w:numPr>
          <w:ilvl w:val="1"/>
          <w:numId w:val="14"/>
        </w:numPr>
      </w:pPr>
      <w:r w:rsidRPr="002A6D2D">
        <w:t>konečný</w:t>
      </w:r>
      <w:r w:rsidR="00C53E7B" w:rsidRPr="002A6D2D">
        <w:t xml:space="preserve"> příjemce podpory </w:t>
      </w:r>
      <w:proofErr w:type="gramStart"/>
      <w:r w:rsidR="00C53E7B" w:rsidRPr="002A6D2D">
        <w:t>NZÚ - Oprav</w:t>
      </w:r>
      <w:proofErr w:type="gramEnd"/>
      <w:r w:rsidR="00C53E7B" w:rsidRPr="002A6D2D">
        <w:t xml:space="preserve"> dům, který je identifikován v RM konečného příjemce NZÚ - Oprav dům (dále jen „</w:t>
      </w:r>
      <w:r w:rsidR="00C53E7B" w:rsidRPr="002A6D2D">
        <w:rPr>
          <w:b/>
          <w:bCs/>
        </w:rPr>
        <w:t>Konečný příjemce</w:t>
      </w:r>
      <w:r w:rsidR="00C53E7B" w:rsidRPr="002A6D2D">
        <w:t>“), nebo</w:t>
      </w:r>
    </w:p>
    <w:p w14:paraId="3A264FA8" w14:textId="1D0552AB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proofErr w:type="gramStart"/>
      <w:r w:rsidRPr="002A6D2D">
        <w:t>NZÚ - Oprav</w:t>
      </w:r>
      <w:proofErr w:type="gramEnd"/>
      <w:r w:rsidRPr="002A6D2D">
        <w:t xml:space="preserve"> dům,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604E13A0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programu NZÚ – Oprav dům 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673D3B">
        <w:rPr>
          <w:rFonts w:cstheme="minorHAnsi"/>
        </w:rPr>
        <w:t xml:space="preserve"> pro </w:t>
      </w:r>
      <w:r w:rsidR="00F0209A">
        <w:rPr>
          <w:rFonts w:cstheme="minorHAnsi"/>
        </w:rPr>
        <w:t xml:space="preserve">aktuální </w:t>
      </w:r>
      <w:proofErr w:type="spellStart"/>
      <w:r w:rsidR="000A0ADD">
        <w:rPr>
          <w:rFonts w:cstheme="minorHAnsi"/>
        </w:rPr>
        <w:t>nedodatkovanou</w:t>
      </w:r>
      <w:proofErr w:type="spellEnd"/>
      <w:r w:rsidR="000A0ADD">
        <w:rPr>
          <w:rFonts w:cstheme="minorHAnsi"/>
        </w:rPr>
        <w:t xml:space="preserve"> </w:t>
      </w:r>
      <w:r w:rsidR="00673D3B">
        <w:rPr>
          <w:rFonts w:cstheme="minorHAnsi"/>
        </w:rPr>
        <w:t>Výzvu č.1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657BC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F948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F948A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lastRenderedPageBreak/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4F9850D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 v programu NZÚ – Oprav dům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2973BB0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 xml:space="preserve">Banka může žádat o půjčku pouze k projektům NZÚ – Oprav dům,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</w:p>
    <w:p w14:paraId="0E4D0305" w14:textId="704125E9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>a projektech NZÚ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 xml:space="preserve">přehledová </w:t>
      </w:r>
      <w:r w:rsidR="00397177" w:rsidRPr="005E35B4">
        <w:rPr>
          <w:rFonts w:eastAsia="Times New Roman" w:cstheme="minorHAnsi"/>
          <w:b/>
          <w:bCs/>
        </w:rPr>
        <w:lastRenderedPageBreak/>
        <w:t>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431C2E13" w14:textId="2B207255" w:rsidR="005815BC" w:rsidRPr="005815BC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proofErr w:type="gramStart"/>
      <w:r w:rsidRPr="002A6D2D">
        <w:t>NZÚ - Oprav</w:t>
      </w:r>
      <w:proofErr w:type="gramEnd"/>
      <w:r w:rsidRPr="002A6D2D">
        <w:t xml:space="preserve"> dům, ke kterému bylo vydáno RM konečného příjemce</w:t>
      </w:r>
      <w:r w:rsidR="005815BC">
        <w:t>;</w:t>
      </w:r>
    </w:p>
    <w:p w14:paraId="69075C30" w14:textId="79C985BA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6735FF7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NZÚ – Oprav dům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lastRenderedPageBreak/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005A6405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 NZÚ – Oprav dům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063DBBCA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>Zvýhodněný úvěr poskytovaný Bankou nesmí být vyšší než dvojnásobek maximální výše podpory poskytnuté Konečnému příjemci formou dotace na projekt NZÚ – Oprav dům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2B818A3E" w:rsidR="004A7A97" w:rsidRPr="001A773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do dvou let od vydání RM konečného příjemce,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>dočerpávat zvýhodněný 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0F06E3E5" w14:textId="77777777" w:rsidR="004A7A97" w:rsidRPr="001A773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1A263EA0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Banka bere na vědomí, že má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bonity 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72E25F39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Sazba bude vyhlášena na každé nadcházející pololetí a bude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</w:t>
      </w:r>
      <w:r w:rsidR="00E13D8C" w:rsidRPr="00E13D8C">
        <w:t>Výši sazby stanovenou podle výše uvedených pravidel však M</w:t>
      </w:r>
      <w:r w:rsidR="00E13D8C" w:rsidRPr="002A6D2D">
        <w:t>inisterstvo životního prostředí</w:t>
      </w:r>
      <w:r w:rsidR="00E13D8C" w:rsidRPr="00E13D8C">
        <w:t xml:space="preserve"> může navýšit tak, aby na stanovenou sazbu neměly vliv poskytnuté zvýhodněné úvěry z této Výzvy, které mají vliv na vývoj časové řady ČNB (ARAD).</w:t>
      </w:r>
      <w:r w:rsidR="00E13D8C">
        <w:t xml:space="preserve"> </w:t>
      </w:r>
      <w:r w:rsidRPr="00817FD2">
        <w:t xml:space="preserve">Maximální výše RPSN bude takto stanovována po celou dobu </w:t>
      </w:r>
      <w:r w:rsidRPr="002A6D2D">
        <w:t xml:space="preserve">realizace nástroje. Pro rok 2024 je sazba </w:t>
      </w:r>
      <w:proofErr w:type="spellStart"/>
      <w:r w:rsidRPr="002A6D2D">
        <w:t>zastropována</w:t>
      </w:r>
      <w:proofErr w:type="spellEnd"/>
      <w:r w:rsidRPr="002A6D2D">
        <w:t xml:space="preserve"> nejvýše na 3,5</w:t>
      </w:r>
      <w:r w:rsidR="00CB15A4" w:rsidRPr="002A6D2D">
        <w:t xml:space="preserve"> </w:t>
      </w:r>
      <w:r w:rsidRPr="002A6D2D">
        <w:t>%. Výše uvedený výpočet bude uplatněn od počátku 1. poloviny roku 2025.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lastRenderedPageBreak/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53B8B134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NZÚ – Oprav dům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7CDB0241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NZÚ – Oprav dům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Fondem nebo orgánem finanční správy a s tím spojené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lastRenderedPageBreak/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77777777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291528F5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0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B4AE" w14:textId="77777777" w:rsidR="0019627E" w:rsidRDefault="0019627E" w:rsidP="00AA050E">
      <w:pPr>
        <w:spacing w:after="0" w:line="240" w:lineRule="auto"/>
      </w:pPr>
      <w:r>
        <w:separator/>
      </w:r>
    </w:p>
  </w:endnote>
  <w:endnote w:type="continuationSeparator" w:id="0">
    <w:p w14:paraId="1374F21E" w14:textId="77777777" w:rsidR="0019627E" w:rsidRDefault="0019627E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B0FC1" w14:textId="77777777" w:rsidR="0019627E" w:rsidRDefault="0019627E" w:rsidP="00AA050E">
      <w:pPr>
        <w:spacing w:after="0" w:line="240" w:lineRule="auto"/>
      </w:pPr>
      <w:r>
        <w:separator/>
      </w:r>
    </w:p>
  </w:footnote>
  <w:footnote w:type="continuationSeparator" w:id="0">
    <w:p w14:paraId="756EA283" w14:textId="77777777" w:rsidR="0019627E" w:rsidRDefault="0019627E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6C71"/>
    <w:rsid w:val="00021D66"/>
    <w:rsid w:val="00030E5D"/>
    <w:rsid w:val="0003328E"/>
    <w:rsid w:val="00033FB2"/>
    <w:rsid w:val="0004034D"/>
    <w:rsid w:val="00043A69"/>
    <w:rsid w:val="000457C1"/>
    <w:rsid w:val="000476CE"/>
    <w:rsid w:val="00051EF2"/>
    <w:rsid w:val="00052937"/>
    <w:rsid w:val="0006036E"/>
    <w:rsid w:val="00061874"/>
    <w:rsid w:val="00061EC4"/>
    <w:rsid w:val="00062322"/>
    <w:rsid w:val="00063DF5"/>
    <w:rsid w:val="00064010"/>
    <w:rsid w:val="000673F2"/>
    <w:rsid w:val="00077225"/>
    <w:rsid w:val="00083355"/>
    <w:rsid w:val="000838B0"/>
    <w:rsid w:val="00083A90"/>
    <w:rsid w:val="00083A98"/>
    <w:rsid w:val="000859E2"/>
    <w:rsid w:val="00090D26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31B8"/>
    <w:rsid w:val="000C7A9D"/>
    <w:rsid w:val="000D1B71"/>
    <w:rsid w:val="000D1C6C"/>
    <w:rsid w:val="000D30DD"/>
    <w:rsid w:val="000D3627"/>
    <w:rsid w:val="000D4264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408D"/>
    <w:rsid w:val="00187CE8"/>
    <w:rsid w:val="00190488"/>
    <w:rsid w:val="00194B14"/>
    <w:rsid w:val="00195B8F"/>
    <w:rsid w:val="0019627E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6A94"/>
    <w:rsid w:val="00207AB5"/>
    <w:rsid w:val="0021208A"/>
    <w:rsid w:val="002130B3"/>
    <w:rsid w:val="00216AA1"/>
    <w:rsid w:val="00220303"/>
    <w:rsid w:val="00222345"/>
    <w:rsid w:val="002254AF"/>
    <w:rsid w:val="002414FA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784C"/>
    <w:rsid w:val="00267A6C"/>
    <w:rsid w:val="00273EE5"/>
    <w:rsid w:val="00274461"/>
    <w:rsid w:val="0028137C"/>
    <w:rsid w:val="002831B9"/>
    <w:rsid w:val="00284F21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B9C"/>
    <w:rsid w:val="002F7F19"/>
    <w:rsid w:val="00306BCF"/>
    <w:rsid w:val="00306EF2"/>
    <w:rsid w:val="00311A29"/>
    <w:rsid w:val="00312E4D"/>
    <w:rsid w:val="00313EC2"/>
    <w:rsid w:val="00314EBD"/>
    <w:rsid w:val="003262E9"/>
    <w:rsid w:val="00332BBC"/>
    <w:rsid w:val="00334049"/>
    <w:rsid w:val="00335D3B"/>
    <w:rsid w:val="00336BE4"/>
    <w:rsid w:val="003451B2"/>
    <w:rsid w:val="003509EE"/>
    <w:rsid w:val="00351D88"/>
    <w:rsid w:val="00354508"/>
    <w:rsid w:val="003614C0"/>
    <w:rsid w:val="00361516"/>
    <w:rsid w:val="0036242A"/>
    <w:rsid w:val="00366450"/>
    <w:rsid w:val="00366F7C"/>
    <w:rsid w:val="00376549"/>
    <w:rsid w:val="003773C3"/>
    <w:rsid w:val="00385557"/>
    <w:rsid w:val="00397177"/>
    <w:rsid w:val="00397C9F"/>
    <w:rsid w:val="003A1EC3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2C81"/>
    <w:rsid w:val="003F441E"/>
    <w:rsid w:val="003F4F92"/>
    <w:rsid w:val="003F5E9A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FDD"/>
    <w:rsid w:val="0045505A"/>
    <w:rsid w:val="004557AC"/>
    <w:rsid w:val="004558E2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E41C3"/>
    <w:rsid w:val="004E45B4"/>
    <w:rsid w:val="004E45C2"/>
    <w:rsid w:val="004E7433"/>
    <w:rsid w:val="004E75DA"/>
    <w:rsid w:val="004E7DCE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39A"/>
    <w:rsid w:val="00565E76"/>
    <w:rsid w:val="00572439"/>
    <w:rsid w:val="00574915"/>
    <w:rsid w:val="00580DCA"/>
    <w:rsid w:val="005815BC"/>
    <w:rsid w:val="005848E2"/>
    <w:rsid w:val="00593EF1"/>
    <w:rsid w:val="0059675C"/>
    <w:rsid w:val="005A3CEF"/>
    <w:rsid w:val="005A41CF"/>
    <w:rsid w:val="005A6384"/>
    <w:rsid w:val="005B0112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E35B4"/>
    <w:rsid w:val="005E621B"/>
    <w:rsid w:val="005F14FE"/>
    <w:rsid w:val="006011DC"/>
    <w:rsid w:val="0060137E"/>
    <w:rsid w:val="00605324"/>
    <w:rsid w:val="00607F11"/>
    <w:rsid w:val="00610260"/>
    <w:rsid w:val="0061721D"/>
    <w:rsid w:val="006237D5"/>
    <w:rsid w:val="006435B6"/>
    <w:rsid w:val="00657BC4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55EB"/>
    <w:rsid w:val="006B7E10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C5B"/>
    <w:rsid w:val="00714D0D"/>
    <w:rsid w:val="00714D3D"/>
    <w:rsid w:val="00715C68"/>
    <w:rsid w:val="00716109"/>
    <w:rsid w:val="00716E34"/>
    <w:rsid w:val="00716E82"/>
    <w:rsid w:val="00726FEF"/>
    <w:rsid w:val="00730601"/>
    <w:rsid w:val="007327E9"/>
    <w:rsid w:val="00732E7D"/>
    <w:rsid w:val="00734189"/>
    <w:rsid w:val="00734A2E"/>
    <w:rsid w:val="007351B9"/>
    <w:rsid w:val="0073544E"/>
    <w:rsid w:val="00736F7D"/>
    <w:rsid w:val="00743DEB"/>
    <w:rsid w:val="00753603"/>
    <w:rsid w:val="007565B3"/>
    <w:rsid w:val="00757D25"/>
    <w:rsid w:val="0076160E"/>
    <w:rsid w:val="007700FF"/>
    <w:rsid w:val="00772789"/>
    <w:rsid w:val="0077713D"/>
    <w:rsid w:val="00784D20"/>
    <w:rsid w:val="00785D03"/>
    <w:rsid w:val="0078716B"/>
    <w:rsid w:val="007878BC"/>
    <w:rsid w:val="0079285C"/>
    <w:rsid w:val="00793B4A"/>
    <w:rsid w:val="007941F9"/>
    <w:rsid w:val="007970D0"/>
    <w:rsid w:val="007A0977"/>
    <w:rsid w:val="007A1D96"/>
    <w:rsid w:val="007A5AA5"/>
    <w:rsid w:val="007C0B24"/>
    <w:rsid w:val="007C0B33"/>
    <w:rsid w:val="007C1711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9014AC"/>
    <w:rsid w:val="00901726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60841"/>
    <w:rsid w:val="00965C50"/>
    <w:rsid w:val="00966147"/>
    <w:rsid w:val="0096701D"/>
    <w:rsid w:val="00970AA5"/>
    <w:rsid w:val="00972419"/>
    <w:rsid w:val="009746B6"/>
    <w:rsid w:val="0097483A"/>
    <w:rsid w:val="00985C8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20E8"/>
    <w:rsid w:val="00A121FA"/>
    <w:rsid w:val="00A13324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61BB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D9F"/>
    <w:rsid w:val="00B54EB7"/>
    <w:rsid w:val="00B61AB0"/>
    <w:rsid w:val="00B61BDE"/>
    <w:rsid w:val="00B61EDC"/>
    <w:rsid w:val="00B6289F"/>
    <w:rsid w:val="00B65315"/>
    <w:rsid w:val="00B70BCB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B65D0"/>
    <w:rsid w:val="00BC1E8E"/>
    <w:rsid w:val="00BC2CB2"/>
    <w:rsid w:val="00BD06F8"/>
    <w:rsid w:val="00BD43B2"/>
    <w:rsid w:val="00BD528B"/>
    <w:rsid w:val="00BE03BB"/>
    <w:rsid w:val="00BE1904"/>
    <w:rsid w:val="00BE33A0"/>
    <w:rsid w:val="00BE35A9"/>
    <w:rsid w:val="00BE794F"/>
    <w:rsid w:val="00BF1A27"/>
    <w:rsid w:val="00BF3EA1"/>
    <w:rsid w:val="00BF5D34"/>
    <w:rsid w:val="00C0051E"/>
    <w:rsid w:val="00C02357"/>
    <w:rsid w:val="00C03279"/>
    <w:rsid w:val="00C12FC0"/>
    <w:rsid w:val="00C14612"/>
    <w:rsid w:val="00C1672B"/>
    <w:rsid w:val="00C212B0"/>
    <w:rsid w:val="00C21CA1"/>
    <w:rsid w:val="00C22AC8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42EB"/>
    <w:rsid w:val="00C56B23"/>
    <w:rsid w:val="00C6214E"/>
    <w:rsid w:val="00C63768"/>
    <w:rsid w:val="00C63A83"/>
    <w:rsid w:val="00C66CEE"/>
    <w:rsid w:val="00C717A9"/>
    <w:rsid w:val="00C71E36"/>
    <w:rsid w:val="00C73307"/>
    <w:rsid w:val="00C873FA"/>
    <w:rsid w:val="00C900E9"/>
    <w:rsid w:val="00C95D9F"/>
    <w:rsid w:val="00C97222"/>
    <w:rsid w:val="00C97707"/>
    <w:rsid w:val="00CA0D09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6629"/>
    <w:rsid w:val="00CE732A"/>
    <w:rsid w:val="00CF43E2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60952"/>
    <w:rsid w:val="00D647EF"/>
    <w:rsid w:val="00D6661A"/>
    <w:rsid w:val="00D67577"/>
    <w:rsid w:val="00D708E3"/>
    <w:rsid w:val="00D72329"/>
    <w:rsid w:val="00D766D0"/>
    <w:rsid w:val="00D77F3C"/>
    <w:rsid w:val="00D80F6E"/>
    <w:rsid w:val="00D8326D"/>
    <w:rsid w:val="00D844C1"/>
    <w:rsid w:val="00D84C1A"/>
    <w:rsid w:val="00D85C07"/>
    <w:rsid w:val="00D90B5F"/>
    <w:rsid w:val="00DB2A2B"/>
    <w:rsid w:val="00DB33D2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4757"/>
    <w:rsid w:val="00DD60BE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7CCE"/>
    <w:rsid w:val="00EB231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91674"/>
    <w:rsid w:val="00F91BC7"/>
    <w:rsid w:val="00F925EB"/>
    <w:rsid w:val="00F92EF6"/>
    <w:rsid w:val="00F948A1"/>
    <w:rsid w:val="00FA0925"/>
    <w:rsid w:val="00FA174A"/>
    <w:rsid w:val="00FA36E0"/>
    <w:rsid w:val="00FA5A68"/>
    <w:rsid w:val="00FA5D22"/>
    <w:rsid w:val="00FA6198"/>
    <w:rsid w:val="00FA7072"/>
    <w:rsid w:val="00FB2F83"/>
    <w:rsid w:val="00FB6C46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3739</Words>
  <Characters>22065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Staňková Lucie</cp:lastModifiedBy>
  <cp:revision>3</cp:revision>
  <cp:lastPrinted>2024-12-17T08:33:00Z</cp:lastPrinted>
  <dcterms:created xsi:type="dcterms:W3CDTF">2024-12-20T08:44:00Z</dcterms:created>
  <dcterms:modified xsi:type="dcterms:W3CDTF">2024-12-20T08:51:00Z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