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48"/>
        <w:gridCol w:w="483"/>
        <w:gridCol w:w="190"/>
        <w:gridCol w:w="146"/>
        <w:gridCol w:w="640"/>
      </w:tblGrid>
      <w:tr w:rsidR="00682A9A" w:rsidRPr="00682A9A" w:rsidTr="00682A9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682A9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202/2024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682A9A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82A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B84493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33600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34215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proofErr w:type="spellStart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3.12.2024,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2A9A" w:rsidRPr="00682A9A" w:rsidTr="00682A9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2A9A">
              <w:rPr>
                <w:rFonts w:ascii="Calibri" w:eastAsia="Times New Roman" w:hAnsi="Calibri" w:cs="Calibri"/>
                <w:color w:val="000000"/>
                <w:lang w:eastAsia="cs-CZ"/>
              </w:rPr>
              <w:t>Cena bez DPH: 62.760,- Kč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682A9A" w:rsidRPr="00682A9A" w:rsidRDefault="00682A9A" w:rsidP="0068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82A9A" w:rsidRDefault="00682A9A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6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2024-12-12T09:23:00Z</dcterms:created>
  <dcterms:modified xsi:type="dcterms:W3CDTF">2024-12-12T09:23:00Z</dcterms:modified>
</cp:coreProperties>
</file>