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12FE" w14:textId="7E2364D8"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0879A4">
        <w:rPr>
          <w:rFonts w:cs="Arial"/>
          <w:color w:val="A6A6A6" w:themeColor="background1" w:themeShade="A6"/>
          <w:sz w:val="20"/>
        </w:rPr>
        <w:t>99135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14:paraId="66BD686C" w14:textId="77777777" w:rsidR="00BD62F8" w:rsidRDefault="00BD62F8" w:rsidP="00BD62F8">
      <w:pPr>
        <w:pStyle w:val="Nadpis1"/>
      </w:pPr>
      <w:r>
        <w:t>Dohoda o ceně a platebních podmínkách</w:t>
      </w:r>
    </w:p>
    <w:p w14:paraId="0B5BE263" w14:textId="77777777"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14:paraId="5F0899B3" w14:textId="77777777"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14:paraId="67FD4888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14:paraId="7AD487CF" w14:textId="77777777"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14:paraId="466AFA73" w14:textId="77777777" w:rsidR="00BD62F8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 w:rsidR="0060575D"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14:paraId="1116D723" w14:textId="77777777" w:rsidR="0060575D" w:rsidRPr="00896B0F" w:rsidRDefault="0060575D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14:paraId="34480686" w14:textId="77777777"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14:paraId="4A2F0DFB" w14:textId="4A2B6736" w:rsidR="00BD62F8" w:rsidRPr="0060575D" w:rsidRDefault="00BD62F8" w:rsidP="00896B0F">
      <w:pPr>
        <w:pStyle w:val="Nadpis3"/>
      </w:pPr>
      <w:r w:rsidRPr="0060575D">
        <w:t xml:space="preserve"> </w:t>
      </w:r>
      <w:r w:rsidR="000879A4">
        <w:t>Základní škola Emila Zátopka Kopřivnice, Pionýrská 791 okres Nový Jičín, příspěvková organizace</w:t>
      </w:r>
    </w:p>
    <w:p w14:paraId="0A384515" w14:textId="60FC4D39"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0879A4">
        <w:rPr>
          <w:rFonts w:cs="Arial"/>
        </w:rPr>
        <w:t>Pionýrská 791/7, 74221 Kopřivnice</w:t>
      </w:r>
    </w:p>
    <w:p w14:paraId="2BBEE383" w14:textId="04E504F8"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0879A4">
        <w:rPr>
          <w:rFonts w:cs="Arial"/>
        </w:rPr>
        <w:t xml:space="preserve">Mgr. Pavel </w:t>
      </w:r>
      <w:proofErr w:type="spellStart"/>
      <w:r w:rsidR="000879A4">
        <w:rPr>
          <w:rFonts w:cs="Arial"/>
        </w:rPr>
        <w:t>Rosinský</w:t>
      </w:r>
      <w:proofErr w:type="spellEnd"/>
      <w:r w:rsidR="000879A4">
        <w:rPr>
          <w:rFonts w:cs="Arial"/>
        </w:rPr>
        <w:t>, ředitel</w:t>
      </w:r>
    </w:p>
    <w:p w14:paraId="552AEADC" w14:textId="3196E53C" w:rsidR="00EB6360" w:rsidRDefault="00B379F1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  <w:r w:rsidR="000879A4">
        <w:rPr>
          <w:rFonts w:cs="Arial"/>
        </w:rPr>
        <w:t>zřízená Městem Kopřivnice</w:t>
      </w:r>
    </w:p>
    <w:p w14:paraId="6A80E4B1" w14:textId="3E8C90AC" w:rsidR="00746BBB" w:rsidRPr="00896B0F" w:rsidRDefault="00746BBB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 w:rsidR="000879A4">
        <w:rPr>
          <w:rFonts w:cs="Arial"/>
        </w:rPr>
        <w:t>1767248399/0800</w:t>
      </w:r>
    </w:p>
    <w:p w14:paraId="6DD25448" w14:textId="77777777"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14:paraId="38F84345" w14:textId="77777777"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14:paraId="27398450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14:paraId="6495A729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14:paraId="5C3AAF47" w14:textId="4BEA7B16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</w:t>
      </w:r>
      <w:r w:rsidR="00D106E4">
        <w:t>la dle přílohy č.1 smlouvy</w:t>
      </w:r>
      <w:r w:rsidR="00D9530E">
        <w:t>.</w:t>
      </w:r>
    </w:p>
    <w:p w14:paraId="52631966" w14:textId="7BB73581" w:rsidR="00BD62F8" w:rsidRPr="00896B0F" w:rsidRDefault="00BD62F8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0879A4">
        <w:t>1.1.2025</w:t>
      </w:r>
      <w:r w:rsidRPr="00896B0F">
        <w:t xml:space="preserve"> předběžná cena za dodávku (ve sjednaném místě předání), stanovená dle Cenového výměru Energetického regulačního úřadu </w:t>
      </w:r>
      <w:r w:rsidR="009C2C68" w:rsidRPr="009C2C68">
        <w:t>č. 9/2024 ze dne 30. září 2024</w:t>
      </w:r>
      <w:r w:rsidR="009C2C68">
        <w:t xml:space="preserve"> takto</w:t>
      </w:r>
      <w:r w:rsidRPr="00896B0F">
        <w:t>:</w:t>
      </w:r>
    </w:p>
    <w:p w14:paraId="3ED23965" w14:textId="2B872C32" w:rsidR="00153148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0879A4">
        <w:rPr>
          <w:rFonts w:cs="Arial"/>
          <w:b/>
          <w:bCs/>
        </w:rPr>
        <w:t>876,39</w:t>
      </w:r>
      <w:r w:rsidR="007B4DE7" w:rsidRPr="00C20E03">
        <w:rPr>
          <w:b/>
          <w:bCs/>
        </w:rPr>
        <w:t xml:space="preserve"> </w:t>
      </w:r>
      <w:r w:rsidRPr="00C20E03">
        <w:rPr>
          <w:b/>
          <w:bCs/>
        </w:rPr>
        <w:t xml:space="preserve">Kč/GJ </w:t>
      </w:r>
    </w:p>
    <w:p w14:paraId="21F09B47" w14:textId="77777777" w:rsidR="00BD62F8" w:rsidRPr="00896B0F" w:rsidRDefault="00BD62F8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 w:rsidR="00D9530E">
        <w:t>.</w:t>
      </w:r>
      <w:r w:rsidRPr="00896B0F">
        <w:tab/>
      </w:r>
    </w:p>
    <w:p w14:paraId="2681C67D" w14:textId="77777777"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14:paraId="5BA87F20" w14:textId="77777777" w:rsidR="00BD62F8" w:rsidRPr="00B62DB1" w:rsidRDefault="00BD62F8" w:rsidP="00715885">
      <w:pPr>
        <w:pStyle w:val="Nadpis2"/>
      </w:pPr>
      <w:r w:rsidRPr="00B62DB1">
        <w:t>Platební podmínky</w:t>
      </w:r>
    </w:p>
    <w:p w14:paraId="6A21E708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14:paraId="31A91A2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14:paraId="3F5C90B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  <w:r w:rsidR="00D9530E">
        <w:t>.</w:t>
      </w:r>
    </w:p>
    <w:p w14:paraId="5D27F0A7" w14:textId="77777777" w:rsidR="008558B8" w:rsidRDefault="00BD62F8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 w:rsidR="008558B8">
        <w:br w:type="page"/>
      </w:r>
    </w:p>
    <w:p w14:paraId="60481766" w14:textId="5251E9E7"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879A4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48B69100" w14:textId="77777777"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1EE58AE3" w14:textId="77777777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14:paraId="670DF0CB" w14:textId="60900D10"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 xml:space="preserve">Dodavatel se zavazuje provádět zúčtování dodávky tepelné energie ročními fakturami s náležitostmi daňového dokladu podle platných právních </w:t>
      </w:r>
      <w:r w:rsidR="00AF7207">
        <w:t>předpisů,</w:t>
      </w:r>
      <w:r>
        <w:t xml:space="preserve"> a to vždy do 28. února následujícího roku.</w:t>
      </w:r>
    </w:p>
    <w:p w14:paraId="1CDB7CC8" w14:textId="77777777"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14:paraId="2B4EC0C0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14:paraId="0745532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14:paraId="0993CB00" w14:textId="7377B46F"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 w:rsidR="00387C77">
        <w:t xml:space="preserve"> </w:t>
      </w:r>
      <w:r w:rsidR="000879A4">
        <w:rPr>
          <w:rFonts w:cs="Arial"/>
        </w:rPr>
        <w:t>2025</w:t>
      </w:r>
      <w:r w:rsidRPr="00A31B44">
        <w:t xml:space="preserve"> činí </w:t>
      </w:r>
      <w:r w:rsidR="000879A4">
        <w:rPr>
          <w:rFonts w:cs="Arial"/>
          <w:b/>
          <w:bCs/>
        </w:rPr>
        <w:t>1 308 000,00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14:paraId="05DF6B96" w14:textId="3EF00338"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>Variabilní symbol pro platby dodavatele je</w:t>
      </w:r>
      <w:r w:rsidRPr="00FA20FD">
        <w:rPr>
          <w:b/>
          <w:bCs/>
        </w:rPr>
        <w:t xml:space="preserve"> </w:t>
      </w:r>
      <w:r w:rsidR="000879A4">
        <w:rPr>
          <w:rFonts w:cs="Arial"/>
          <w:b/>
          <w:bCs/>
        </w:rPr>
        <w:t>99135</w:t>
      </w:r>
    </w:p>
    <w:p w14:paraId="672F0FE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9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89"/>
        <w:gridCol w:w="2079"/>
        <w:gridCol w:w="1701"/>
        <w:gridCol w:w="2079"/>
      </w:tblGrid>
      <w:tr w:rsidR="008A1E9D" w:rsidRPr="00B62DB1" w14:paraId="5D1E199B" w14:textId="77777777" w:rsidTr="00E45413">
        <w:trPr>
          <w:cantSplit/>
          <w:tblHeader/>
        </w:trPr>
        <w:tc>
          <w:tcPr>
            <w:tcW w:w="1701" w:type="dxa"/>
            <w:vAlign w:val="center"/>
          </w:tcPr>
          <w:p w14:paraId="138172BA" w14:textId="2107AFCD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0879A4">
              <w:rPr>
                <w:rFonts w:cs="Arial"/>
                <w:b/>
                <w:bCs/>
              </w:rPr>
              <w:t>2025</w:t>
            </w:r>
          </w:p>
        </w:tc>
        <w:tc>
          <w:tcPr>
            <w:tcW w:w="1389" w:type="dxa"/>
            <w:vAlign w:val="center"/>
          </w:tcPr>
          <w:p w14:paraId="681AF554" w14:textId="77777777" w:rsidR="008A1E9D" w:rsidRPr="00B62DB1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2079" w:type="dxa"/>
            <w:vAlign w:val="center"/>
          </w:tcPr>
          <w:p w14:paraId="6D427459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14:paraId="29767C8F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4195481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14:paraId="16FBD23B" w14:textId="464A7319" w:rsidR="008A1E9D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03FE">
              <w:rPr>
                <w:b/>
              </w:rPr>
              <w:t>2</w:t>
            </w:r>
            <w:r>
              <w:rPr>
                <w:b/>
              </w:rPr>
              <w:t>%</w:t>
            </w:r>
          </w:p>
          <w:p w14:paraId="55BCF188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079" w:type="dxa"/>
            <w:vAlign w:val="center"/>
          </w:tcPr>
          <w:p w14:paraId="4C8ACEEA" w14:textId="77777777" w:rsidR="008A1E9D" w:rsidRDefault="008A1E9D" w:rsidP="00387C77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14:paraId="0430BF0D" w14:textId="77777777" w:rsidR="008A1E9D" w:rsidRPr="00B62DB1" w:rsidRDefault="008A1E9D" w:rsidP="00387C77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14:paraId="617AC020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66C93EE0" w14:textId="77777777"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389" w:type="dxa"/>
          </w:tcPr>
          <w:p w14:paraId="517E02F9" w14:textId="77777777"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2079" w:type="dxa"/>
          </w:tcPr>
          <w:p w14:paraId="6A44DE00" w14:textId="0C4A7F70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6F059424" w14:textId="61C63775" w:rsidR="008A1E9D" w:rsidRPr="00B62DB1" w:rsidRDefault="000879A4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079" w:type="dxa"/>
          </w:tcPr>
          <w:p w14:paraId="441129BB" w14:textId="2F7CCCB6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011569CA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3D29799F" w14:textId="77777777"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389" w:type="dxa"/>
          </w:tcPr>
          <w:p w14:paraId="7B2B951C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2079" w:type="dxa"/>
          </w:tcPr>
          <w:p w14:paraId="520456E5" w14:textId="31D41029" w:rsidR="008A1E9D" w:rsidRPr="00B62DB1" w:rsidRDefault="000879A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0B86759F" w14:textId="5E0CF306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405B13DA" w14:textId="4EFD149F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20F42AC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2D882AD3" w14:textId="77777777"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389" w:type="dxa"/>
          </w:tcPr>
          <w:p w14:paraId="5BDF9C3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2079" w:type="dxa"/>
          </w:tcPr>
          <w:p w14:paraId="2C790532" w14:textId="2E6760E6" w:rsidR="008A1E9D" w:rsidRPr="00B62DB1" w:rsidRDefault="000879A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39C92016" w14:textId="775C63A3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73E0CC6C" w14:textId="1A6A3412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24BB7A13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6E7D88A3" w14:textId="77777777"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389" w:type="dxa"/>
          </w:tcPr>
          <w:p w14:paraId="60EFD25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2079" w:type="dxa"/>
          </w:tcPr>
          <w:p w14:paraId="6B6560FE" w14:textId="0918E086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2B46E71C" w14:textId="4C1CD4B4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5A1CFA4E" w14:textId="64452803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1BC1646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4746E86B" w14:textId="77777777"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389" w:type="dxa"/>
          </w:tcPr>
          <w:p w14:paraId="064F2F9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2079" w:type="dxa"/>
          </w:tcPr>
          <w:p w14:paraId="26E13162" w14:textId="36688F10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283056AB" w14:textId="70BDA4CF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61799E55" w14:textId="4583EA3B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0958CB4B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77AF246A" w14:textId="77777777"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389" w:type="dxa"/>
          </w:tcPr>
          <w:p w14:paraId="1514DE10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2079" w:type="dxa"/>
          </w:tcPr>
          <w:p w14:paraId="5C97C07C" w14:textId="3739F54A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44C0497C" w14:textId="0D6A0477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1FCFFE3A" w14:textId="43577681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6535737D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2E7BB604" w14:textId="77777777"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389" w:type="dxa"/>
          </w:tcPr>
          <w:p w14:paraId="5B029304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2079" w:type="dxa"/>
          </w:tcPr>
          <w:p w14:paraId="0CCED8F2" w14:textId="24E6BFC4" w:rsidR="008A1E9D" w:rsidRPr="00B62DB1" w:rsidRDefault="000879A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7665833E" w14:textId="1D1AB6E2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2F68DEBB" w14:textId="73F51B06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02D4D2E6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4E9C6E28" w14:textId="77777777"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389" w:type="dxa"/>
          </w:tcPr>
          <w:p w14:paraId="623AD603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2079" w:type="dxa"/>
          </w:tcPr>
          <w:p w14:paraId="063116FF" w14:textId="29DF3B5D" w:rsidR="008A1E9D" w:rsidRPr="00B62DB1" w:rsidRDefault="000879A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244BE950" w14:textId="2D72D843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0F427024" w14:textId="751B254C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7EBF8DE3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39AB6F69" w14:textId="77777777"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389" w:type="dxa"/>
          </w:tcPr>
          <w:p w14:paraId="00DDEF49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2079" w:type="dxa"/>
          </w:tcPr>
          <w:p w14:paraId="5D31695B" w14:textId="65EDF69F" w:rsidR="008A1E9D" w:rsidRPr="00B62DB1" w:rsidRDefault="000879A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4BA3BDD9" w14:textId="391E995A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63B70173" w14:textId="318E3F49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C816082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15B33A00" w14:textId="77777777"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389" w:type="dxa"/>
          </w:tcPr>
          <w:p w14:paraId="17C4C148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2079" w:type="dxa"/>
          </w:tcPr>
          <w:p w14:paraId="7237B23B" w14:textId="29B8CC9C" w:rsidR="008A1E9D" w:rsidRPr="00B62DB1" w:rsidRDefault="000879A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5DBD81C9" w14:textId="7A304AF7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4A28DBB4" w14:textId="52113BCF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120F4C75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2A602615" w14:textId="77777777"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389" w:type="dxa"/>
          </w:tcPr>
          <w:p w14:paraId="45A1B8B6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2079" w:type="dxa"/>
          </w:tcPr>
          <w:p w14:paraId="68380A16" w14:textId="49E0D9D2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48E7E461" w14:textId="138E019F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033136C8" w14:textId="2EEEA072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54E8C0D6" w14:textId="77777777" w:rsidTr="00E45413">
        <w:trPr>
          <w:cantSplit/>
          <w:trHeight w:val="227"/>
          <w:tblHeader/>
        </w:trPr>
        <w:tc>
          <w:tcPr>
            <w:tcW w:w="1701" w:type="dxa"/>
          </w:tcPr>
          <w:p w14:paraId="6FF4E804" w14:textId="77777777"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389" w:type="dxa"/>
          </w:tcPr>
          <w:p w14:paraId="2175C52F" w14:textId="77777777"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2079" w:type="dxa"/>
          </w:tcPr>
          <w:p w14:paraId="3E1A6CEC" w14:textId="37CC2D32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97 321,43</w:t>
            </w:r>
          </w:p>
        </w:tc>
        <w:tc>
          <w:tcPr>
            <w:tcW w:w="1701" w:type="dxa"/>
          </w:tcPr>
          <w:p w14:paraId="16D17334" w14:textId="0FB1EC8A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11 678,57</w:t>
            </w:r>
          </w:p>
        </w:tc>
        <w:tc>
          <w:tcPr>
            <w:tcW w:w="2079" w:type="dxa"/>
          </w:tcPr>
          <w:p w14:paraId="7C3D40B8" w14:textId="527FE646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109 000,00</w:t>
            </w:r>
          </w:p>
        </w:tc>
      </w:tr>
      <w:tr w:rsidR="008A1E9D" w:rsidRPr="00B62DB1" w14:paraId="376269E4" w14:textId="77777777" w:rsidTr="00E45413">
        <w:trPr>
          <w:cantSplit/>
          <w:tblHeader/>
        </w:trPr>
        <w:tc>
          <w:tcPr>
            <w:tcW w:w="1701" w:type="dxa"/>
          </w:tcPr>
          <w:p w14:paraId="003AC476" w14:textId="77777777"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389" w:type="dxa"/>
          </w:tcPr>
          <w:p w14:paraId="698F99DD" w14:textId="77777777"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2079" w:type="dxa"/>
          </w:tcPr>
          <w:p w14:paraId="450E9990" w14:textId="19259989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1 167 857,16</w:t>
            </w:r>
          </w:p>
        </w:tc>
        <w:tc>
          <w:tcPr>
            <w:tcW w:w="1701" w:type="dxa"/>
          </w:tcPr>
          <w:p w14:paraId="5C260F37" w14:textId="43C28999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140 142,84</w:t>
            </w:r>
          </w:p>
        </w:tc>
        <w:tc>
          <w:tcPr>
            <w:tcW w:w="2079" w:type="dxa"/>
          </w:tcPr>
          <w:p w14:paraId="3B228C05" w14:textId="30A4F7C8" w:rsidR="008A1E9D" w:rsidRPr="00B62DB1" w:rsidRDefault="000879A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1 308 000,00</w:t>
            </w:r>
          </w:p>
        </w:tc>
      </w:tr>
    </w:tbl>
    <w:p w14:paraId="55853402" w14:textId="77777777"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14:paraId="722904F1" w14:textId="77777777"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14:paraId="2AAF980C" w14:textId="77777777" w:rsidR="00324721" w:rsidRDefault="00CA67CB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dohodu o ceně</w:t>
      </w:r>
      <w:r>
        <w:t>.</w:t>
      </w:r>
      <w:r w:rsidR="00324721">
        <w:br w:type="page"/>
      </w:r>
    </w:p>
    <w:p w14:paraId="2D68E000" w14:textId="7E4177FC"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879A4">
        <w:rPr>
          <w:rFonts w:cs="Arial"/>
          <w:color w:val="A6A6A6" w:themeColor="background1" w:themeShade="A6"/>
          <w:sz w:val="20"/>
        </w:rPr>
        <w:t>99135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14:paraId="2B661919" w14:textId="77777777"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06DD974C" w14:textId="77777777"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14:paraId="7E01EF76" w14:textId="61E7374D"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0879A4">
        <w:rPr>
          <w:rFonts w:cs="Arial"/>
        </w:rPr>
        <w:t>1.1.2025</w:t>
      </w:r>
      <w:r>
        <w:rPr>
          <w:noProof/>
        </w:rPr>
        <w:t xml:space="preserve"> do </w:t>
      </w:r>
      <w:r w:rsidR="000879A4">
        <w:rPr>
          <w:rFonts w:cs="Arial"/>
        </w:rPr>
        <w:t>31.12.2025</w:t>
      </w:r>
    </w:p>
    <w:p w14:paraId="2B4C6C31" w14:textId="3AF15B4B"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0879A4">
        <w:rPr>
          <w:rFonts w:cs="Arial"/>
        </w:rPr>
        <w:t>1 398</w:t>
      </w:r>
      <w:r>
        <w:t xml:space="preserve"> </w:t>
      </w:r>
      <w:r w:rsidRPr="00B62DB1">
        <w:t>GJ</w:t>
      </w:r>
    </w:p>
    <w:p w14:paraId="2DDF640D" w14:textId="77777777" w:rsidR="00BD62F8" w:rsidRPr="00B62DB1" w:rsidRDefault="00BD62F8" w:rsidP="00715885">
      <w:pPr>
        <w:pStyle w:val="Nadpis2"/>
      </w:pPr>
      <w:r w:rsidRPr="00B62DB1">
        <w:t>Účinnost</w:t>
      </w:r>
    </w:p>
    <w:p w14:paraId="6E0E0ECD" w14:textId="21DAF543"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  <w:r w:rsidR="002A7FFE">
        <w:t>1.1.20</w:t>
      </w:r>
      <w:r w:rsidR="00EC6975">
        <w:t>2</w:t>
      </w:r>
      <w:r w:rsidR="00ED2560">
        <w:t>5</w:t>
      </w:r>
      <w:r w:rsidR="00D9530E">
        <w:t>.</w:t>
      </w:r>
    </w:p>
    <w:p w14:paraId="2C5AC4A3" w14:textId="77777777" w:rsidR="00BD62F8" w:rsidRPr="00B62DB1" w:rsidRDefault="00BD62F8" w:rsidP="00715885">
      <w:pPr>
        <w:pStyle w:val="Nadpis2"/>
      </w:pPr>
      <w:r w:rsidRPr="00B62DB1">
        <w:t>Cenová doložka</w:t>
      </w:r>
    </w:p>
    <w:p w14:paraId="313665ED" w14:textId="2BA37246"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</w:t>
      </w:r>
      <w:r w:rsidR="009C2C68">
        <w:t xml:space="preserve">zákona č. </w:t>
      </w:r>
      <w:r w:rsidR="009C2C68" w:rsidRPr="009C2C68">
        <w:t>265/2024 Sb.</w:t>
      </w:r>
      <w:r w:rsidRPr="00B62DB1">
        <w:t xml:space="preserve">, dále v souladu s platnými cenovými </w:t>
      </w:r>
      <w:r w:rsidR="00ED2560">
        <w:t>rozhodnutími</w:t>
      </w:r>
      <w:r w:rsidRPr="00B62DB1">
        <w:t xml:space="preserve"> Energetického regulačního úřadu a v souladu s cenami a podmínkami dodavatelů paliv a energií se smluvními cenami. </w:t>
      </w:r>
    </w:p>
    <w:p w14:paraId="0EF0FE3B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14:paraId="4E55DBB3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předběžné ceně jsou zahrnuty náklady na nakupované teplo v cenách výrobce tepla, platných k 1.</w:t>
      </w:r>
      <w:r w:rsidR="00FA20FD">
        <w:t> </w:t>
      </w:r>
      <w:r w:rsidRPr="00B62DB1">
        <w:t>1.</w:t>
      </w:r>
      <w:r w:rsidR="00FA20FD">
        <w:t> </w:t>
      </w:r>
      <w:r w:rsidRPr="00B62DB1">
        <w:t xml:space="preserve">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14:paraId="4EDA39B1" w14:textId="4881E9C1"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0879A4">
        <w:t>140 720</w:t>
      </w:r>
      <w:r w:rsidR="00A153B2" w:rsidRPr="00A153B2">
        <w:t> </w:t>
      </w:r>
      <w:r w:rsidRPr="00A31B44">
        <w:t>GJ za rok</w:t>
      </w:r>
      <w:r w:rsidR="000F3EE0">
        <w:t xml:space="preserve"> </w:t>
      </w:r>
      <w:r w:rsidR="000879A4">
        <w:t>2025</w:t>
      </w:r>
      <w:r>
        <w:t>.</w:t>
      </w:r>
      <w:r w:rsidRPr="00A31B44">
        <w:t xml:space="preserve"> </w:t>
      </w:r>
      <w:r w:rsidR="00AF7207" w:rsidRPr="00AF7207">
        <w:t xml:space="preserve">Předpokládané </w:t>
      </w:r>
      <w:r w:rsidR="00AF7207">
        <w:t xml:space="preserve">celkové </w:t>
      </w:r>
      <w:r w:rsidR="00AF7207" w:rsidRPr="00AF7207">
        <w:t xml:space="preserve">množství tepelné energie pro daný kalendářní rok </w:t>
      </w:r>
      <w:r w:rsidR="00AF7207">
        <w:t>se</w:t>
      </w:r>
      <w:r w:rsidR="00AF7207" w:rsidRPr="00AF7207">
        <w:t xml:space="preserve"> stanoví na základě</w:t>
      </w:r>
      <w:r w:rsidR="00AF7207">
        <w:t xml:space="preserve"> </w:t>
      </w:r>
      <w:r w:rsidR="00AF7207" w:rsidRPr="00AF7207">
        <w:t xml:space="preserve">průměru skutečně dodaného </w:t>
      </w:r>
      <w:r w:rsidR="00C50861">
        <w:t xml:space="preserve">celkového </w:t>
      </w:r>
      <w:r w:rsidR="00AF7207" w:rsidRPr="00AF7207">
        <w:t>množství tepelné energie za poslední tři</w:t>
      </w:r>
      <w:r w:rsidR="00AF7207">
        <w:t xml:space="preserve"> </w:t>
      </w:r>
      <w:r w:rsidR="00AF7207" w:rsidRPr="00AF7207">
        <w:t>poslední ukončen</w:t>
      </w:r>
      <w:r w:rsidR="00AF7207">
        <w:t>é</w:t>
      </w:r>
      <w:r w:rsidR="00AF7207" w:rsidRPr="00AF7207">
        <w:t xml:space="preserve"> kalendářní </w:t>
      </w:r>
      <w:r w:rsidR="00AF7207">
        <w:t>roky.</w:t>
      </w:r>
    </w:p>
    <w:p w14:paraId="24E42913" w14:textId="77777777"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 w:rsidR="00D9530E">
        <w:t>.</w:t>
      </w:r>
    </w:p>
    <w:p w14:paraId="104A0768" w14:textId="68497034" w:rsidR="00AF7207" w:rsidRDefault="00AF7207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F7207">
        <w:t>Kalkulace výsledné ceny tepelné energie může zahrnovat pouze skutečně</w:t>
      </w:r>
      <w:r>
        <w:t xml:space="preserve"> </w:t>
      </w:r>
      <w:r w:rsidRPr="00AF7207">
        <w:t>vynaložené ekonomicky oprávněné náklady, přiměřený zisk a skutečné množství dodané tepelné</w:t>
      </w:r>
      <w:r>
        <w:t xml:space="preserve"> e</w:t>
      </w:r>
      <w:r w:rsidRPr="00AF7207">
        <w:t>nergie za ukončený kalendářní rok</w:t>
      </w:r>
    </w:p>
    <w:p w14:paraId="60087559" w14:textId="77777777" w:rsidR="001054C6" w:rsidRDefault="001054C6">
      <w:r>
        <w:br w:type="page"/>
      </w:r>
    </w:p>
    <w:p w14:paraId="3F8AC10E" w14:textId="366A7B68"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879A4">
        <w:rPr>
          <w:rFonts w:cs="Arial"/>
          <w:color w:val="A6A6A6" w:themeColor="background1" w:themeShade="A6"/>
          <w:sz w:val="20"/>
        </w:rPr>
        <w:t>99135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14:paraId="491D1B3D" w14:textId="77777777"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14:paraId="7CAAD53D" w14:textId="77777777" w:rsidR="00BD62F8" w:rsidRPr="00B62DB1" w:rsidRDefault="00BD62F8" w:rsidP="00715885">
      <w:pPr>
        <w:pStyle w:val="Nadpis2"/>
      </w:pPr>
      <w:r w:rsidRPr="00B62DB1">
        <w:t>Cenové oznámení</w:t>
      </w:r>
    </w:p>
    <w:p w14:paraId="40C37C72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</w:t>
      </w:r>
      <w:r w:rsidR="001155D5" w:rsidRPr="00B62DB1">
        <w:t>jednostranně – formou</w:t>
      </w:r>
      <w:r w:rsidRPr="00B62DB1">
        <w:t xml:space="preserve">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14:paraId="268A01D9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14:paraId="1775B2E8" w14:textId="77777777"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195D364A" w14:textId="77777777"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14:paraId="27F87DB7" w14:textId="77777777" w:rsidR="00140535" w:rsidRDefault="00140535"/>
    <w:p w14:paraId="02FB9E3D" w14:textId="77777777" w:rsidR="001054C6" w:rsidRDefault="001054C6"/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14:paraId="32CABAD6" w14:textId="77777777" w:rsidTr="00636BE7">
        <w:tc>
          <w:tcPr>
            <w:tcW w:w="3166" w:type="dxa"/>
          </w:tcPr>
          <w:p w14:paraId="09F24BF3" w14:textId="77777777"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14:paraId="2F586F30" w14:textId="77777777" w:rsidR="00BD62F8" w:rsidRDefault="00BD62F8" w:rsidP="00D34542"/>
        </w:tc>
        <w:tc>
          <w:tcPr>
            <w:tcW w:w="3163" w:type="dxa"/>
          </w:tcPr>
          <w:p w14:paraId="6EAE60F6" w14:textId="77777777" w:rsidR="00BD62F8" w:rsidRDefault="00BD62F8" w:rsidP="00D34542"/>
        </w:tc>
      </w:tr>
      <w:tr w:rsidR="00AF7207" w14:paraId="2862944E" w14:textId="77777777" w:rsidTr="00636BE7">
        <w:trPr>
          <w:trHeight w:val="480"/>
        </w:trPr>
        <w:tc>
          <w:tcPr>
            <w:tcW w:w="9174" w:type="dxa"/>
            <w:gridSpan w:val="3"/>
          </w:tcPr>
          <w:p w14:paraId="3C9B2EE3" w14:textId="767AF28C" w:rsidR="00AF7207" w:rsidRPr="00EA0B82" w:rsidRDefault="00AF7207" w:rsidP="00D34542">
            <w:pPr>
              <w:rPr>
                <w:color w:val="C0C0C0"/>
              </w:rPr>
            </w:pPr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>
              <w:t>1</w:t>
            </w:r>
            <w:r w:rsidR="00ED2560">
              <w:t>7</w:t>
            </w:r>
            <w:r>
              <w:t>.12.202</w:t>
            </w:r>
            <w:r w:rsidR="00ED2560">
              <w:t>4</w:t>
            </w:r>
          </w:p>
        </w:tc>
      </w:tr>
      <w:tr w:rsidR="00BD62F8" w14:paraId="433AC461" w14:textId="77777777" w:rsidTr="00636BE7">
        <w:trPr>
          <w:trHeight w:val="839"/>
        </w:trPr>
        <w:tc>
          <w:tcPr>
            <w:tcW w:w="3166" w:type="dxa"/>
          </w:tcPr>
          <w:p w14:paraId="68E04601" w14:textId="77777777"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</w:tcPr>
          <w:p w14:paraId="7EEA941D" w14:textId="77777777"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</w:tcPr>
          <w:p w14:paraId="08411121" w14:textId="77777777"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</w:tbl>
    <w:p w14:paraId="30C76586" w14:textId="77777777" w:rsidR="00AF7207" w:rsidRDefault="00AF7207" w:rsidP="008E184C">
      <w:pPr>
        <w:ind w:left="2127" w:hanging="2127"/>
        <w:rPr>
          <w:rFonts w:cs="Arial"/>
          <w:b/>
        </w:rPr>
      </w:pPr>
    </w:p>
    <w:p w14:paraId="1C8AD577" w14:textId="77777777" w:rsidR="00AF7207" w:rsidRDefault="00AF7207" w:rsidP="008E184C">
      <w:pPr>
        <w:ind w:left="2127" w:hanging="2127"/>
        <w:rPr>
          <w:rFonts w:cs="Arial"/>
          <w:b/>
        </w:rPr>
      </w:pPr>
    </w:p>
    <w:p w14:paraId="3B3193D7" w14:textId="37C85C54"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 w:rsidR="00C83D07">
        <w:rPr>
          <w:rFonts w:cs="Arial"/>
          <w:b/>
        </w:rPr>
        <w:t>:</w:t>
      </w:r>
    </w:p>
    <w:p w14:paraId="780163BD" w14:textId="77777777" w:rsidR="008E184C" w:rsidRDefault="008E184C" w:rsidP="008E184C">
      <w:pPr>
        <w:ind w:left="2127" w:hanging="2127"/>
        <w:rPr>
          <w:rFonts w:cs="Arial"/>
        </w:rPr>
      </w:pPr>
    </w:p>
    <w:p w14:paraId="685C322F" w14:textId="03C6FCBF"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  <w:r w:rsidR="009928E2">
        <w:rPr>
          <w:rFonts w:cs="Arial"/>
        </w:rPr>
        <w:t xml:space="preserve"> 19. 12. 2024</w:t>
      </w:r>
    </w:p>
    <w:p w14:paraId="33FE1DE6" w14:textId="77777777" w:rsidR="008E184C" w:rsidRPr="008E184C" w:rsidRDefault="008E184C" w:rsidP="008E184C">
      <w:pPr>
        <w:ind w:left="2127" w:hanging="2127"/>
        <w:rPr>
          <w:rFonts w:cs="Arial"/>
        </w:rPr>
      </w:pPr>
    </w:p>
    <w:p w14:paraId="36CDDED1" w14:textId="4A839EA8" w:rsidR="008E184C" w:rsidRDefault="000879A4" w:rsidP="006B6638">
      <w:pPr>
        <w:tabs>
          <w:tab w:val="left" w:pos="5954"/>
        </w:tabs>
        <w:spacing w:before="120" w:after="480"/>
        <w:ind w:left="3119" w:hanging="3119"/>
        <w:rPr>
          <w:rFonts w:cs="Arial"/>
        </w:rPr>
      </w:pPr>
      <w:r>
        <w:rPr>
          <w:rFonts w:cs="Arial"/>
        </w:rPr>
        <w:t xml:space="preserve">Mgr. Pavel </w:t>
      </w:r>
      <w:proofErr w:type="spellStart"/>
      <w:r>
        <w:rPr>
          <w:rFonts w:cs="Arial"/>
        </w:rPr>
        <w:t>Rosinský</w:t>
      </w:r>
      <w:proofErr w:type="spellEnd"/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14:paraId="12E9BEBC" w14:textId="77777777" w:rsidR="008E184C" w:rsidRDefault="008E184C" w:rsidP="00D71212">
      <w:pPr>
        <w:rPr>
          <w:sz w:val="16"/>
          <w:szCs w:val="16"/>
        </w:rPr>
      </w:pPr>
    </w:p>
    <w:p w14:paraId="2C46FEBA" w14:textId="51E7F3DF" w:rsidR="00D71212" w:rsidRPr="00CA4C63" w:rsidRDefault="00D71212" w:rsidP="00D71212">
      <w:pPr>
        <w:rPr>
          <w:sz w:val="16"/>
          <w:szCs w:val="16"/>
        </w:rPr>
      </w:pPr>
    </w:p>
    <w:p w14:paraId="3AA6E389" w14:textId="64E71C0A" w:rsidR="00D71212" w:rsidRPr="00CA4C63" w:rsidRDefault="00D71212" w:rsidP="00D71212">
      <w:pPr>
        <w:rPr>
          <w:sz w:val="16"/>
          <w:szCs w:val="16"/>
        </w:rPr>
      </w:pPr>
    </w:p>
    <w:p w14:paraId="2F73E0ED" w14:textId="77777777"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100B" w14:textId="77777777" w:rsidR="00CA67CB" w:rsidRDefault="00CA67CB">
      <w:r>
        <w:separator/>
      </w:r>
    </w:p>
  </w:endnote>
  <w:endnote w:type="continuationSeparator" w:id="0">
    <w:p w14:paraId="541510AB" w14:textId="77777777" w:rsidR="00CA67CB" w:rsidRDefault="00C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619F" w14:textId="7D060B4A" w:rsidR="00CA67CB" w:rsidRPr="00E52FDE" w:rsidRDefault="00CA67CB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9928E2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8BBFE" w14:textId="77777777" w:rsidR="00CA67CB" w:rsidRDefault="00CA67CB"/>
  </w:footnote>
  <w:footnote w:type="continuationSeparator" w:id="0">
    <w:p w14:paraId="0B551D28" w14:textId="77777777" w:rsidR="00CA67CB" w:rsidRDefault="00CA6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1133533">
    <w:abstractNumId w:val="9"/>
  </w:num>
  <w:num w:numId="2" w16cid:durableId="23798589">
    <w:abstractNumId w:val="17"/>
  </w:num>
  <w:num w:numId="3" w16cid:durableId="1620181412">
    <w:abstractNumId w:val="19"/>
  </w:num>
  <w:num w:numId="4" w16cid:durableId="639457350">
    <w:abstractNumId w:val="31"/>
  </w:num>
  <w:num w:numId="5" w16cid:durableId="630523704">
    <w:abstractNumId w:val="26"/>
  </w:num>
  <w:num w:numId="6" w16cid:durableId="336268657">
    <w:abstractNumId w:val="33"/>
  </w:num>
  <w:num w:numId="7" w16cid:durableId="816260436">
    <w:abstractNumId w:val="3"/>
  </w:num>
  <w:num w:numId="8" w16cid:durableId="1251163841">
    <w:abstractNumId w:val="16"/>
  </w:num>
  <w:num w:numId="9" w16cid:durableId="2071690155">
    <w:abstractNumId w:val="25"/>
  </w:num>
  <w:num w:numId="10" w16cid:durableId="1594439474">
    <w:abstractNumId w:val="5"/>
  </w:num>
  <w:num w:numId="11" w16cid:durableId="389815933">
    <w:abstractNumId w:val="12"/>
  </w:num>
  <w:num w:numId="12" w16cid:durableId="948050709">
    <w:abstractNumId w:val="18"/>
  </w:num>
  <w:num w:numId="13" w16cid:durableId="65147222">
    <w:abstractNumId w:val="30"/>
  </w:num>
  <w:num w:numId="14" w16cid:durableId="1226181055">
    <w:abstractNumId w:val="1"/>
  </w:num>
  <w:num w:numId="15" w16cid:durableId="995885760">
    <w:abstractNumId w:val="6"/>
  </w:num>
  <w:num w:numId="16" w16cid:durableId="1824201284">
    <w:abstractNumId w:val="27"/>
  </w:num>
  <w:num w:numId="17" w16cid:durableId="1329137403">
    <w:abstractNumId w:val="0"/>
  </w:num>
  <w:num w:numId="18" w16cid:durableId="537742060">
    <w:abstractNumId w:val="14"/>
  </w:num>
  <w:num w:numId="19" w16cid:durableId="1942910554">
    <w:abstractNumId w:val="10"/>
  </w:num>
  <w:num w:numId="20" w16cid:durableId="993141010">
    <w:abstractNumId w:val="15"/>
  </w:num>
  <w:num w:numId="21" w16cid:durableId="1429230654">
    <w:abstractNumId w:val="24"/>
  </w:num>
  <w:num w:numId="22" w16cid:durableId="1861551983">
    <w:abstractNumId w:val="22"/>
  </w:num>
  <w:num w:numId="23" w16cid:durableId="845440415">
    <w:abstractNumId w:val="13"/>
  </w:num>
  <w:num w:numId="24" w16cid:durableId="924805520">
    <w:abstractNumId w:val="11"/>
  </w:num>
  <w:num w:numId="25" w16cid:durableId="269166848">
    <w:abstractNumId w:val="7"/>
  </w:num>
  <w:num w:numId="26" w16cid:durableId="910232765">
    <w:abstractNumId w:val="23"/>
  </w:num>
  <w:num w:numId="27" w16cid:durableId="1930655188">
    <w:abstractNumId w:val="4"/>
  </w:num>
  <w:num w:numId="28" w16cid:durableId="1354109717">
    <w:abstractNumId w:val="28"/>
  </w:num>
  <w:num w:numId="29" w16cid:durableId="1679696716">
    <w:abstractNumId w:val="20"/>
  </w:num>
  <w:num w:numId="30" w16cid:durableId="768236381">
    <w:abstractNumId w:val="2"/>
  </w:num>
  <w:num w:numId="31" w16cid:durableId="201673483">
    <w:abstractNumId w:val="21"/>
  </w:num>
  <w:num w:numId="32" w16cid:durableId="1284725137">
    <w:abstractNumId w:val="8"/>
  </w:num>
  <w:num w:numId="33" w16cid:durableId="141605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46332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8116461">
    <w:abstractNumId w:val="2"/>
  </w:num>
  <w:num w:numId="36" w16cid:durableId="200745973">
    <w:abstractNumId w:val="2"/>
  </w:num>
  <w:num w:numId="37" w16cid:durableId="789512620">
    <w:abstractNumId w:val="2"/>
  </w:num>
  <w:num w:numId="38" w16cid:durableId="1979410203">
    <w:abstractNumId w:val="2"/>
  </w:num>
  <w:num w:numId="39" w16cid:durableId="1523205456">
    <w:abstractNumId w:val="2"/>
  </w:num>
  <w:num w:numId="40" w16cid:durableId="1649938140">
    <w:abstractNumId w:val="2"/>
  </w:num>
  <w:num w:numId="41" w16cid:durableId="1031885030">
    <w:abstractNumId w:val="2"/>
  </w:num>
  <w:num w:numId="42" w16cid:durableId="512380831">
    <w:abstractNumId w:val="2"/>
  </w:num>
  <w:num w:numId="43" w16cid:durableId="898708001">
    <w:abstractNumId w:val="2"/>
  </w:num>
  <w:num w:numId="44" w16cid:durableId="151408404">
    <w:abstractNumId w:val="2"/>
  </w:num>
  <w:num w:numId="45" w16cid:durableId="1608002658">
    <w:abstractNumId w:val="2"/>
  </w:num>
  <w:num w:numId="46" w16cid:durableId="744372869">
    <w:abstractNumId w:val="2"/>
  </w:num>
  <w:num w:numId="47" w16cid:durableId="664939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666117">
    <w:abstractNumId w:val="32"/>
  </w:num>
  <w:num w:numId="49" w16cid:durableId="2077167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9E0"/>
    <w:rsid w:val="00066A83"/>
    <w:rsid w:val="0008027D"/>
    <w:rsid w:val="000879A4"/>
    <w:rsid w:val="000A49C7"/>
    <w:rsid w:val="000C4821"/>
    <w:rsid w:val="000C7E94"/>
    <w:rsid w:val="000D2968"/>
    <w:rsid w:val="000D7A81"/>
    <w:rsid w:val="000E08B6"/>
    <w:rsid w:val="000E1DF0"/>
    <w:rsid w:val="000F3EE0"/>
    <w:rsid w:val="001054C6"/>
    <w:rsid w:val="00106124"/>
    <w:rsid w:val="001155D5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A7FFE"/>
    <w:rsid w:val="002D2D08"/>
    <w:rsid w:val="002D7C64"/>
    <w:rsid w:val="00304194"/>
    <w:rsid w:val="00324721"/>
    <w:rsid w:val="00350663"/>
    <w:rsid w:val="0035308D"/>
    <w:rsid w:val="0038779D"/>
    <w:rsid w:val="00387C77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5B2C72"/>
    <w:rsid w:val="0060575D"/>
    <w:rsid w:val="00621851"/>
    <w:rsid w:val="00636BE7"/>
    <w:rsid w:val="00661E8C"/>
    <w:rsid w:val="0066790B"/>
    <w:rsid w:val="00694DB2"/>
    <w:rsid w:val="00696458"/>
    <w:rsid w:val="006B29E0"/>
    <w:rsid w:val="006B6638"/>
    <w:rsid w:val="00714AAB"/>
    <w:rsid w:val="00715885"/>
    <w:rsid w:val="00715E7F"/>
    <w:rsid w:val="007458A4"/>
    <w:rsid w:val="00746BBB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55B6D"/>
    <w:rsid w:val="00971FB8"/>
    <w:rsid w:val="009928E2"/>
    <w:rsid w:val="009C2C68"/>
    <w:rsid w:val="009E6DBF"/>
    <w:rsid w:val="009F0F63"/>
    <w:rsid w:val="009F66D4"/>
    <w:rsid w:val="00A153B2"/>
    <w:rsid w:val="00A355AA"/>
    <w:rsid w:val="00A7652B"/>
    <w:rsid w:val="00AA03A0"/>
    <w:rsid w:val="00AA5333"/>
    <w:rsid w:val="00AA757D"/>
    <w:rsid w:val="00AB4F0A"/>
    <w:rsid w:val="00AE3622"/>
    <w:rsid w:val="00AE798A"/>
    <w:rsid w:val="00AF67CC"/>
    <w:rsid w:val="00AF7207"/>
    <w:rsid w:val="00B3682B"/>
    <w:rsid w:val="00B379F1"/>
    <w:rsid w:val="00B468FB"/>
    <w:rsid w:val="00B62DD3"/>
    <w:rsid w:val="00B901F6"/>
    <w:rsid w:val="00B920F1"/>
    <w:rsid w:val="00BD62F8"/>
    <w:rsid w:val="00BF4CA2"/>
    <w:rsid w:val="00C0313D"/>
    <w:rsid w:val="00C11B3C"/>
    <w:rsid w:val="00C20E03"/>
    <w:rsid w:val="00C30DCA"/>
    <w:rsid w:val="00C45E5D"/>
    <w:rsid w:val="00C50861"/>
    <w:rsid w:val="00C52BFC"/>
    <w:rsid w:val="00C576DB"/>
    <w:rsid w:val="00C579DB"/>
    <w:rsid w:val="00C70B7A"/>
    <w:rsid w:val="00C73C6F"/>
    <w:rsid w:val="00C828F7"/>
    <w:rsid w:val="00C83D07"/>
    <w:rsid w:val="00C84CD4"/>
    <w:rsid w:val="00C87498"/>
    <w:rsid w:val="00CA67CB"/>
    <w:rsid w:val="00CB2CC8"/>
    <w:rsid w:val="00CD3D32"/>
    <w:rsid w:val="00CE5FFA"/>
    <w:rsid w:val="00CF7239"/>
    <w:rsid w:val="00D056EC"/>
    <w:rsid w:val="00D106E4"/>
    <w:rsid w:val="00D303FE"/>
    <w:rsid w:val="00D31C3E"/>
    <w:rsid w:val="00D34542"/>
    <w:rsid w:val="00D358DA"/>
    <w:rsid w:val="00D71212"/>
    <w:rsid w:val="00D9530E"/>
    <w:rsid w:val="00DA7468"/>
    <w:rsid w:val="00DB73A2"/>
    <w:rsid w:val="00DE327F"/>
    <w:rsid w:val="00DF02E2"/>
    <w:rsid w:val="00DF0F3C"/>
    <w:rsid w:val="00E20B0F"/>
    <w:rsid w:val="00E45413"/>
    <w:rsid w:val="00E97437"/>
    <w:rsid w:val="00EB6360"/>
    <w:rsid w:val="00EC6975"/>
    <w:rsid w:val="00EC6FFF"/>
    <w:rsid w:val="00ED2560"/>
    <w:rsid w:val="00EF6A4B"/>
    <w:rsid w:val="00F04EA4"/>
    <w:rsid w:val="00F51AAE"/>
    <w:rsid w:val="00F55192"/>
    <w:rsid w:val="00FA20FD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DDCA493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  <w:style w:type="paragraph" w:styleId="Revize">
    <w:name w:val="Revision"/>
    <w:hidden/>
    <w:uiPriority w:val="99"/>
    <w:semiHidden/>
    <w:rsid w:val="00AF7207"/>
    <w:pPr>
      <w:widowControl/>
    </w:pPr>
    <w:rPr>
      <w:rFonts w:ascii="Arial" w:hAnsi="Arial"/>
      <w:color w:val="000000"/>
    </w:rPr>
  </w:style>
  <w:style w:type="table" w:styleId="Svtlmkatabulky">
    <w:name w:val="Grid Table Light"/>
    <w:basedOn w:val="Normlntabulka"/>
    <w:uiPriority w:val="40"/>
    <w:rsid w:val="00AF72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F890-8FB3-4834-9935-A3D8883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Bělikova, Monika</cp:lastModifiedBy>
  <cp:revision>5</cp:revision>
  <cp:lastPrinted>2024-12-17T09:15:00Z</cp:lastPrinted>
  <dcterms:created xsi:type="dcterms:W3CDTF">2024-12-16T13:12:00Z</dcterms:created>
  <dcterms:modified xsi:type="dcterms:W3CDTF">2024-12-20T08:08:00Z</dcterms:modified>
</cp:coreProperties>
</file>