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1B36" w14:textId="0AA385E5" w:rsidR="0044313E" w:rsidRPr="00515E42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0"/>
          <w:szCs w:val="20"/>
        </w:rPr>
      </w:pPr>
      <w:r w:rsidRPr="001D6009">
        <w:rPr>
          <w:rFonts w:eastAsia="Arial Unicode MS" w:cstheme="minorHAnsi"/>
          <w:b/>
          <w:color w:val="000000"/>
          <w:kern w:val="1"/>
          <w:sz w:val="32"/>
          <w:szCs w:val="32"/>
        </w:rPr>
        <w:t>Kupní smlouva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t>(podle §2079 a násl. zák. č. 89/2012 Sb., občanský zákoník, v platném znění)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</w:p>
    <w:p w14:paraId="635BB6F0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515E42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37913149" w14:textId="77777777" w:rsidR="0075282B" w:rsidRPr="0051465F" w:rsidRDefault="0075282B" w:rsidP="0075282B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proofErr w:type="spellStart"/>
      <w:r>
        <w:rPr>
          <w:rFonts w:eastAsia="Arial Unicode MS" w:cstheme="minorHAnsi"/>
          <w:b/>
          <w:bCs/>
          <w:color w:val="000000"/>
          <w:kern w:val="1"/>
          <w:szCs w:val="28"/>
        </w:rPr>
        <w:t>LightNeq</w:t>
      </w:r>
      <w:proofErr w:type="spellEnd"/>
      <w:r>
        <w:rPr>
          <w:rFonts w:eastAsia="Arial Unicode MS" w:cstheme="minorHAnsi"/>
          <w:b/>
          <w:bCs/>
          <w:color w:val="000000"/>
          <w:kern w:val="1"/>
          <w:szCs w:val="28"/>
        </w:rPr>
        <w:t xml:space="preserve"> s.r.o.</w:t>
      </w:r>
    </w:p>
    <w:p w14:paraId="581C8214" w14:textId="77777777" w:rsidR="0075282B" w:rsidRPr="0051465F" w:rsidRDefault="0075282B" w:rsidP="0075282B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1465F">
        <w:rPr>
          <w:rFonts w:eastAsia="Arial Unicode MS" w:cstheme="minorHAnsi"/>
          <w:color w:val="000000"/>
          <w:kern w:val="1"/>
          <w:szCs w:val="28"/>
        </w:rPr>
        <w:t xml:space="preserve">Adresa: </w:t>
      </w:r>
      <w:r>
        <w:rPr>
          <w:rFonts w:eastAsia="Arial Unicode MS" w:cstheme="minorHAnsi"/>
          <w:color w:val="000000"/>
          <w:kern w:val="1"/>
          <w:szCs w:val="28"/>
        </w:rPr>
        <w:t>Kozárovice 37, 277 45 Zálezlice</w:t>
      </w:r>
    </w:p>
    <w:p w14:paraId="58B71AD2" w14:textId="77777777" w:rsidR="0075282B" w:rsidRPr="0051465F" w:rsidRDefault="0075282B" w:rsidP="0075282B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1465F">
        <w:rPr>
          <w:rFonts w:eastAsia="Arial Unicode MS" w:cstheme="minorHAnsi"/>
          <w:color w:val="000000"/>
          <w:kern w:val="1"/>
          <w:szCs w:val="28"/>
        </w:rPr>
        <w:t xml:space="preserve">IČ: </w:t>
      </w:r>
      <w:r>
        <w:rPr>
          <w:rFonts w:eastAsia="Arial Unicode MS" w:cstheme="minorHAnsi"/>
          <w:color w:val="000000"/>
          <w:kern w:val="1"/>
          <w:szCs w:val="28"/>
        </w:rPr>
        <w:t>24160466</w:t>
      </w:r>
    </w:p>
    <w:p w14:paraId="038CD72A" w14:textId="77777777" w:rsidR="0075282B" w:rsidRPr="0051465F" w:rsidRDefault="0075282B" w:rsidP="0075282B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1465F">
        <w:rPr>
          <w:rFonts w:eastAsia="Arial Unicode MS" w:cstheme="minorHAnsi"/>
          <w:color w:val="000000"/>
          <w:kern w:val="1"/>
          <w:szCs w:val="28"/>
        </w:rPr>
        <w:t xml:space="preserve">DIČ: </w:t>
      </w:r>
      <w:r w:rsidRPr="006958D8">
        <w:rPr>
          <w:rFonts w:eastAsia="Arial Unicode MS" w:cstheme="minorHAnsi"/>
          <w:color w:val="000000"/>
          <w:kern w:val="1"/>
          <w:szCs w:val="28"/>
        </w:rPr>
        <w:t>CZ24160466</w:t>
      </w:r>
    </w:p>
    <w:p w14:paraId="4D2716D0" w14:textId="3A8F7659" w:rsidR="0075282B" w:rsidRPr="0051465F" w:rsidRDefault="0075282B" w:rsidP="0075282B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1465F">
        <w:rPr>
          <w:rFonts w:eastAsia="Arial Unicode MS" w:cstheme="minorHAnsi"/>
          <w:color w:val="000000"/>
          <w:kern w:val="1"/>
          <w:szCs w:val="28"/>
        </w:rPr>
        <w:t xml:space="preserve">OR: spis. zn. </w:t>
      </w:r>
      <w:r>
        <w:rPr>
          <w:rFonts w:eastAsia="Arial Unicode MS" w:cstheme="minorHAnsi"/>
          <w:color w:val="000000"/>
          <w:kern w:val="1"/>
          <w:szCs w:val="28"/>
        </w:rPr>
        <w:t>C 184230 vedená u Městského soudu v Praze</w:t>
      </w:r>
      <w:r w:rsidRPr="0051465F">
        <w:rPr>
          <w:rFonts w:eastAsia="Arial Unicode MS" w:cstheme="minorHAnsi"/>
          <w:color w:val="000000"/>
          <w:kern w:val="1"/>
          <w:szCs w:val="28"/>
        </w:rPr>
        <w:br/>
        <w:t xml:space="preserve">Bank. spojení: </w:t>
      </w:r>
      <w:r w:rsidR="00746F51">
        <w:rPr>
          <w:rFonts w:eastAsia="Arial Unicode MS" w:cstheme="minorHAnsi"/>
          <w:color w:val="000000"/>
          <w:kern w:val="1"/>
          <w:szCs w:val="28"/>
        </w:rPr>
        <w:t>XXX</w:t>
      </w:r>
      <w:r w:rsidRPr="006958D8">
        <w:rPr>
          <w:rFonts w:eastAsia="Arial Unicode MS" w:cstheme="minorHAnsi"/>
          <w:color w:val="000000"/>
          <w:kern w:val="1"/>
          <w:szCs w:val="28"/>
        </w:rPr>
        <w:tab/>
      </w:r>
    </w:p>
    <w:p w14:paraId="6FA2F803" w14:textId="40E0D8BA" w:rsidR="0075282B" w:rsidRPr="00491455" w:rsidRDefault="0075282B" w:rsidP="0075282B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1465F">
        <w:rPr>
          <w:rFonts w:eastAsia="Arial Unicode MS" w:cstheme="minorHAnsi"/>
          <w:color w:val="000000"/>
          <w:kern w:val="1"/>
          <w:szCs w:val="28"/>
        </w:rPr>
        <w:t xml:space="preserve">zastoupená: </w:t>
      </w:r>
      <w:r w:rsidR="00746F51">
        <w:rPr>
          <w:rFonts w:eastAsia="Arial Unicode MS" w:cstheme="minorHAnsi"/>
          <w:color w:val="000000"/>
          <w:kern w:val="1"/>
          <w:szCs w:val="28"/>
        </w:rPr>
        <w:t>XXX</w:t>
      </w:r>
      <w:r w:rsidRPr="0051465F">
        <w:rPr>
          <w:rFonts w:eastAsia="Arial Unicode MS" w:cstheme="minorHAnsi"/>
          <w:color w:val="000000"/>
          <w:kern w:val="1"/>
          <w:szCs w:val="28"/>
        </w:rPr>
        <w:t>, jednatel</w:t>
      </w:r>
    </w:p>
    <w:p w14:paraId="5A116BBF" w14:textId="77777777" w:rsidR="0075282B" w:rsidRPr="001D6009" w:rsidRDefault="0075282B" w:rsidP="0075282B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491455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491455">
        <w:rPr>
          <w:rFonts w:eastAsia="Arial Unicode MS" w:cstheme="minorHAnsi"/>
          <w:i/>
          <w:iCs/>
          <w:color w:val="000000"/>
          <w:kern w:val="1"/>
          <w:szCs w:val="28"/>
        </w:rPr>
        <w:t>prodávající</w:t>
      </w:r>
      <w:r w:rsidRPr="00491455">
        <w:rPr>
          <w:rFonts w:eastAsia="Arial Unicode MS" w:cstheme="minorHAnsi"/>
          <w:color w:val="000000"/>
          <w:kern w:val="1"/>
          <w:szCs w:val="28"/>
        </w:rPr>
        <w:t>)</w:t>
      </w:r>
    </w:p>
    <w:p w14:paraId="7D5BF5F6" w14:textId="77777777" w:rsidR="00E026E7" w:rsidRPr="00515E42" w:rsidRDefault="00E026E7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4"/>
          <w:szCs w:val="18"/>
        </w:rPr>
      </w:pPr>
    </w:p>
    <w:p w14:paraId="4C6DEBF8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a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 w:val="14"/>
          <w:szCs w:val="14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77777777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Zelný trh 294/9, Brno 602 00,</w:t>
      </w:r>
    </w:p>
    <w:p w14:paraId="6521AD70" w14:textId="6FDA1678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IČ: 00400921</w:t>
      </w:r>
    </w:p>
    <w:p w14:paraId="7DFB63B5" w14:textId="3319AF4D" w:rsidR="00DA28FD" w:rsidRPr="001D6009" w:rsidRDefault="00DA28FD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OR: spis</w:t>
      </w:r>
      <w:r w:rsidR="009757A8" w:rsidRPr="001D6009">
        <w:rPr>
          <w:rFonts w:eastAsia="Arial Unicode MS" w:cstheme="minorHAnsi"/>
          <w:kern w:val="1"/>
        </w:rPr>
        <w:t>ová</w:t>
      </w:r>
      <w:r w:rsidRPr="001D6009">
        <w:rPr>
          <w:rFonts w:eastAsia="Arial Unicode MS" w:cstheme="minorHAnsi"/>
          <w:kern w:val="1"/>
        </w:rPr>
        <w:t xml:space="preserve"> zn</w:t>
      </w:r>
      <w:r w:rsidR="009757A8" w:rsidRPr="001D6009">
        <w:rPr>
          <w:rFonts w:eastAsia="Arial Unicode MS" w:cstheme="minorHAnsi"/>
          <w:kern w:val="1"/>
        </w:rPr>
        <w:t>ačka</w:t>
      </w:r>
      <w:r w:rsidRPr="001D6009">
        <w:rPr>
          <w:rFonts w:eastAsia="Arial Unicode MS" w:cstheme="minorHAnsi"/>
          <w:kern w:val="1"/>
        </w:rPr>
        <w:t xml:space="preserve"> </w:t>
      </w:r>
      <w:proofErr w:type="spellStart"/>
      <w:r w:rsidRPr="001D6009">
        <w:rPr>
          <w:rFonts w:eastAsia="Arial Unicode MS" w:cstheme="minorHAnsi"/>
          <w:kern w:val="1"/>
        </w:rPr>
        <w:t>Pr</w:t>
      </w:r>
      <w:proofErr w:type="spellEnd"/>
      <w:r w:rsidRPr="001D6009">
        <w:rPr>
          <w:rFonts w:eastAsia="Arial Unicode MS" w:cstheme="minorHAnsi"/>
          <w:kern w:val="1"/>
        </w:rPr>
        <w:t xml:space="preserve"> 29</w:t>
      </w:r>
      <w:r w:rsidR="009757A8" w:rsidRPr="001D6009">
        <w:rPr>
          <w:rFonts w:eastAsia="Arial Unicode MS" w:cstheme="minorHAnsi"/>
          <w:kern w:val="1"/>
        </w:rPr>
        <w:t xml:space="preserve"> vedená u </w:t>
      </w:r>
      <w:r w:rsidRPr="001D6009">
        <w:rPr>
          <w:rFonts w:eastAsia="Arial Unicode MS" w:cstheme="minorHAnsi"/>
          <w:kern w:val="1"/>
        </w:rPr>
        <w:t>Krajsk</w:t>
      </w:r>
      <w:r w:rsidR="009757A8" w:rsidRPr="001D6009">
        <w:rPr>
          <w:rFonts w:eastAsia="Arial Unicode MS" w:cstheme="minorHAnsi"/>
          <w:kern w:val="1"/>
        </w:rPr>
        <w:t>ého</w:t>
      </w:r>
      <w:r w:rsidRPr="001D6009">
        <w:rPr>
          <w:rFonts w:eastAsia="Arial Unicode MS" w:cstheme="minorHAnsi"/>
          <w:kern w:val="1"/>
        </w:rPr>
        <w:t xml:space="preserve"> soud</w:t>
      </w:r>
      <w:r w:rsidR="009757A8" w:rsidRPr="001D6009">
        <w:rPr>
          <w:rFonts w:eastAsia="Arial Unicode MS" w:cstheme="minorHAnsi"/>
          <w:kern w:val="1"/>
        </w:rPr>
        <w:t>u</w:t>
      </w:r>
      <w:r w:rsidRPr="001D6009">
        <w:rPr>
          <w:rFonts w:eastAsia="Arial Unicode MS" w:cstheme="minorHAnsi"/>
          <w:kern w:val="1"/>
        </w:rPr>
        <w:t xml:space="preserve"> v Brně</w:t>
      </w:r>
    </w:p>
    <w:p w14:paraId="3273D7B5" w14:textId="1CCC7EB5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 xml:space="preserve">Bank. spojení: </w:t>
      </w:r>
      <w:r w:rsidR="00746F51">
        <w:rPr>
          <w:rFonts w:eastAsia="Arial Unicode MS" w:cstheme="minorHAnsi"/>
          <w:kern w:val="1"/>
        </w:rPr>
        <w:t>XXX</w:t>
      </w:r>
    </w:p>
    <w:p w14:paraId="2127077C" w14:textId="30C0C240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</w:rPr>
        <w:t xml:space="preserve">zastoupená: MgA. </w:t>
      </w:r>
      <w:r w:rsidR="0075282B">
        <w:rPr>
          <w:rFonts w:eastAsia="Arial Unicode MS" w:cstheme="minorHAnsi"/>
          <w:color w:val="000000"/>
          <w:kern w:val="1"/>
        </w:rPr>
        <w:t xml:space="preserve">Jan </w:t>
      </w:r>
      <w:proofErr w:type="spellStart"/>
      <w:r w:rsidR="0075282B">
        <w:rPr>
          <w:rFonts w:eastAsia="Arial Unicode MS" w:cstheme="minorHAnsi"/>
          <w:color w:val="000000"/>
          <w:kern w:val="1"/>
        </w:rPr>
        <w:t>Búrik</w:t>
      </w:r>
      <w:proofErr w:type="spellEnd"/>
      <w:r w:rsidRPr="001D6009">
        <w:rPr>
          <w:rFonts w:eastAsia="Arial Unicode MS" w:cstheme="minorHAnsi"/>
          <w:color w:val="000000"/>
          <w:kern w:val="1"/>
        </w:rPr>
        <w:t>, ředitel organizace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1D6009">
        <w:rPr>
          <w:rFonts w:eastAsia="Arial Unicode MS" w:cstheme="minorHAnsi"/>
          <w:i/>
          <w:iCs/>
          <w:color w:val="000000"/>
          <w:kern w:val="1"/>
          <w:szCs w:val="28"/>
        </w:rPr>
        <w:t>kupující</w:t>
      </w:r>
      <w:r w:rsidRPr="001D6009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515E42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0197CCF6" w14:textId="3F7DCFD2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uzavírají tuto kupní smlouvu: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5735769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8D0029" w:rsidRPr="001D6009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19F10C42" w14:textId="77777777" w:rsidR="00DA28FD" w:rsidRPr="00515E42" w:rsidRDefault="00DA28FD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63E57B91" w14:textId="15F86A1E" w:rsidR="001D6009" w:rsidRDefault="0044313E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Předmětem </w:t>
      </w:r>
      <w:r w:rsidR="00C0744A" w:rsidRPr="001D6009">
        <w:rPr>
          <w:rFonts w:eastAsia="Arial Unicode MS" w:cstheme="minorHAnsi"/>
          <w:color w:val="000000"/>
          <w:kern w:val="1"/>
          <w:szCs w:val="28"/>
        </w:rPr>
        <w:t xml:space="preserve">smlouvy je </w:t>
      </w:r>
      <w:r w:rsidR="001D6009" w:rsidRPr="001D6009">
        <w:rPr>
          <w:rFonts w:eastAsia="Arial Unicode MS" w:cstheme="minorHAnsi"/>
          <w:color w:val="000000"/>
          <w:kern w:val="1"/>
          <w:szCs w:val="28"/>
        </w:rPr>
        <w:t xml:space="preserve">dodání </w:t>
      </w:r>
      <w:r w:rsidR="0075282B">
        <w:rPr>
          <w:rFonts w:eastAsia="Arial Unicode MS" w:cstheme="minorHAnsi"/>
          <w:color w:val="000000"/>
          <w:kern w:val="1"/>
          <w:szCs w:val="28"/>
        </w:rPr>
        <w:t>světelné techniky</w:t>
      </w:r>
      <w:r w:rsidR="006C0A2B" w:rsidRPr="001D6009">
        <w:rPr>
          <w:rFonts w:eastAsia="Arial Unicode MS" w:cstheme="minorHAnsi"/>
          <w:color w:val="000000"/>
          <w:kern w:val="1"/>
          <w:szCs w:val="28"/>
        </w:rPr>
        <w:t xml:space="preserve"> pro Centrum experimentálního divadla, p. o. (</w:t>
      </w:r>
      <w:r w:rsidR="0075282B">
        <w:rPr>
          <w:rFonts w:eastAsia="Arial Unicode MS" w:cstheme="minorHAnsi"/>
          <w:color w:val="000000"/>
          <w:kern w:val="1"/>
          <w:szCs w:val="28"/>
        </w:rPr>
        <w:t>Divadlo Husa na provázku</w:t>
      </w:r>
      <w:r w:rsidR="00C0744A" w:rsidRPr="001D6009">
        <w:rPr>
          <w:rFonts w:eastAsia="Arial Unicode MS" w:cstheme="minorHAnsi"/>
          <w:color w:val="000000"/>
          <w:kern w:val="1"/>
          <w:szCs w:val="28"/>
        </w:rPr>
        <w:t>)</w:t>
      </w:r>
      <w:r w:rsidR="00BA2A12">
        <w:rPr>
          <w:rFonts w:eastAsia="Arial Unicode MS" w:cstheme="minorHAnsi"/>
          <w:color w:val="000000"/>
          <w:kern w:val="1"/>
          <w:szCs w:val="28"/>
        </w:rPr>
        <w:t xml:space="preserve"> dle následující specifikace:</w:t>
      </w:r>
    </w:p>
    <w:p w14:paraId="3CDC3A8E" w14:textId="67BF2C74" w:rsidR="00F81A1A" w:rsidRPr="00515E42" w:rsidRDefault="00F81A1A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4874C13F" w14:textId="246BE8B5" w:rsidR="00BA2A12" w:rsidRPr="0075282B" w:rsidRDefault="0075282B" w:rsidP="0075282B">
      <w:pPr>
        <w:pStyle w:val="Odstavecseseznamem"/>
        <w:numPr>
          <w:ilvl w:val="1"/>
          <w:numId w:val="17"/>
        </w:numPr>
        <w:rPr>
          <w:rFonts w:cstheme="minorHAnsi"/>
          <w:color w:val="000000"/>
          <w:sz w:val="20"/>
        </w:rPr>
      </w:pPr>
      <w:r>
        <w:rPr>
          <w:rFonts w:cstheme="minorHAnsi"/>
          <w:color w:val="000000"/>
          <w:szCs w:val="28"/>
        </w:rPr>
        <w:t xml:space="preserve">2x LED </w:t>
      </w:r>
      <w:proofErr w:type="spellStart"/>
      <w:r>
        <w:rPr>
          <w:rFonts w:cstheme="minorHAnsi"/>
          <w:color w:val="000000"/>
          <w:szCs w:val="28"/>
        </w:rPr>
        <w:t>wash</w:t>
      </w:r>
      <w:proofErr w:type="spellEnd"/>
      <w:r>
        <w:rPr>
          <w:rFonts w:cstheme="minorHAnsi"/>
          <w:color w:val="000000"/>
          <w:szCs w:val="28"/>
        </w:rPr>
        <w:t xml:space="preserve"> otočná hlava</w:t>
      </w:r>
    </w:p>
    <w:p w14:paraId="3EA9838B" w14:textId="7DC4666D" w:rsidR="0075282B" w:rsidRPr="0075282B" w:rsidRDefault="0075282B" w:rsidP="0075282B">
      <w:pPr>
        <w:pStyle w:val="Odstavecseseznamem"/>
        <w:numPr>
          <w:ilvl w:val="1"/>
          <w:numId w:val="17"/>
        </w:numPr>
        <w:rPr>
          <w:rFonts w:cstheme="minorHAnsi"/>
          <w:color w:val="000000"/>
          <w:sz w:val="20"/>
        </w:rPr>
      </w:pPr>
      <w:r>
        <w:rPr>
          <w:rFonts w:cstheme="minorHAnsi"/>
          <w:color w:val="000000"/>
          <w:szCs w:val="28"/>
        </w:rPr>
        <w:t>1x kufr pro obě uvedená světla</w:t>
      </w:r>
    </w:p>
    <w:p w14:paraId="249F379B" w14:textId="77777777" w:rsidR="0075282B" w:rsidRPr="00515E42" w:rsidRDefault="0075282B" w:rsidP="0075282B">
      <w:pPr>
        <w:pStyle w:val="Odstavecseseznamem"/>
        <w:ind w:left="1440"/>
        <w:rPr>
          <w:rFonts w:cstheme="minorHAnsi"/>
          <w:color w:val="000000"/>
          <w:sz w:val="20"/>
        </w:rPr>
      </w:pPr>
    </w:p>
    <w:p w14:paraId="19F3A548" w14:textId="6F7754A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II. </w:t>
      </w:r>
    </w:p>
    <w:p w14:paraId="33188CFB" w14:textId="5CE161F2" w:rsidR="0044313E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Kupní cena</w:t>
      </w:r>
    </w:p>
    <w:p w14:paraId="4D7761DF" w14:textId="77F2837F" w:rsidR="00BC02FA" w:rsidRPr="00515E42" w:rsidRDefault="00BC02FA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1084"/>
        <w:gridCol w:w="1326"/>
        <w:gridCol w:w="1463"/>
        <w:gridCol w:w="1513"/>
      </w:tblGrid>
      <w:tr w:rsidR="00B517E0" w14:paraId="5A6DAFCA" w14:textId="4A5ED09B" w:rsidTr="00B517E0">
        <w:tc>
          <w:tcPr>
            <w:tcW w:w="4253" w:type="dxa"/>
          </w:tcPr>
          <w:p w14:paraId="41BBC372" w14:textId="23A8F472" w:rsidR="00B517E0" w:rsidRDefault="00B517E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Název položky</w:t>
            </w:r>
          </w:p>
        </w:tc>
        <w:tc>
          <w:tcPr>
            <w:tcW w:w="1084" w:type="dxa"/>
          </w:tcPr>
          <w:p w14:paraId="5B45B94A" w14:textId="472EB18B" w:rsidR="00B517E0" w:rsidRDefault="00B517E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Množství</w:t>
            </w:r>
          </w:p>
        </w:tc>
        <w:tc>
          <w:tcPr>
            <w:tcW w:w="1326" w:type="dxa"/>
          </w:tcPr>
          <w:p w14:paraId="7E5DD46E" w14:textId="61AF6EE7" w:rsidR="00B517E0" w:rsidRDefault="00B517E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Cena za ks bez DPH</w:t>
            </w:r>
          </w:p>
        </w:tc>
        <w:tc>
          <w:tcPr>
            <w:tcW w:w="1463" w:type="dxa"/>
          </w:tcPr>
          <w:p w14:paraId="2CE4A3D3" w14:textId="60317D79" w:rsidR="00B517E0" w:rsidRDefault="00B517E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Cena celkem bez DPH</w:t>
            </w:r>
          </w:p>
        </w:tc>
        <w:tc>
          <w:tcPr>
            <w:tcW w:w="1513" w:type="dxa"/>
          </w:tcPr>
          <w:p w14:paraId="3275A379" w14:textId="3DEC2751" w:rsidR="00B517E0" w:rsidRDefault="00B517E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Cena celkem včetně DPH</w:t>
            </w:r>
          </w:p>
        </w:tc>
      </w:tr>
      <w:tr w:rsidR="00B517E0" w:rsidRPr="00F81A1A" w14:paraId="1FE88C2C" w14:textId="660D38A3" w:rsidTr="00B517E0">
        <w:tc>
          <w:tcPr>
            <w:tcW w:w="4253" w:type="dxa"/>
          </w:tcPr>
          <w:p w14:paraId="13D6FD0F" w14:textId="77777777" w:rsidR="0075282B" w:rsidRPr="0075282B" w:rsidRDefault="0075282B" w:rsidP="0075282B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</w:pPr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CL</w:t>
            </w:r>
            <w:proofErr w:type="gramStart"/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3020:MINI</w:t>
            </w:r>
            <w:proofErr w:type="gramEnd"/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-B WW, 7 x 40W Warm</w:t>
            </w:r>
          </w:p>
          <w:p w14:paraId="39B6DEEC" w14:textId="77777777" w:rsidR="0075282B" w:rsidRPr="0075282B" w:rsidRDefault="0075282B" w:rsidP="0075282B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</w:pPr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 xml:space="preserve">White LEDs (50000 </w:t>
            </w:r>
            <w:proofErr w:type="spellStart"/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hrs</w:t>
            </w:r>
            <w:proofErr w:type="spellEnd"/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 xml:space="preserve">, L70 20000 </w:t>
            </w:r>
            <w:proofErr w:type="spellStart"/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hrs</w:t>
            </w:r>
            <w:proofErr w:type="spellEnd"/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).</w:t>
            </w:r>
          </w:p>
          <w:p w14:paraId="6E9F045D" w14:textId="3792DF99" w:rsidR="00B517E0" w:rsidRPr="00515E42" w:rsidRDefault="0075282B" w:rsidP="0075282B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</w:pPr>
            <w:r w:rsidRPr="0075282B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3420lm output (integrating sphere)</w:t>
            </w:r>
          </w:p>
        </w:tc>
        <w:tc>
          <w:tcPr>
            <w:tcW w:w="1084" w:type="dxa"/>
            <w:vAlign w:val="center"/>
          </w:tcPr>
          <w:p w14:paraId="657759DF" w14:textId="1898BE96" w:rsidR="00B517E0" w:rsidRPr="00515E42" w:rsidRDefault="0075282B" w:rsidP="001037C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14:paraId="7D3E4A23" w14:textId="15154AF3" w:rsidR="00B517E0" w:rsidRPr="00B517E0" w:rsidRDefault="0075282B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32 923,80</w:t>
            </w:r>
          </w:p>
        </w:tc>
        <w:tc>
          <w:tcPr>
            <w:tcW w:w="1463" w:type="dxa"/>
            <w:vAlign w:val="center"/>
          </w:tcPr>
          <w:p w14:paraId="09050048" w14:textId="28E1C9A5" w:rsidR="00B517E0" w:rsidRPr="00B517E0" w:rsidRDefault="0075282B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65 847,60</w:t>
            </w:r>
          </w:p>
        </w:tc>
        <w:tc>
          <w:tcPr>
            <w:tcW w:w="1513" w:type="dxa"/>
            <w:vAlign w:val="center"/>
          </w:tcPr>
          <w:p w14:paraId="2442C3B2" w14:textId="0684FA1F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79 675,60</w:t>
            </w:r>
          </w:p>
        </w:tc>
      </w:tr>
      <w:tr w:rsidR="00B517E0" w:rsidRPr="00F81A1A" w14:paraId="736F3DF6" w14:textId="305A4E85" w:rsidTr="00B517E0">
        <w:tc>
          <w:tcPr>
            <w:tcW w:w="4253" w:type="dxa"/>
          </w:tcPr>
          <w:p w14:paraId="3CAD609A" w14:textId="372D02C3" w:rsidR="00B517E0" w:rsidRPr="00515E42" w:rsidRDefault="00554C7E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</w:pPr>
            <w:r w:rsidRPr="00554C7E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F21316/</w:t>
            </w:r>
            <w:proofErr w:type="gramStart"/>
            <w:r w:rsidRPr="00554C7E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001:Foam</w:t>
            </w:r>
            <w:proofErr w:type="gramEnd"/>
            <w:r w:rsidRPr="00554C7E"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 xml:space="preserve"> Shell for Mini-B</w:t>
            </w:r>
          </w:p>
        </w:tc>
        <w:tc>
          <w:tcPr>
            <w:tcW w:w="1084" w:type="dxa"/>
            <w:vAlign w:val="center"/>
          </w:tcPr>
          <w:p w14:paraId="625FC3F8" w14:textId="03B1ADFC" w:rsidR="00B517E0" w:rsidRPr="00515E42" w:rsidRDefault="00554C7E" w:rsidP="001037C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14:paraId="0EEDDAA3" w14:textId="110AF65B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1 138,80</w:t>
            </w:r>
          </w:p>
        </w:tc>
        <w:tc>
          <w:tcPr>
            <w:tcW w:w="1463" w:type="dxa"/>
            <w:vAlign w:val="center"/>
          </w:tcPr>
          <w:p w14:paraId="55E95503" w14:textId="0CC2A14B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2 277,60</w:t>
            </w:r>
          </w:p>
        </w:tc>
        <w:tc>
          <w:tcPr>
            <w:tcW w:w="1513" w:type="dxa"/>
            <w:vAlign w:val="center"/>
          </w:tcPr>
          <w:p w14:paraId="13830967" w14:textId="2A0DB499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2 755,90</w:t>
            </w:r>
          </w:p>
        </w:tc>
      </w:tr>
      <w:tr w:rsidR="00B517E0" w:rsidRPr="00F81A1A" w14:paraId="47CF5782" w14:textId="250C7A07" w:rsidTr="00B517E0">
        <w:trPr>
          <w:trHeight w:val="58"/>
        </w:trPr>
        <w:tc>
          <w:tcPr>
            <w:tcW w:w="4253" w:type="dxa"/>
          </w:tcPr>
          <w:p w14:paraId="018B8E7A" w14:textId="30B3FB05" w:rsidR="00B517E0" w:rsidRPr="00515E42" w:rsidRDefault="00554C7E" w:rsidP="00B6063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 w:rsidRPr="00554C7E"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Case na 2 ks Mini-B</w:t>
            </w:r>
          </w:p>
        </w:tc>
        <w:tc>
          <w:tcPr>
            <w:tcW w:w="1084" w:type="dxa"/>
            <w:vAlign w:val="center"/>
          </w:tcPr>
          <w:p w14:paraId="61E59A30" w14:textId="6AD624C1" w:rsidR="00B517E0" w:rsidRPr="00515E42" w:rsidRDefault="00554C7E" w:rsidP="001037C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4059024C" w14:textId="6595959B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14 500,00</w:t>
            </w:r>
          </w:p>
        </w:tc>
        <w:tc>
          <w:tcPr>
            <w:tcW w:w="1463" w:type="dxa"/>
            <w:vAlign w:val="center"/>
          </w:tcPr>
          <w:p w14:paraId="31BA0144" w14:textId="69547DFD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14 500,00</w:t>
            </w:r>
          </w:p>
        </w:tc>
        <w:tc>
          <w:tcPr>
            <w:tcW w:w="1513" w:type="dxa"/>
            <w:vAlign w:val="center"/>
          </w:tcPr>
          <w:p w14:paraId="6AB22E90" w14:textId="7BD9DEB7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17 545,00</w:t>
            </w:r>
          </w:p>
        </w:tc>
      </w:tr>
      <w:tr w:rsidR="00B517E0" w:rsidRPr="00F81A1A" w14:paraId="1620B220" w14:textId="50B14A37" w:rsidTr="00B517E0">
        <w:tc>
          <w:tcPr>
            <w:tcW w:w="4253" w:type="dxa"/>
          </w:tcPr>
          <w:p w14:paraId="6A5515CF" w14:textId="56AE4686" w:rsidR="00B517E0" w:rsidRPr="00515E42" w:rsidRDefault="00B517E0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 w:rsidRPr="00515E42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Cena celkem bez DPH</w:t>
            </w:r>
          </w:p>
        </w:tc>
        <w:tc>
          <w:tcPr>
            <w:tcW w:w="5386" w:type="dxa"/>
            <w:gridSpan w:val="4"/>
            <w:vAlign w:val="center"/>
          </w:tcPr>
          <w:p w14:paraId="3C78FC25" w14:textId="3FB85844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82 625,20</w:t>
            </w:r>
          </w:p>
        </w:tc>
      </w:tr>
      <w:tr w:rsidR="00B517E0" w:rsidRPr="00F81A1A" w14:paraId="6F17101E" w14:textId="086DDAF5" w:rsidTr="00B15043">
        <w:tc>
          <w:tcPr>
            <w:tcW w:w="4253" w:type="dxa"/>
          </w:tcPr>
          <w:p w14:paraId="5A41BD48" w14:textId="3FF97F27" w:rsidR="00B517E0" w:rsidRPr="00515E42" w:rsidRDefault="00B517E0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 w:rsidRPr="00515E42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DPH 21 %</w:t>
            </w:r>
          </w:p>
        </w:tc>
        <w:tc>
          <w:tcPr>
            <w:tcW w:w="5386" w:type="dxa"/>
            <w:gridSpan w:val="4"/>
            <w:vAlign w:val="center"/>
          </w:tcPr>
          <w:p w14:paraId="79758F5D" w14:textId="14C2A93A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17 351,30</w:t>
            </w:r>
          </w:p>
        </w:tc>
      </w:tr>
      <w:tr w:rsidR="00B517E0" w:rsidRPr="00F81A1A" w14:paraId="4A5139CD" w14:textId="2E09E2FD" w:rsidTr="00B517E0">
        <w:tc>
          <w:tcPr>
            <w:tcW w:w="4253" w:type="dxa"/>
          </w:tcPr>
          <w:p w14:paraId="339A3C75" w14:textId="01DE3BD3" w:rsidR="00B517E0" w:rsidRPr="00515E42" w:rsidRDefault="00B517E0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 w:rsidRPr="00515E42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CENA CELKEM VČ. DPH</w:t>
            </w:r>
          </w:p>
        </w:tc>
        <w:tc>
          <w:tcPr>
            <w:tcW w:w="5386" w:type="dxa"/>
            <w:gridSpan w:val="4"/>
            <w:vAlign w:val="center"/>
          </w:tcPr>
          <w:p w14:paraId="4C55D5A8" w14:textId="203264E4" w:rsidR="00B517E0" w:rsidRPr="00B517E0" w:rsidRDefault="00554C7E" w:rsidP="00B517E0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99 976,50</w:t>
            </w:r>
          </w:p>
        </w:tc>
      </w:tr>
    </w:tbl>
    <w:p w14:paraId="2DAB9706" w14:textId="77777777" w:rsidR="00BC02FA" w:rsidRPr="00515E42" w:rsidRDefault="00BC02FA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8"/>
        </w:rPr>
      </w:pPr>
    </w:p>
    <w:p w14:paraId="23309EBC" w14:textId="6BF667FC" w:rsidR="00C153ED" w:rsidRPr="00FB5EE5" w:rsidRDefault="00C153ED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81A1A">
        <w:rPr>
          <w:rFonts w:eastAsia="Arial Unicode MS" w:cstheme="minorHAnsi"/>
          <w:color w:val="000000"/>
          <w:kern w:val="1"/>
          <w:szCs w:val="28"/>
        </w:rPr>
        <w:t xml:space="preserve">Kupující se zavazuje zaplatit prodávajícímu </w:t>
      </w:r>
      <w:r w:rsidRPr="00B517E0">
        <w:rPr>
          <w:rFonts w:eastAsia="Arial Unicode MS" w:cstheme="minorHAnsi"/>
          <w:color w:val="000000"/>
          <w:kern w:val="1"/>
          <w:szCs w:val="28"/>
        </w:rPr>
        <w:t>sjednanou cenu a to:</w:t>
      </w:r>
      <w:r w:rsidR="00BA2A12" w:rsidRPr="00B517E0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554C7E">
        <w:rPr>
          <w:rFonts w:eastAsia="Arial Unicode MS" w:cstheme="minorHAnsi"/>
          <w:b/>
          <w:bCs/>
          <w:color w:val="000000"/>
          <w:kern w:val="1"/>
          <w:szCs w:val="28"/>
        </w:rPr>
        <w:t>99 976,50</w:t>
      </w:r>
      <w:r w:rsidR="00FB5EE5" w:rsidRPr="00B517E0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B517E0">
        <w:rPr>
          <w:rFonts w:eastAsia="Arial Unicode MS" w:cstheme="minorHAnsi"/>
          <w:b/>
          <w:bCs/>
          <w:color w:val="000000"/>
          <w:kern w:val="1"/>
          <w:szCs w:val="28"/>
        </w:rPr>
        <w:t xml:space="preserve">Kč </w:t>
      </w:r>
      <w:r w:rsidR="009E426E" w:rsidRPr="00B517E0">
        <w:rPr>
          <w:rFonts w:eastAsia="Arial Unicode MS" w:cstheme="minorHAnsi"/>
          <w:b/>
          <w:bCs/>
          <w:color w:val="000000"/>
          <w:kern w:val="1"/>
          <w:szCs w:val="28"/>
        </w:rPr>
        <w:t>včetně DPH</w:t>
      </w:r>
      <w:r w:rsidR="009E426E" w:rsidRPr="00B517E0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B517E0">
        <w:rPr>
          <w:rFonts w:eastAsia="Arial Unicode MS" w:cstheme="minorHAnsi"/>
          <w:color w:val="000000"/>
          <w:kern w:val="1"/>
          <w:szCs w:val="28"/>
        </w:rPr>
        <w:t xml:space="preserve">(slovy: </w:t>
      </w:r>
      <w:r w:rsidR="00554C7E">
        <w:rPr>
          <w:rFonts w:eastAsia="Arial Unicode MS" w:cstheme="minorHAnsi"/>
          <w:color w:val="000000"/>
          <w:kern w:val="1"/>
          <w:szCs w:val="28"/>
        </w:rPr>
        <w:t>devadesát devět tisíc devět set sedmdesát šest korun českých a padesát haléřů</w:t>
      </w:r>
      <w:r w:rsidRPr="00B517E0">
        <w:rPr>
          <w:rFonts w:eastAsia="Arial Unicode MS" w:cstheme="minorHAnsi"/>
          <w:color w:val="000000"/>
          <w:kern w:val="1"/>
          <w:szCs w:val="28"/>
        </w:rPr>
        <w:t>). V ceně je zahrnuta doprav</w:t>
      </w:r>
      <w:r w:rsidR="001F0630" w:rsidRPr="00B517E0">
        <w:rPr>
          <w:rFonts w:eastAsia="Arial Unicode MS" w:cstheme="minorHAnsi"/>
          <w:color w:val="000000"/>
          <w:kern w:val="1"/>
          <w:szCs w:val="28"/>
        </w:rPr>
        <w:t>a</w:t>
      </w:r>
      <w:r w:rsidR="00CE738F" w:rsidRPr="00B517E0">
        <w:rPr>
          <w:rFonts w:eastAsia="Arial Unicode MS" w:cstheme="minorHAnsi"/>
          <w:color w:val="000000"/>
          <w:kern w:val="1"/>
          <w:szCs w:val="28"/>
        </w:rPr>
        <w:t>.</w:t>
      </w:r>
    </w:p>
    <w:p w14:paraId="5B230770" w14:textId="07AE4561" w:rsidR="0044313E" w:rsidRDefault="0044313E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B5EE5">
        <w:rPr>
          <w:rFonts w:eastAsia="Arial Unicode MS" w:cstheme="minorHAnsi"/>
          <w:color w:val="000000"/>
          <w:kern w:val="1"/>
          <w:szCs w:val="28"/>
        </w:rPr>
        <w:t>Celková částka bude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 xml:space="preserve"> prodávajícím</w:t>
      </w:r>
      <w:r w:rsidRPr="00FB5EE5">
        <w:rPr>
          <w:rFonts w:eastAsia="Arial Unicode MS" w:cstheme="minorHAnsi"/>
          <w:color w:val="000000"/>
          <w:kern w:val="1"/>
          <w:szCs w:val="28"/>
        </w:rPr>
        <w:t xml:space="preserve"> vyčíslena na daňovém dokladu – faktuře, kterou kupující uhradí 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>po dodání</w:t>
      </w:r>
      <w:r w:rsidR="009E426E" w:rsidRPr="001D6009">
        <w:rPr>
          <w:rFonts w:eastAsia="Arial Unicode MS" w:cstheme="minorHAnsi"/>
          <w:color w:val="000000"/>
          <w:kern w:val="1"/>
          <w:szCs w:val="28"/>
        </w:rPr>
        <w:t xml:space="preserve"> předmětu smlouvy ve stanoveném datu splatnosti</w:t>
      </w:r>
      <w:r w:rsidRPr="001D6009">
        <w:rPr>
          <w:rFonts w:eastAsia="Arial Unicode MS" w:cstheme="minorHAnsi"/>
          <w:color w:val="000000"/>
          <w:kern w:val="1"/>
          <w:szCs w:val="28"/>
        </w:rPr>
        <w:t>.</w:t>
      </w:r>
    </w:p>
    <w:p w14:paraId="43A83D9B" w14:textId="77777777" w:rsidR="00123B75" w:rsidRPr="00515E42" w:rsidRDefault="00123B75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01754A71" w14:textId="77777777" w:rsidR="00B517E0" w:rsidRDefault="00B517E0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4B5CBB3A" w14:textId="77777777" w:rsidR="00B517E0" w:rsidRDefault="00B517E0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01B5C206" w14:textId="0BB5752B" w:rsidR="0044313E" w:rsidRPr="001D6009" w:rsidRDefault="0044313E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III.</w:t>
      </w:r>
    </w:p>
    <w:p w14:paraId="34E120B2" w14:textId="7058A066" w:rsidR="0044313E" w:rsidRPr="001D6009" w:rsidRDefault="0044313E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Doba a způsob dodání zboží</w:t>
      </w:r>
    </w:p>
    <w:p w14:paraId="130E4C6A" w14:textId="77777777" w:rsidR="00C153ED" w:rsidRPr="00515E42" w:rsidRDefault="00C153ED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p w14:paraId="320F1B47" w14:textId="7249FB79" w:rsidR="00C153ED" w:rsidRPr="001D6009" w:rsidRDefault="00C153ED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BC02FA">
        <w:rPr>
          <w:rFonts w:eastAsia="Arial Unicode MS" w:cstheme="minorHAnsi"/>
          <w:color w:val="000000"/>
          <w:kern w:val="1"/>
          <w:szCs w:val="28"/>
        </w:rPr>
        <w:t xml:space="preserve">Prodávající se zavazuje dodat předmět </w:t>
      </w:r>
      <w:r w:rsidR="001D731A" w:rsidRPr="00BC02FA">
        <w:rPr>
          <w:rFonts w:eastAsia="Arial Unicode MS" w:cstheme="minorHAnsi"/>
          <w:color w:val="000000"/>
          <w:kern w:val="1"/>
          <w:szCs w:val="28"/>
        </w:rPr>
        <w:t>smlouvy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kupujícímu </w:t>
      </w:r>
      <w:r w:rsidRPr="00BC02FA">
        <w:rPr>
          <w:rFonts w:eastAsia="Arial Unicode MS" w:cstheme="minorHAnsi"/>
          <w:b/>
          <w:bCs/>
          <w:color w:val="000000"/>
          <w:kern w:val="1"/>
          <w:szCs w:val="28"/>
        </w:rPr>
        <w:t xml:space="preserve">nejpozději </w:t>
      </w:r>
      <w:r w:rsidR="003D7FAD" w:rsidRPr="009C0B95">
        <w:rPr>
          <w:rFonts w:eastAsia="Arial Unicode MS" w:cstheme="minorHAnsi"/>
          <w:b/>
          <w:bCs/>
          <w:color w:val="000000"/>
          <w:kern w:val="1"/>
          <w:szCs w:val="28"/>
        </w:rPr>
        <w:t xml:space="preserve">do </w:t>
      </w:r>
      <w:r w:rsidR="0075282B">
        <w:rPr>
          <w:rFonts w:eastAsia="Arial Unicode MS" w:cstheme="minorHAnsi"/>
          <w:b/>
          <w:bCs/>
          <w:color w:val="000000"/>
          <w:kern w:val="1"/>
          <w:szCs w:val="28"/>
        </w:rPr>
        <w:t>27</w:t>
      </w:r>
      <w:r w:rsidR="003D7FAD" w:rsidRPr="009C0B95">
        <w:rPr>
          <w:rFonts w:eastAsia="Arial Unicode MS" w:cstheme="minorHAnsi"/>
          <w:b/>
          <w:bCs/>
          <w:color w:val="000000"/>
          <w:kern w:val="1"/>
          <w:szCs w:val="28"/>
        </w:rPr>
        <w:t xml:space="preserve">. </w:t>
      </w:r>
      <w:r w:rsidR="0075282B">
        <w:rPr>
          <w:rFonts w:eastAsia="Arial Unicode MS" w:cstheme="minorHAnsi"/>
          <w:b/>
          <w:bCs/>
          <w:color w:val="000000"/>
          <w:kern w:val="1"/>
          <w:szCs w:val="28"/>
        </w:rPr>
        <w:t>12</w:t>
      </w:r>
      <w:r w:rsidR="009C0B95" w:rsidRPr="009C0B95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  <w:r w:rsidR="003D7FAD" w:rsidRPr="009C0B95">
        <w:rPr>
          <w:rFonts w:eastAsia="Arial Unicode MS" w:cstheme="minorHAnsi"/>
          <w:b/>
          <w:bCs/>
          <w:color w:val="000000"/>
          <w:kern w:val="1"/>
          <w:szCs w:val="28"/>
        </w:rPr>
        <w:t xml:space="preserve"> 202</w:t>
      </w:r>
      <w:r w:rsidR="00B517E0">
        <w:rPr>
          <w:rFonts w:eastAsia="Arial Unicode MS" w:cstheme="minorHAnsi"/>
          <w:b/>
          <w:bCs/>
          <w:color w:val="000000"/>
          <w:kern w:val="1"/>
          <w:szCs w:val="28"/>
        </w:rPr>
        <w:t>4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na adresu </w:t>
      </w:r>
      <w:r w:rsidR="00B517E0">
        <w:rPr>
          <w:rFonts w:eastAsia="Arial Unicode MS" w:cstheme="minorHAnsi"/>
          <w:color w:val="000000"/>
          <w:kern w:val="1"/>
          <w:szCs w:val="28"/>
        </w:rPr>
        <w:t>Centra experimentálního divadla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(Zelný trh 9, Brno). </w:t>
      </w:r>
    </w:p>
    <w:p w14:paraId="4C863816" w14:textId="77777777" w:rsidR="00C153ED" w:rsidRPr="00515E42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p w14:paraId="035255E3" w14:textId="77777777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08B591C0" w14:textId="77777777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Záruka</w:t>
      </w:r>
    </w:p>
    <w:p w14:paraId="38A533A4" w14:textId="77777777" w:rsidR="00C153ED" w:rsidRPr="00515E42" w:rsidRDefault="00C153ED" w:rsidP="00C153ED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48B577E6" w14:textId="1891720B" w:rsidR="00C153ED" w:rsidRPr="001D6009" w:rsidRDefault="00C153ED" w:rsidP="00C153ED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Platí záruční podmínky výrobce, minimálně však 24 měsíců. Záruka se vztahuje na závady způsobené vadou materiálu nebo chybou zpracování. Záruka se nevztahuje na mechanické poškození, užívání výrobku k jiným účelům, než ke kterým je určen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či v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podmínkách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které přesahují běžné používání, užívání výrobku v rozporu s návodem k obsluze, běžné opotřebení.</w:t>
      </w:r>
    </w:p>
    <w:p w14:paraId="5893DCC7" w14:textId="77777777" w:rsidR="00C153ED" w:rsidRPr="00515E42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p w14:paraId="0AB6D977" w14:textId="28FCBF11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V.</w:t>
      </w:r>
    </w:p>
    <w:p w14:paraId="23C15192" w14:textId="26962C9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6A396B87" w14:textId="77777777" w:rsidR="00C153ED" w:rsidRPr="00515E42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20"/>
          <w:szCs w:val="24"/>
        </w:rPr>
      </w:pPr>
    </w:p>
    <w:p w14:paraId="5551BEB3" w14:textId="7201D5E9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1. Jestliže jedna ze stran poruší některé z ustanovení této smlouvy, je druhá strana oprávněna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753D58B0" w14:textId="5969D60A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2. V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případě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že předmět smlouvy bude kupujícímu dodán v poškozeném obalu nebo s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vadami, je kupující oprávněn odstoupit od smlouvy.</w:t>
      </w:r>
    </w:p>
    <w:p w14:paraId="4D804ABA" w14:textId="77777777" w:rsidR="0044313E" w:rsidRPr="00515E42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kern w:val="1"/>
          <w:sz w:val="20"/>
          <w:szCs w:val="20"/>
        </w:rPr>
      </w:pPr>
    </w:p>
    <w:p w14:paraId="4DBFA5E6" w14:textId="033AADBF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V</w:t>
      </w:r>
      <w:r w:rsidR="00A70B12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</w:p>
    <w:p w14:paraId="4C4C4AB6" w14:textId="37DF0F9B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7777777" w:rsidR="00C153ED" w:rsidRPr="00515E42" w:rsidRDefault="00C153ED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p w14:paraId="025EBD2C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1. Práva a povinnosti, výslovně touto smlouvou neupravené, se řídí platnými právními předpisy a ustanoveními občanského zákoníku.</w:t>
      </w:r>
    </w:p>
    <w:p w14:paraId="078BEAF3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2. Smlouva může být ukončena vzájemnou dohodou smluvních stran, nebo odstoupením od smlouvy v případě závažného porušení povinností stanovených touto smlouvou, nebo z důvodů stanovených zákonem.</w:t>
      </w:r>
    </w:p>
    <w:p w14:paraId="1DC114F8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 xml:space="preserve">3. Odstoupení od smlouvy nabývá účinnosti dnem doručení písemného oznámení o odstoupení druhé smluvní straně. </w:t>
      </w:r>
    </w:p>
    <w:p w14:paraId="134E2A68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4. Změny a doplňky této smlouvy mohou být prováděny pouze formou písemného dodatku ke smlouvě po souhlasu obou smluvních stran.</w:t>
      </w:r>
    </w:p>
    <w:p w14:paraId="38BD847A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5. Smluvní strany se zavazují řešit případné spory vzájemnou dohodou.</w:t>
      </w:r>
    </w:p>
    <w:p w14:paraId="5990105A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 xml:space="preserve">6. 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06D02E8E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7. 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kupující.</w:t>
      </w:r>
    </w:p>
    <w:p w14:paraId="7B96B99A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8. Tato smlouva je vyhotovena ve dvou stejnopisech, z nichž každá strana obdrží po jednom vyhotovení.</w:t>
      </w:r>
    </w:p>
    <w:p w14:paraId="2D5BA1D6" w14:textId="3400FCB6" w:rsidR="006E58C7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9. Smluvní strany prohlašují, že si text smlouvy přečetly, s jejím obsahem bezvýhradně souhlasí a na důkaz toho připojují své podpisy.</w:t>
      </w:r>
    </w:p>
    <w:p w14:paraId="24EBAD9B" w14:textId="77777777" w:rsid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4780"/>
        <w:gridCol w:w="425"/>
        <w:gridCol w:w="4434"/>
      </w:tblGrid>
      <w:tr w:rsidR="001F0630" w:rsidRPr="001D6009" w14:paraId="4028BD53" w14:textId="77777777" w:rsidTr="00BC02FA">
        <w:trPr>
          <w:trHeight w:val="7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7EF33539" w14:textId="348EC796" w:rsidR="001F0630" w:rsidRPr="00D76D5F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</w:t>
            </w:r>
            <w:r w:rsidR="0075282B">
              <w:rPr>
                <w:rFonts w:eastAsia="Arial Unicode MS" w:cstheme="minorHAnsi"/>
                <w:color w:val="000000"/>
                <w:kern w:val="1"/>
                <w:szCs w:val="28"/>
              </w:rPr>
              <w:t>Zálezlicích</w:t>
            </w: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dne </w:t>
            </w:r>
            <w:r w:rsidR="00B30D92">
              <w:rPr>
                <w:rFonts w:eastAsia="Arial Unicode MS" w:cstheme="minorHAnsi"/>
                <w:color w:val="000000"/>
                <w:kern w:val="1"/>
                <w:szCs w:val="28"/>
              </w:rPr>
              <w:t>17.12.2024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7EB943C9" w14:textId="77777777" w:rsidR="001F0630" w:rsidRPr="00D76D5F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682A771F" w14:textId="469F89D6" w:rsidR="001F0630" w:rsidRPr="001D6009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B30D92">
              <w:rPr>
                <w:rFonts w:eastAsia="Arial Unicode MS" w:cstheme="minorHAnsi"/>
                <w:color w:val="000000"/>
                <w:kern w:val="1"/>
                <w:szCs w:val="28"/>
              </w:rPr>
              <w:t>18.12.2024</w:t>
            </w:r>
          </w:p>
        </w:tc>
      </w:tr>
      <w:tr w:rsidR="001F0630" w:rsidRPr="001D6009" w14:paraId="41B8E0CB" w14:textId="77777777" w:rsidTr="00123B75">
        <w:trPr>
          <w:trHeight w:val="1052"/>
        </w:trPr>
        <w:tc>
          <w:tcPr>
            <w:tcW w:w="47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7798E6" w14:textId="77777777" w:rsidR="001F0630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65AECCB2" w14:textId="77777777" w:rsidR="00E413E4" w:rsidRDefault="00E413E4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15BD0F1" w14:textId="77777777" w:rsidR="00F81A1A" w:rsidRDefault="00F81A1A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4D244CC8" w14:textId="77777777" w:rsidR="00B517E0" w:rsidRDefault="00B517E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5F3E38E" w14:textId="7DEFBE13" w:rsidR="00F81A1A" w:rsidRPr="001D6009" w:rsidRDefault="00F81A1A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56B41D4" w14:textId="77777777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9CA6D4" w14:textId="246A8489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75282B" w:rsidRPr="001D6009" w14:paraId="15525816" w14:textId="77777777" w:rsidTr="00BC02FA">
        <w:trPr>
          <w:trHeight w:val="266"/>
        </w:trPr>
        <w:tc>
          <w:tcPr>
            <w:tcW w:w="478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94940D" w14:textId="6AA3B69E" w:rsidR="0075282B" w:rsidRPr="00491455" w:rsidRDefault="0075282B" w:rsidP="0075282B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LightNeq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s.r.o.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815BD3A" w14:textId="77777777" w:rsidR="0075282B" w:rsidRPr="001D6009" w:rsidRDefault="0075282B" w:rsidP="0075282B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57833C" w14:textId="1EC9357D" w:rsidR="0075282B" w:rsidRPr="001D6009" w:rsidRDefault="0075282B" w:rsidP="0075282B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CED, p. o.</w:t>
            </w:r>
          </w:p>
        </w:tc>
      </w:tr>
      <w:tr w:rsidR="0075282B" w:rsidRPr="001D6009" w14:paraId="751F7AEB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1309FBD1" w14:textId="23E5E44D" w:rsidR="0075282B" w:rsidRPr="00491455" w:rsidRDefault="00746F51" w:rsidP="0075282B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  <w:r w:rsidR="0075282B" w:rsidRPr="0051465F">
              <w:rPr>
                <w:rFonts w:eastAsia="Arial Unicode MS" w:cstheme="minorHAnsi"/>
                <w:color w:val="000000"/>
                <w:kern w:val="1"/>
                <w:szCs w:val="28"/>
              </w:rPr>
              <w:t>, jednatel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808DDA5" w14:textId="77777777" w:rsidR="0075282B" w:rsidRPr="00BD7B6D" w:rsidRDefault="0075282B" w:rsidP="0075282B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1C90ABE7" w14:textId="2FAC6063" w:rsidR="0075282B" w:rsidRPr="001D6009" w:rsidRDefault="0075282B" w:rsidP="0075282B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</w:t>
            </w: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Jan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Búrik</w:t>
            </w:r>
            <w:proofErr w:type="spellEnd"/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1F0630" w:rsidRPr="001D6009" w14:paraId="566CD267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53BB8DB2" w14:textId="2D54BE3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(prodávající)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6582FBB4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3D789805" w14:textId="772BC720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(kupující)</w:t>
            </w:r>
          </w:p>
        </w:tc>
      </w:tr>
    </w:tbl>
    <w:p w14:paraId="36EDC846" w14:textId="77777777" w:rsidR="001F0630" w:rsidRPr="001D6009" w:rsidRDefault="001F0630" w:rsidP="00402E7F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sectPr w:rsidR="001F0630" w:rsidRPr="001D6009" w:rsidSect="00C63F64">
      <w:headerReference w:type="default" r:id="rId8"/>
      <w:footerReference w:type="default" r:id="rId9"/>
      <w:pgSz w:w="11906" w:h="16838"/>
      <w:pgMar w:top="1843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D650" w14:textId="77777777" w:rsidR="00EB07A8" w:rsidRDefault="00EB07A8" w:rsidP="00FB039B">
      <w:pPr>
        <w:spacing w:after="0"/>
      </w:pPr>
      <w:r>
        <w:separator/>
      </w:r>
    </w:p>
  </w:endnote>
  <w:endnote w:type="continuationSeparator" w:id="0">
    <w:p w14:paraId="22AE271F" w14:textId="77777777" w:rsidR="00EB07A8" w:rsidRDefault="00EB07A8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987E8C1" w14:textId="77777777" w:rsidR="00E413E4" w:rsidRPr="00E413E4" w:rsidRDefault="008873BF" w:rsidP="00E413E4">
                          <w:pPr>
                            <w:pStyle w:val="Bezmezer"/>
                            <w:spacing w:after="6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E413E4" w:rsidRPr="00E413E4">
                              <w:rPr>
                                <w:rStyle w:val="Hypertextovodkaz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  <w:r w:rsidR="00E413E4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IČ: 00400921, DIČ: CZ00400921</w:t>
                          </w:r>
                        </w:p>
                        <w:p w14:paraId="6AC12122" w14:textId="6DF93AD5" w:rsidR="00E413E4" w:rsidRPr="0044313E" w:rsidRDefault="00E413E4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p.o.</w:t>
                    </w:r>
                  </w:p>
                  <w:p w14:paraId="7987E8C1" w14:textId="77777777" w:rsidR="00E413E4" w:rsidRPr="00E413E4" w:rsidRDefault="008873BF" w:rsidP="00E413E4">
                    <w:pPr>
                      <w:pStyle w:val="Bezmezer"/>
                      <w:spacing w:after="6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Zelný trh 9, 602 00 Brno</w:t>
                    </w:r>
                    <w:r w:rsidR="00277E96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E413E4" w:rsidRPr="00E413E4">
                        <w:rPr>
                          <w:rStyle w:val="Hypertextovodkaz"/>
                          <w:rFonts w:ascii="Calibri Light" w:hAnsi="Calibri Light" w:cs="Calibri Light"/>
                          <w:sz w:val="16"/>
                          <w:szCs w:val="16"/>
                        </w:rPr>
                        <w:t>www.ced-brno.cz</w:t>
                      </w:r>
                    </w:hyperlink>
                    <w:r w:rsidR="00E413E4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IČ: 00400921, DIČ: CZ00400921</w:t>
                    </w:r>
                  </w:p>
                  <w:p w14:paraId="6AC12122" w14:textId="6DF93AD5" w:rsidR="00E413E4" w:rsidRPr="0044313E" w:rsidRDefault="00E413E4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3B29" w14:textId="77777777" w:rsidR="00EB07A8" w:rsidRDefault="00EB07A8" w:rsidP="00FB039B">
      <w:pPr>
        <w:spacing w:after="0"/>
      </w:pPr>
      <w:r>
        <w:separator/>
      </w:r>
    </w:p>
  </w:footnote>
  <w:footnote w:type="continuationSeparator" w:id="0">
    <w:p w14:paraId="74573AD9" w14:textId="77777777" w:rsidR="00EB07A8" w:rsidRDefault="00EB07A8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0A"/>
    <w:multiLevelType w:val="hybridMultilevel"/>
    <w:tmpl w:val="61E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82315"/>
    <w:multiLevelType w:val="hybridMultilevel"/>
    <w:tmpl w:val="1CA6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313BE"/>
    <w:multiLevelType w:val="hybridMultilevel"/>
    <w:tmpl w:val="33408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5003185">
    <w:abstractNumId w:val="12"/>
  </w:num>
  <w:num w:numId="2" w16cid:durableId="946352243">
    <w:abstractNumId w:val="0"/>
  </w:num>
  <w:num w:numId="3" w16cid:durableId="1710490129">
    <w:abstractNumId w:val="15"/>
  </w:num>
  <w:num w:numId="4" w16cid:durableId="206531296">
    <w:abstractNumId w:val="4"/>
  </w:num>
  <w:num w:numId="5" w16cid:durableId="1619483438">
    <w:abstractNumId w:val="9"/>
  </w:num>
  <w:num w:numId="6" w16cid:durableId="464347954">
    <w:abstractNumId w:val="6"/>
  </w:num>
  <w:num w:numId="7" w16cid:durableId="1303848496">
    <w:abstractNumId w:val="16"/>
  </w:num>
  <w:num w:numId="8" w16cid:durableId="1625161743">
    <w:abstractNumId w:val="5"/>
  </w:num>
  <w:num w:numId="9" w16cid:durableId="467282692">
    <w:abstractNumId w:val="14"/>
  </w:num>
  <w:num w:numId="10" w16cid:durableId="1113937628">
    <w:abstractNumId w:val="10"/>
  </w:num>
  <w:num w:numId="11" w16cid:durableId="1454134791">
    <w:abstractNumId w:val="8"/>
  </w:num>
  <w:num w:numId="12" w16cid:durableId="1360546097">
    <w:abstractNumId w:val="1"/>
  </w:num>
  <w:num w:numId="13" w16cid:durableId="1306156197">
    <w:abstractNumId w:val="2"/>
  </w:num>
  <w:num w:numId="14" w16cid:durableId="522593479">
    <w:abstractNumId w:val="11"/>
  </w:num>
  <w:num w:numId="15" w16cid:durableId="360976071">
    <w:abstractNumId w:val="3"/>
  </w:num>
  <w:num w:numId="16" w16cid:durableId="1443500049">
    <w:abstractNumId w:val="13"/>
  </w:num>
  <w:num w:numId="17" w16cid:durableId="1002397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2010A"/>
    <w:rsid w:val="00024BC0"/>
    <w:rsid w:val="00047E74"/>
    <w:rsid w:val="00062A9E"/>
    <w:rsid w:val="000C6591"/>
    <w:rsid w:val="000D3042"/>
    <w:rsid w:val="000D495C"/>
    <w:rsid w:val="000D6BB0"/>
    <w:rsid w:val="000F4892"/>
    <w:rsid w:val="001037C0"/>
    <w:rsid w:val="001239B5"/>
    <w:rsid w:val="00123B75"/>
    <w:rsid w:val="00130B63"/>
    <w:rsid w:val="00133BEC"/>
    <w:rsid w:val="00172367"/>
    <w:rsid w:val="001C7E92"/>
    <w:rsid w:val="001D6009"/>
    <w:rsid w:val="001D731A"/>
    <w:rsid w:val="001F0630"/>
    <w:rsid w:val="00200FFF"/>
    <w:rsid w:val="00207033"/>
    <w:rsid w:val="0023079F"/>
    <w:rsid w:val="00235BAC"/>
    <w:rsid w:val="00237576"/>
    <w:rsid w:val="002516A3"/>
    <w:rsid w:val="00270F1F"/>
    <w:rsid w:val="002735CD"/>
    <w:rsid w:val="00274917"/>
    <w:rsid w:val="00277E96"/>
    <w:rsid w:val="002E3821"/>
    <w:rsid w:val="002F47AE"/>
    <w:rsid w:val="00305D96"/>
    <w:rsid w:val="00305FB1"/>
    <w:rsid w:val="00362A85"/>
    <w:rsid w:val="00384237"/>
    <w:rsid w:val="003A14A3"/>
    <w:rsid w:val="003C6522"/>
    <w:rsid w:val="003C73C4"/>
    <w:rsid w:val="003D265B"/>
    <w:rsid w:val="003D7FAD"/>
    <w:rsid w:val="00402E7F"/>
    <w:rsid w:val="00415343"/>
    <w:rsid w:val="00427A11"/>
    <w:rsid w:val="0044313E"/>
    <w:rsid w:val="004649BD"/>
    <w:rsid w:val="00491455"/>
    <w:rsid w:val="004A1C80"/>
    <w:rsid w:val="004A2DB7"/>
    <w:rsid w:val="004B7073"/>
    <w:rsid w:val="004D628E"/>
    <w:rsid w:val="00515E42"/>
    <w:rsid w:val="005300E9"/>
    <w:rsid w:val="00542EFC"/>
    <w:rsid w:val="00554C7E"/>
    <w:rsid w:val="00555B63"/>
    <w:rsid w:val="005A1801"/>
    <w:rsid w:val="006424CC"/>
    <w:rsid w:val="0064284C"/>
    <w:rsid w:val="0066495F"/>
    <w:rsid w:val="006A11DE"/>
    <w:rsid w:val="006C0A2B"/>
    <w:rsid w:val="006D408B"/>
    <w:rsid w:val="006E58C7"/>
    <w:rsid w:val="0072370A"/>
    <w:rsid w:val="00726E07"/>
    <w:rsid w:val="00746F51"/>
    <w:rsid w:val="0075282B"/>
    <w:rsid w:val="0075454D"/>
    <w:rsid w:val="0075596F"/>
    <w:rsid w:val="00757B1D"/>
    <w:rsid w:val="0077138B"/>
    <w:rsid w:val="007B41D4"/>
    <w:rsid w:val="00801234"/>
    <w:rsid w:val="00807945"/>
    <w:rsid w:val="00810C46"/>
    <w:rsid w:val="00874CCB"/>
    <w:rsid w:val="008873BF"/>
    <w:rsid w:val="0089345B"/>
    <w:rsid w:val="008A1085"/>
    <w:rsid w:val="008B1D08"/>
    <w:rsid w:val="008D0029"/>
    <w:rsid w:val="008E039D"/>
    <w:rsid w:val="00936B8A"/>
    <w:rsid w:val="009632AC"/>
    <w:rsid w:val="009757A8"/>
    <w:rsid w:val="00981988"/>
    <w:rsid w:val="00994561"/>
    <w:rsid w:val="009A0A0E"/>
    <w:rsid w:val="009B7070"/>
    <w:rsid w:val="009C0B95"/>
    <w:rsid w:val="009E426E"/>
    <w:rsid w:val="009F309A"/>
    <w:rsid w:val="00A02FB6"/>
    <w:rsid w:val="00A23448"/>
    <w:rsid w:val="00A70B12"/>
    <w:rsid w:val="00A91F96"/>
    <w:rsid w:val="00AA4102"/>
    <w:rsid w:val="00AF18F2"/>
    <w:rsid w:val="00B065D8"/>
    <w:rsid w:val="00B30D92"/>
    <w:rsid w:val="00B32CD4"/>
    <w:rsid w:val="00B36255"/>
    <w:rsid w:val="00B517E0"/>
    <w:rsid w:val="00B60635"/>
    <w:rsid w:val="00B95CBB"/>
    <w:rsid w:val="00BA2A12"/>
    <w:rsid w:val="00BC02FA"/>
    <w:rsid w:val="00BC39FF"/>
    <w:rsid w:val="00BD7B6D"/>
    <w:rsid w:val="00BE300D"/>
    <w:rsid w:val="00C0527D"/>
    <w:rsid w:val="00C0744A"/>
    <w:rsid w:val="00C153ED"/>
    <w:rsid w:val="00C23F7F"/>
    <w:rsid w:val="00C30709"/>
    <w:rsid w:val="00C40D05"/>
    <w:rsid w:val="00C54754"/>
    <w:rsid w:val="00C63F64"/>
    <w:rsid w:val="00C715FD"/>
    <w:rsid w:val="00C86371"/>
    <w:rsid w:val="00C95CF2"/>
    <w:rsid w:val="00CD16A1"/>
    <w:rsid w:val="00CE738F"/>
    <w:rsid w:val="00CF3B6C"/>
    <w:rsid w:val="00D214B6"/>
    <w:rsid w:val="00D62393"/>
    <w:rsid w:val="00D76D5F"/>
    <w:rsid w:val="00DA12E2"/>
    <w:rsid w:val="00DA28FD"/>
    <w:rsid w:val="00DA62BA"/>
    <w:rsid w:val="00DA6826"/>
    <w:rsid w:val="00DB3342"/>
    <w:rsid w:val="00DE2F92"/>
    <w:rsid w:val="00E01FE5"/>
    <w:rsid w:val="00E026E7"/>
    <w:rsid w:val="00E12F09"/>
    <w:rsid w:val="00E20843"/>
    <w:rsid w:val="00E22083"/>
    <w:rsid w:val="00E413E4"/>
    <w:rsid w:val="00E7312F"/>
    <w:rsid w:val="00E73220"/>
    <w:rsid w:val="00EB07A8"/>
    <w:rsid w:val="00EB6F29"/>
    <w:rsid w:val="00F36E0F"/>
    <w:rsid w:val="00F55633"/>
    <w:rsid w:val="00F766C3"/>
    <w:rsid w:val="00F81A1A"/>
    <w:rsid w:val="00FB039B"/>
    <w:rsid w:val="00FB5EE5"/>
    <w:rsid w:val="00FD738A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F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4393-E3D9-4BD2-9F54-E91FD12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1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2024-12-20T08:08:00Z</dcterms:created>
  <dcterms:modified xsi:type="dcterms:W3CDTF">2024-12-20T08:08:00Z</dcterms:modified>
</cp:coreProperties>
</file>