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A098" w14:textId="77777777" w:rsidR="004D78EB" w:rsidRDefault="00000000">
      <w:pPr>
        <w:keepNext/>
        <w:keepLines/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DODATEK č. 1 k LICENČNÍ SMLOUVĚ O VYTVOŘENÍ ZÁZNAMU</w:t>
      </w:r>
    </w:p>
    <w:p w14:paraId="5EC9C9E6" w14:textId="4761321C" w:rsidR="004D78EB" w:rsidRDefault="00000000">
      <w:pPr>
        <w:keepNext/>
        <w:keepLines/>
        <w:spacing w:after="120"/>
        <w:jc w:val="center"/>
        <w:rPr>
          <w:b/>
          <w:color w:val="000000"/>
        </w:rPr>
      </w:pPr>
      <w:r>
        <w:rPr>
          <w:b/>
          <w:color w:val="000000"/>
        </w:rPr>
        <w:t xml:space="preserve">díla: </w:t>
      </w:r>
      <w:r w:rsidR="0085131F">
        <w:rPr>
          <w:b/>
          <w:color w:val="000000"/>
        </w:rPr>
        <w:t>Chazarský slovník</w:t>
      </w:r>
    </w:p>
    <w:p w14:paraId="7E535EDB" w14:textId="77777777" w:rsidR="004D78EB" w:rsidRDefault="004D78EB">
      <w:pPr>
        <w:keepNext/>
        <w:keepLines/>
        <w:spacing w:after="120"/>
        <w:jc w:val="center"/>
        <w:rPr>
          <w:b/>
          <w:color w:val="000000"/>
        </w:rPr>
      </w:pPr>
    </w:p>
    <w:p w14:paraId="5F6B03BF" w14:textId="77777777" w:rsidR="004D78EB" w:rsidRDefault="00000000">
      <w:pPr>
        <w:keepNext/>
        <w:keepLines/>
        <w:spacing w:after="120" w:line="254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Centrum experimentálního divadla, </w:t>
      </w:r>
      <w:proofErr w:type="spellStart"/>
      <w:r>
        <w:rPr>
          <w:b/>
          <w:color w:val="000000"/>
        </w:rPr>
        <w:t>p.o</w:t>
      </w:r>
      <w:proofErr w:type="spellEnd"/>
      <w:r>
        <w:rPr>
          <w:b/>
          <w:color w:val="000000"/>
        </w:rPr>
        <w:t>.</w:t>
      </w:r>
    </w:p>
    <w:p w14:paraId="277BB0E5" w14:textId="77777777" w:rsidR="004D78EB" w:rsidRDefault="00000000">
      <w:pPr>
        <w:keepNext/>
        <w:keepLines/>
        <w:spacing w:after="120"/>
        <w:jc w:val="both"/>
        <w:rPr>
          <w:b/>
          <w:color w:val="000000"/>
        </w:rPr>
      </w:pPr>
      <w:r>
        <w:rPr>
          <w:b/>
          <w:color w:val="000000"/>
        </w:rPr>
        <w:t>Divadlo Husa na provázku</w:t>
      </w:r>
    </w:p>
    <w:p w14:paraId="4F3E1A5B" w14:textId="77777777" w:rsidR="004D78EB" w:rsidRDefault="00000000">
      <w:pPr>
        <w:keepNext/>
        <w:keepLines/>
        <w:spacing w:after="120"/>
        <w:jc w:val="both"/>
        <w:rPr>
          <w:color w:val="000000"/>
        </w:rPr>
      </w:pPr>
      <w:r>
        <w:rPr>
          <w:color w:val="000000"/>
        </w:rPr>
        <w:t>se sídlem Zelný trh 294/9, 602 00 Brno</w:t>
      </w:r>
    </w:p>
    <w:p w14:paraId="1C85F4BF" w14:textId="77777777" w:rsidR="004D78EB" w:rsidRDefault="00000000">
      <w:pPr>
        <w:keepNext/>
        <w:keepLines/>
        <w:spacing w:after="120"/>
        <w:ind w:left="567"/>
        <w:jc w:val="both"/>
        <w:rPr>
          <w:color w:val="000000"/>
        </w:rPr>
      </w:pPr>
      <w:proofErr w:type="spellStart"/>
      <w:r>
        <w:rPr>
          <w:color w:val="000000"/>
        </w:rPr>
        <w:t>lČO</w:t>
      </w:r>
      <w:proofErr w:type="spellEnd"/>
      <w:r>
        <w:rPr>
          <w:color w:val="000000"/>
        </w:rPr>
        <w:t>: 00400921 DIČ: CZ00400921</w:t>
      </w:r>
    </w:p>
    <w:p w14:paraId="5A0AF523" w14:textId="77777777" w:rsidR="004D78EB" w:rsidRDefault="00000000">
      <w:pPr>
        <w:keepNext/>
        <w:keepLines/>
        <w:spacing w:after="120"/>
        <w:ind w:left="567"/>
        <w:jc w:val="both"/>
        <w:rPr>
          <w:color w:val="000000"/>
        </w:rPr>
      </w:pPr>
      <w:r>
        <w:rPr>
          <w:color w:val="000000"/>
        </w:rPr>
        <w:t xml:space="preserve">OR: spis. značka </w:t>
      </w:r>
      <w:proofErr w:type="spellStart"/>
      <w:r>
        <w:rPr>
          <w:color w:val="000000"/>
        </w:rPr>
        <w:t>Pr</w:t>
      </w:r>
      <w:proofErr w:type="spellEnd"/>
      <w:r>
        <w:rPr>
          <w:color w:val="000000"/>
        </w:rPr>
        <w:t>. 29, Krajský soud v Brně</w:t>
      </w:r>
    </w:p>
    <w:p w14:paraId="716B30EE" w14:textId="77777777" w:rsidR="004D78EB" w:rsidRDefault="00000000">
      <w:pPr>
        <w:keepNext/>
        <w:keepLines/>
        <w:spacing w:after="120"/>
        <w:ind w:left="567"/>
        <w:jc w:val="both"/>
        <w:rPr>
          <w:color w:val="000000"/>
        </w:rPr>
      </w:pPr>
      <w:r>
        <w:rPr>
          <w:color w:val="000000"/>
        </w:rPr>
        <w:t xml:space="preserve">zastoupená Janem </w:t>
      </w:r>
      <w:proofErr w:type="spellStart"/>
      <w:r>
        <w:rPr>
          <w:color w:val="000000"/>
        </w:rPr>
        <w:t>Búrikem</w:t>
      </w:r>
      <w:proofErr w:type="spellEnd"/>
      <w:r>
        <w:rPr>
          <w:color w:val="000000"/>
        </w:rPr>
        <w:t xml:space="preserve">, ředitel CED, </w:t>
      </w:r>
      <w:proofErr w:type="spellStart"/>
      <w:r>
        <w:rPr>
          <w:color w:val="000000"/>
        </w:rPr>
        <w:t>p.o</w:t>
      </w:r>
      <w:proofErr w:type="spellEnd"/>
      <w:r>
        <w:rPr>
          <w:color w:val="000000"/>
        </w:rPr>
        <w:t>.</w:t>
      </w:r>
    </w:p>
    <w:p w14:paraId="384105E9" w14:textId="645A503E" w:rsidR="004D78EB" w:rsidRDefault="00000000">
      <w:pPr>
        <w:keepNext/>
        <w:keepLines/>
        <w:spacing w:after="120"/>
        <w:ind w:left="567"/>
        <w:jc w:val="both"/>
        <w:rPr>
          <w:color w:val="000000"/>
        </w:rPr>
      </w:pPr>
      <w:r>
        <w:rPr>
          <w:color w:val="000000"/>
        </w:rPr>
        <w:t xml:space="preserve">Číslo účtu: </w:t>
      </w:r>
      <w:r w:rsidR="009E55AE">
        <w:rPr>
          <w:color w:val="000000"/>
        </w:rPr>
        <w:t>XXX</w:t>
      </w:r>
    </w:p>
    <w:p w14:paraId="318C8167" w14:textId="1BA63EC4" w:rsidR="004D78EB" w:rsidRDefault="009E55AE">
      <w:pPr>
        <w:keepNext/>
        <w:keepLines/>
        <w:spacing w:after="120"/>
        <w:ind w:left="567"/>
        <w:jc w:val="both"/>
        <w:rPr>
          <w:color w:val="000000"/>
        </w:rPr>
      </w:pPr>
      <w:r>
        <w:rPr>
          <w:color w:val="000000"/>
        </w:rPr>
        <w:t>XXX</w:t>
      </w:r>
    </w:p>
    <w:p w14:paraId="764D2A60" w14:textId="77777777" w:rsidR="004D78EB" w:rsidRDefault="00000000">
      <w:pPr>
        <w:keepNext/>
        <w:keepLines/>
        <w:spacing w:after="120"/>
        <w:ind w:firstLine="567"/>
        <w:jc w:val="both"/>
        <w:rPr>
          <w:color w:val="000000"/>
        </w:rPr>
      </w:pPr>
      <w:r>
        <w:rPr>
          <w:color w:val="000000"/>
        </w:rPr>
        <w:t>(dále jen „</w:t>
      </w:r>
      <w:r>
        <w:rPr>
          <w:b/>
          <w:color w:val="000000"/>
        </w:rPr>
        <w:t>Divadlo</w:t>
      </w:r>
      <w:r>
        <w:rPr>
          <w:color w:val="000000"/>
        </w:rPr>
        <w:t>”)</w:t>
      </w:r>
    </w:p>
    <w:p w14:paraId="095F9C8A" w14:textId="77777777" w:rsidR="004D78EB" w:rsidRDefault="00000000">
      <w:pPr>
        <w:keepNext/>
        <w:keepLines/>
        <w:spacing w:after="120"/>
        <w:ind w:left="567"/>
        <w:jc w:val="both"/>
        <w:rPr>
          <w:color w:val="000000"/>
        </w:rPr>
      </w:pPr>
      <w:r>
        <w:rPr>
          <w:color w:val="000000"/>
        </w:rPr>
        <w:t>a</w:t>
      </w:r>
    </w:p>
    <w:p w14:paraId="340510C2" w14:textId="77777777" w:rsidR="004D78EB" w:rsidRDefault="004D78EB">
      <w:pPr>
        <w:keepNext/>
        <w:keepLines/>
        <w:spacing w:after="120"/>
        <w:ind w:left="567"/>
        <w:jc w:val="both"/>
        <w:rPr>
          <w:color w:val="000000"/>
        </w:rPr>
      </w:pPr>
    </w:p>
    <w:p w14:paraId="4160A5EA" w14:textId="77777777" w:rsidR="004D78EB" w:rsidRDefault="00000000">
      <w:pPr>
        <w:keepNext/>
        <w:keepLines/>
        <w:spacing w:after="120"/>
        <w:ind w:left="567" w:hanging="567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Dramox</w:t>
      </w:r>
      <w:proofErr w:type="spellEnd"/>
      <w:r>
        <w:rPr>
          <w:b/>
          <w:color w:val="000000"/>
        </w:rPr>
        <w:t xml:space="preserve"> s.r.o.</w:t>
      </w:r>
    </w:p>
    <w:p w14:paraId="33C9C7C4" w14:textId="77777777" w:rsidR="004D78EB" w:rsidRDefault="00000000">
      <w:pPr>
        <w:keepNext/>
        <w:keepLines/>
        <w:spacing w:after="120"/>
        <w:ind w:left="567" w:hanging="567"/>
        <w:jc w:val="both"/>
        <w:rPr>
          <w:color w:val="000000"/>
        </w:rPr>
      </w:pPr>
      <w:r>
        <w:rPr>
          <w:color w:val="000000"/>
        </w:rPr>
        <w:t>se sídlem Bucharova 2928/</w:t>
      </w:r>
      <w:proofErr w:type="gramStart"/>
      <w:r>
        <w:rPr>
          <w:color w:val="000000"/>
        </w:rPr>
        <w:t>14a</w:t>
      </w:r>
      <w:proofErr w:type="gramEnd"/>
      <w:r>
        <w:rPr>
          <w:color w:val="000000"/>
        </w:rPr>
        <w:t xml:space="preserve">, Stodůlky, 158 00 Praha 5, </w:t>
      </w:r>
      <w:proofErr w:type="spellStart"/>
      <w:r>
        <w:rPr>
          <w:color w:val="000000"/>
        </w:rPr>
        <w:t>Aspira</w:t>
      </w:r>
      <w:proofErr w:type="spellEnd"/>
      <w:r>
        <w:rPr>
          <w:color w:val="000000"/>
        </w:rPr>
        <w:t xml:space="preserve"> Business Centre</w:t>
      </w:r>
    </w:p>
    <w:p w14:paraId="5F018829" w14:textId="77777777" w:rsidR="004D78EB" w:rsidRDefault="00000000">
      <w:pPr>
        <w:keepNext/>
        <w:keepLines/>
        <w:spacing w:after="120"/>
        <w:ind w:left="567"/>
        <w:jc w:val="both"/>
        <w:rPr>
          <w:color w:val="000000"/>
        </w:rPr>
      </w:pPr>
      <w:proofErr w:type="spellStart"/>
      <w:r>
        <w:rPr>
          <w:color w:val="000000"/>
        </w:rPr>
        <w:t>lČO</w:t>
      </w:r>
      <w:proofErr w:type="spellEnd"/>
      <w:r>
        <w:rPr>
          <w:color w:val="000000"/>
        </w:rPr>
        <w:t>: 09222103</w:t>
      </w:r>
    </w:p>
    <w:p w14:paraId="58D1848E" w14:textId="77777777" w:rsidR="004D78EB" w:rsidRDefault="00000000">
      <w:pPr>
        <w:keepNext/>
        <w:keepLines/>
        <w:spacing w:after="120"/>
        <w:ind w:left="567"/>
        <w:jc w:val="both"/>
        <w:rPr>
          <w:color w:val="000000"/>
        </w:rPr>
      </w:pPr>
      <w:r>
        <w:rPr>
          <w:color w:val="000000"/>
        </w:rPr>
        <w:t>společnost zapsaná v obchodním rejstříku vedeném Městským soudem v Praze, oddíl C, vložka 332337</w:t>
      </w:r>
    </w:p>
    <w:p w14:paraId="78D7187E" w14:textId="4ED3ABF0" w:rsidR="004D78EB" w:rsidRDefault="00000000">
      <w:pPr>
        <w:keepNext/>
        <w:keepLines/>
        <w:spacing w:after="120"/>
        <w:ind w:left="567"/>
        <w:jc w:val="both"/>
        <w:rPr>
          <w:color w:val="000000"/>
        </w:rPr>
      </w:pPr>
      <w:r>
        <w:rPr>
          <w:color w:val="000000"/>
        </w:rPr>
        <w:t xml:space="preserve">zastoupená </w:t>
      </w:r>
      <w:r w:rsidR="009E55AE">
        <w:rPr>
          <w:color w:val="000000"/>
        </w:rPr>
        <w:t>XXX</w:t>
      </w:r>
      <w:r>
        <w:rPr>
          <w:color w:val="000000"/>
        </w:rPr>
        <w:t>, jednatelem</w:t>
      </w:r>
    </w:p>
    <w:p w14:paraId="6ED3A2F7" w14:textId="0B1D735B" w:rsidR="004D78EB" w:rsidRDefault="009E55AE">
      <w:pPr>
        <w:keepNext/>
        <w:keepLines/>
        <w:spacing w:after="120"/>
        <w:ind w:left="567"/>
        <w:jc w:val="both"/>
        <w:rPr>
          <w:color w:val="000000"/>
        </w:rPr>
      </w:pPr>
      <w:r>
        <w:rPr>
          <w:color w:val="000000"/>
        </w:rPr>
        <w:t>XXX</w:t>
      </w:r>
    </w:p>
    <w:p w14:paraId="481FCE0C" w14:textId="77777777" w:rsidR="004D78EB" w:rsidRDefault="00000000">
      <w:pPr>
        <w:keepNext/>
        <w:keepLines/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>(dále jen „</w:t>
      </w:r>
      <w:proofErr w:type="spellStart"/>
      <w:r>
        <w:rPr>
          <w:b/>
          <w:color w:val="000000"/>
        </w:rPr>
        <w:t>Dramox</w:t>
      </w:r>
      <w:proofErr w:type="spellEnd"/>
      <w:r>
        <w:rPr>
          <w:color w:val="000000"/>
        </w:rPr>
        <w:t>”)</w:t>
      </w:r>
    </w:p>
    <w:p w14:paraId="073086FE" w14:textId="77777777" w:rsidR="004D78EB" w:rsidRDefault="00000000">
      <w:pPr>
        <w:keepNext/>
        <w:keepLines/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(Divadlo a </w:t>
      </w:r>
      <w:proofErr w:type="spellStart"/>
      <w:r>
        <w:rPr>
          <w:color w:val="000000"/>
        </w:rPr>
        <w:t>Dramox</w:t>
      </w:r>
      <w:proofErr w:type="spellEnd"/>
      <w:r>
        <w:rPr>
          <w:color w:val="000000"/>
        </w:rPr>
        <w:t xml:space="preserve"> dále </w:t>
      </w:r>
      <w:r>
        <w:t>společně</w:t>
      </w:r>
      <w:r>
        <w:rPr>
          <w:color w:val="000000"/>
        </w:rPr>
        <w:t xml:space="preserve"> též jako „</w:t>
      </w:r>
      <w:r>
        <w:rPr>
          <w:b/>
          <w:color w:val="000000"/>
        </w:rPr>
        <w:t>Smluvní strany</w:t>
      </w:r>
      <w:r>
        <w:rPr>
          <w:color w:val="000000"/>
        </w:rPr>
        <w:t>“, každý samostatně jako „</w:t>
      </w:r>
      <w:r>
        <w:rPr>
          <w:b/>
          <w:color w:val="000000"/>
        </w:rPr>
        <w:t>Smluvní strana</w:t>
      </w:r>
      <w:r>
        <w:rPr>
          <w:color w:val="000000"/>
        </w:rPr>
        <w:t>“)</w:t>
      </w:r>
    </w:p>
    <w:p w14:paraId="6BB76F93" w14:textId="77777777" w:rsidR="004D78EB" w:rsidRDefault="004D78EB">
      <w:pPr>
        <w:keepNext/>
        <w:keepLines/>
        <w:spacing w:after="120" w:line="240" w:lineRule="auto"/>
        <w:ind w:left="567"/>
        <w:jc w:val="both"/>
        <w:rPr>
          <w:color w:val="000000"/>
        </w:rPr>
      </w:pPr>
    </w:p>
    <w:p w14:paraId="7740482B" w14:textId="77777777" w:rsidR="004D78EB" w:rsidRDefault="00000000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PŘEDMĚT DODATKU</w:t>
      </w:r>
    </w:p>
    <w:p w14:paraId="781D9DDE" w14:textId="59772178" w:rsidR="004D78EB" w:rsidRDefault="00000000">
      <w:pPr>
        <w:numPr>
          <w:ilvl w:val="1"/>
          <w:numId w:val="1"/>
        </w:numPr>
        <w:spacing w:after="0" w:line="240" w:lineRule="auto"/>
        <w:ind w:left="567" w:hanging="567"/>
        <w:jc w:val="both"/>
      </w:pPr>
      <w:r>
        <w:rPr>
          <w:color w:val="000000"/>
        </w:rPr>
        <w:t xml:space="preserve">Smluvní strany uzavřely dne </w:t>
      </w:r>
      <w:r w:rsidR="00362968">
        <w:rPr>
          <w:color w:val="000000"/>
        </w:rPr>
        <w:t>4</w:t>
      </w:r>
      <w:r>
        <w:t>.</w:t>
      </w:r>
      <w:r w:rsidR="00362968">
        <w:t>11</w:t>
      </w:r>
      <w:r>
        <w:t>.202</w:t>
      </w:r>
      <w:r w:rsidR="00362968">
        <w:t>4</w:t>
      </w:r>
      <w:r>
        <w:rPr>
          <w:color w:val="000000"/>
        </w:rPr>
        <w:t xml:space="preserve"> Licenční smlouvu o vytvoření záznamu inscenace </w:t>
      </w:r>
      <w:r w:rsidR="00362968">
        <w:rPr>
          <w:b/>
          <w:color w:val="000000"/>
        </w:rPr>
        <w:t>Chazarský slovník</w:t>
      </w:r>
      <w:r>
        <w:rPr>
          <w:b/>
          <w:color w:val="000000"/>
        </w:rPr>
        <w:t>.</w:t>
      </w:r>
      <w:r>
        <w:rPr>
          <w:color w:val="000000"/>
        </w:rPr>
        <w:t xml:space="preserve"> (dále jen „Smlouva“) a tímto uzavírají </w:t>
      </w:r>
      <w:r>
        <w:t>D</w:t>
      </w:r>
      <w:r>
        <w:rPr>
          <w:color w:val="000000"/>
        </w:rPr>
        <w:t xml:space="preserve">odatek č. 1 ke Smlouvě, kterým se přidává Příloha č. 3 v následujícím </w:t>
      </w:r>
      <w:proofErr w:type="gramStart"/>
      <w:r>
        <w:rPr>
          <w:color w:val="000000"/>
        </w:rPr>
        <w:t>znění :</w:t>
      </w:r>
      <w:proofErr w:type="gramEnd"/>
    </w:p>
    <w:p w14:paraId="233E3E6B" w14:textId="77777777" w:rsidR="004D78EB" w:rsidRDefault="00000000">
      <w:pPr>
        <w:spacing w:after="0" w:line="240" w:lineRule="auto"/>
        <w:ind w:left="567" w:hanging="567"/>
        <w:jc w:val="both"/>
      </w:pPr>
      <w:r>
        <w:rPr>
          <w:color w:val="000000"/>
        </w:rPr>
        <w:t xml:space="preserve"> </w:t>
      </w:r>
    </w:p>
    <w:p w14:paraId="25ED5096" w14:textId="77777777" w:rsidR="004D78EB" w:rsidRDefault="00000000">
      <w:pPr>
        <w:spacing w:after="0" w:line="240" w:lineRule="auto"/>
        <w:ind w:left="567" w:hanging="567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Příloha č. 3</w:t>
      </w:r>
      <w:r>
        <w:rPr>
          <w:b/>
          <w:bCs/>
          <w:color w:val="000000"/>
        </w:rPr>
        <w:br/>
      </w:r>
    </w:p>
    <w:p w14:paraId="1C39496F" w14:textId="06AE7201" w:rsidR="004D78EB" w:rsidRDefault="00000000">
      <w:pPr>
        <w:spacing w:after="0" w:line="240" w:lineRule="auto"/>
        <w:ind w:left="567" w:hanging="567"/>
        <w:jc w:val="both"/>
      </w:pPr>
      <w:r>
        <w:rPr>
          <w:i/>
          <w:color w:val="000000"/>
          <w:highlight w:val="white"/>
        </w:rPr>
        <w:t xml:space="preserve">1. </w:t>
      </w:r>
      <w:r>
        <w:rPr>
          <w:i/>
          <w:color w:val="000000"/>
          <w:highlight w:val="white"/>
        </w:rPr>
        <w:tab/>
      </w:r>
      <w:proofErr w:type="spellStart"/>
      <w:r>
        <w:rPr>
          <w:i/>
          <w:color w:val="000000"/>
          <w:highlight w:val="white"/>
        </w:rPr>
        <w:t>Dramox</w:t>
      </w:r>
      <w:proofErr w:type="spellEnd"/>
      <w:r>
        <w:rPr>
          <w:i/>
          <w:color w:val="000000"/>
          <w:highlight w:val="white"/>
        </w:rPr>
        <w:t xml:space="preserve"> dodá Divadlu 20 minutový sestřih záznamu představení </w:t>
      </w:r>
      <w:r w:rsidR="00197958">
        <w:rPr>
          <w:b/>
          <w:color w:val="000000"/>
          <w:highlight w:val="white"/>
        </w:rPr>
        <w:t>Chazarský slovník</w:t>
      </w:r>
      <w:r>
        <w:rPr>
          <w:b/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(dále jen sestřih </w:t>
      </w:r>
      <w:proofErr w:type="gramStart"/>
      <w:r>
        <w:rPr>
          <w:color w:val="000000"/>
          <w:highlight w:val="white"/>
        </w:rPr>
        <w:t xml:space="preserve">záznamu) </w:t>
      </w:r>
      <w:r>
        <w:rPr>
          <w:b/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>do</w:t>
      </w:r>
      <w:proofErr w:type="gramEnd"/>
      <w:r>
        <w:rPr>
          <w:color w:val="000000"/>
          <w:highlight w:val="white"/>
        </w:rPr>
        <w:t xml:space="preserve"> 31.11.2024 k využití pro lektorské účely a vzdělávání.</w:t>
      </w:r>
    </w:p>
    <w:p w14:paraId="5CC2F0FA" w14:textId="77777777" w:rsidR="004D78EB" w:rsidRDefault="004D78EB">
      <w:pPr>
        <w:spacing w:after="0" w:line="240" w:lineRule="auto"/>
        <w:ind w:left="567" w:hanging="567"/>
        <w:jc w:val="both"/>
        <w:rPr>
          <w:color w:val="000000"/>
          <w:highlight w:val="white"/>
        </w:rPr>
      </w:pPr>
    </w:p>
    <w:p w14:paraId="3DA395DD" w14:textId="77777777" w:rsidR="004D78EB" w:rsidRDefault="00000000">
      <w:pPr>
        <w:spacing w:after="0" w:line="240" w:lineRule="auto"/>
        <w:ind w:left="567" w:hanging="567"/>
        <w:jc w:val="both"/>
      </w:pPr>
      <w:r>
        <w:rPr>
          <w:color w:val="000000"/>
          <w:highlight w:val="white"/>
        </w:rPr>
        <w:t>2.</w:t>
      </w:r>
      <w:r>
        <w:rPr>
          <w:color w:val="000000"/>
          <w:highlight w:val="white"/>
        </w:rPr>
        <w:tab/>
        <w:t>Divadlo má k sestřihu záznamu výhradní licenci a může s ní nakládat bez omezení dle svého uvážení.</w:t>
      </w:r>
    </w:p>
    <w:p w14:paraId="47B92078" w14:textId="77777777" w:rsidR="004D78EB" w:rsidRDefault="004D78EB">
      <w:pPr>
        <w:spacing w:after="0" w:line="240" w:lineRule="auto"/>
        <w:ind w:left="567" w:hanging="567"/>
        <w:jc w:val="both"/>
        <w:rPr>
          <w:color w:val="000000"/>
          <w:highlight w:val="white"/>
        </w:rPr>
      </w:pPr>
    </w:p>
    <w:p w14:paraId="241F65A0" w14:textId="77777777" w:rsidR="004D78EB" w:rsidRDefault="00000000">
      <w:pPr>
        <w:spacing w:after="0" w:line="240" w:lineRule="auto"/>
        <w:ind w:left="567" w:hanging="567"/>
        <w:jc w:val="both"/>
      </w:pPr>
      <w:r>
        <w:rPr>
          <w:color w:val="000000"/>
          <w:highlight w:val="white"/>
        </w:rPr>
        <w:t xml:space="preserve">3. </w:t>
      </w:r>
      <w:r>
        <w:rPr>
          <w:color w:val="000000"/>
          <w:highlight w:val="white"/>
        </w:rPr>
        <w:tab/>
        <w:t xml:space="preserve">Divadlo zaplatí </w:t>
      </w:r>
      <w:proofErr w:type="spellStart"/>
      <w:r>
        <w:rPr>
          <w:color w:val="000000"/>
          <w:highlight w:val="white"/>
        </w:rPr>
        <w:t>Dramoxu</w:t>
      </w:r>
      <w:proofErr w:type="spellEnd"/>
      <w:r>
        <w:rPr>
          <w:color w:val="000000"/>
          <w:highlight w:val="white"/>
        </w:rPr>
        <w:t xml:space="preserve"> za zhotovení sestřihu záznamu částku ve výši </w:t>
      </w:r>
      <w:proofErr w:type="gramStart"/>
      <w:r>
        <w:rPr>
          <w:color w:val="000000"/>
          <w:highlight w:val="white"/>
        </w:rPr>
        <w:t>22.000,-</w:t>
      </w:r>
      <w:proofErr w:type="gramEnd"/>
      <w:r>
        <w:rPr>
          <w:color w:val="000000"/>
          <w:highlight w:val="white"/>
        </w:rPr>
        <w:t xml:space="preserve"> Kč včetně DPH a to na základě faktury vystavené </w:t>
      </w:r>
      <w:proofErr w:type="spellStart"/>
      <w:r>
        <w:rPr>
          <w:color w:val="000000"/>
          <w:highlight w:val="white"/>
        </w:rPr>
        <w:t>Dramoxem</w:t>
      </w:r>
      <w:proofErr w:type="spellEnd"/>
      <w:r>
        <w:rPr>
          <w:color w:val="000000"/>
          <w:highlight w:val="white"/>
        </w:rPr>
        <w:t xml:space="preserve"> po odevzdání sestřihu záznamu Divadlu.</w:t>
      </w:r>
    </w:p>
    <w:p w14:paraId="638A7048" w14:textId="77777777" w:rsidR="004D78EB" w:rsidRDefault="004D78EB">
      <w:pPr>
        <w:spacing w:after="0" w:line="240" w:lineRule="auto"/>
        <w:ind w:left="567" w:hanging="567"/>
        <w:jc w:val="both"/>
        <w:rPr>
          <w:color w:val="000000"/>
          <w:highlight w:val="white"/>
        </w:rPr>
      </w:pPr>
    </w:p>
    <w:p w14:paraId="51026D18" w14:textId="77777777" w:rsidR="004D78EB" w:rsidRDefault="00000000">
      <w:pPr>
        <w:spacing w:after="0" w:line="240" w:lineRule="auto"/>
        <w:ind w:left="567" w:hanging="567"/>
        <w:jc w:val="both"/>
      </w:pPr>
      <w:r>
        <w:rPr>
          <w:color w:val="000000"/>
          <w:highlight w:val="white"/>
        </w:rPr>
        <w:t>4.</w:t>
      </w:r>
      <w:r>
        <w:rPr>
          <w:color w:val="000000"/>
          <w:highlight w:val="white"/>
        </w:rPr>
        <w:tab/>
      </w:r>
      <w:proofErr w:type="spellStart"/>
      <w:r>
        <w:rPr>
          <w:color w:val="000000"/>
          <w:highlight w:val="white"/>
        </w:rPr>
        <w:t>Dramox</w:t>
      </w:r>
      <w:proofErr w:type="spellEnd"/>
      <w:r>
        <w:rPr>
          <w:color w:val="000000"/>
          <w:highlight w:val="white"/>
        </w:rPr>
        <w:t xml:space="preserve"> není oprávněn poskytnout licenci ani sestřih záznamu třetí osobě bez předchozího výslovného souhlasu Divadla.</w:t>
      </w:r>
    </w:p>
    <w:p w14:paraId="652023FC" w14:textId="77777777" w:rsidR="004D78EB" w:rsidRDefault="004D78EB">
      <w:pPr>
        <w:spacing w:after="0" w:line="240" w:lineRule="auto"/>
        <w:ind w:left="567"/>
        <w:jc w:val="both"/>
        <w:rPr>
          <w:color w:val="000000"/>
        </w:rPr>
      </w:pPr>
    </w:p>
    <w:p w14:paraId="1D115477" w14:textId="77777777" w:rsidR="004D78EB" w:rsidRDefault="004D78EB">
      <w:pPr>
        <w:spacing w:after="0" w:line="240" w:lineRule="auto"/>
        <w:ind w:left="567"/>
        <w:jc w:val="both"/>
        <w:rPr>
          <w:color w:val="000000"/>
        </w:rPr>
      </w:pPr>
    </w:p>
    <w:p w14:paraId="3CE20B82" w14:textId="77777777" w:rsidR="004D78EB" w:rsidRDefault="00000000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ZÁVĚREČNÁ USTANOVENÍ</w:t>
      </w:r>
    </w:p>
    <w:p w14:paraId="46E04F7F" w14:textId="77777777" w:rsidR="004D78EB" w:rsidRDefault="00000000">
      <w:pPr>
        <w:numPr>
          <w:ilvl w:val="1"/>
          <w:numId w:val="1"/>
        </w:numPr>
        <w:spacing w:after="0" w:line="240" w:lineRule="auto"/>
        <w:ind w:left="567" w:hanging="567"/>
        <w:jc w:val="both"/>
      </w:pPr>
      <w:r>
        <w:rPr>
          <w:color w:val="000000"/>
        </w:rPr>
        <w:t>Tato změna nemá vliv na žádná jiná ustanovení uzavřené smlouvy.</w:t>
      </w:r>
    </w:p>
    <w:p w14:paraId="265689BD" w14:textId="77777777" w:rsidR="004D78EB" w:rsidRDefault="00000000">
      <w:pPr>
        <w:numPr>
          <w:ilvl w:val="1"/>
          <w:numId w:val="1"/>
        </w:numPr>
        <w:spacing w:after="0" w:line="240" w:lineRule="auto"/>
        <w:ind w:left="567" w:hanging="567"/>
        <w:jc w:val="both"/>
      </w:pPr>
      <w:r>
        <w:rPr>
          <w:color w:val="000000"/>
        </w:rPr>
        <w:t>Tento dodatek je podepsán ve dvou originálních stejnopisech. Každá Smluvní strana obdrží jeden stejnopis tohoto dodatku.</w:t>
      </w:r>
    </w:p>
    <w:p w14:paraId="60EEDFE4" w14:textId="4A480FFE" w:rsidR="004D78EB" w:rsidRDefault="00000000">
      <w:pPr>
        <w:numPr>
          <w:ilvl w:val="1"/>
          <w:numId w:val="1"/>
        </w:numPr>
        <w:spacing w:after="0" w:line="240" w:lineRule="auto"/>
        <w:ind w:left="567" w:hanging="567"/>
        <w:jc w:val="both"/>
      </w:pPr>
      <w:r>
        <w:rPr>
          <w:color w:val="000000"/>
        </w:rPr>
        <w:t xml:space="preserve">Tento Dodatek nabude platnosti dnem podpisu oběma Smluvními stranami a účinnosti </w:t>
      </w:r>
      <w:r w:rsidR="00D46C1E">
        <w:rPr>
          <w:color w:val="000000"/>
        </w:rPr>
        <w:t>okamžikem uveřejnění v registru smluv</w:t>
      </w:r>
      <w:r>
        <w:rPr>
          <w:color w:val="000000"/>
        </w:rPr>
        <w:t xml:space="preserve">.  </w:t>
      </w:r>
    </w:p>
    <w:p w14:paraId="47100B90" w14:textId="77777777" w:rsidR="004D78EB" w:rsidRDefault="004D78EB">
      <w:pPr>
        <w:ind w:left="567"/>
        <w:jc w:val="both"/>
      </w:pPr>
    </w:p>
    <w:p w14:paraId="4D987611" w14:textId="77777777" w:rsidR="004D78EB" w:rsidRDefault="004D78EB">
      <w:pPr>
        <w:ind w:left="567"/>
        <w:jc w:val="both"/>
      </w:pPr>
    </w:p>
    <w:p w14:paraId="6CF65373" w14:textId="77777777" w:rsidR="004D78EB" w:rsidRDefault="004D78EB">
      <w:pPr>
        <w:ind w:left="567"/>
        <w:jc w:val="both"/>
      </w:pPr>
    </w:p>
    <w:tbl>
      <w:tblPr>
        <w:tblW w:w="9060" w:type="dxa"/>
        <w:tblLayout w:type="fixed"/>
        <w:tblLook w:val="0400" w:firstRow="0" w:lastRow="0" w:firstColumn="0" w:lastColumn="0" w:noHBand="0" w:noVBand="1"/>
      </w:tblPr>
      <w:tblGrid>
        <w:gridCol w:w="4531"/>
        <w:gridCol w:w="4529"/>
      </w:tblGrid>
      <w:tr w:rsidR="004D78EB" w14:paraId="55BE23E4" w14:textId="77777777">
        <w:tc>
          <w:tcPr>
            <w:tcW w:w="4530" w:type="dxa"/>
          </w:tcPr>
          <w:p w14:paraId="40EC447C" w14:textId="53287A4B" w:rsidR="004D78EB" w:rsidRDefault="00000000">
            <w:pPr>
              <w:keepNext/>
              <w:keepLines/>
              <w:widowControl w:val="0"/>
              <w:spacing w:after="12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V </w:t>
            </w:r>
            <w:r w:rsidR="00D46C1E">
              <w:rPr>
                <w:color w:val="000000"/>
              </w:rPr>
              <w:t>Brně</w:t>
            </w:r>
            <w:r>
              <w:rPr>
                <w:color w:val="000000"/>
              </w:rPr>
              <w:t xml:space="preserve"> dne [__/__] 2024</w:t>
            </w:r>
          </w:p>
          <w:p w14:paraId="430C1D7E" w14:textId="77777777" w:rsidR="004D78EB" w:rsidRDefault="00000000">
            <w:pPr>
              <w:keepNext/>
              <w:keepLines/>
              <w:widowControl w:val="0"/>
              <w:spacing w:after="120" w:line="254" w:lineRule="auto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Za </w:t>
            </w:r>
            <w:r>
              <w:rPr>
                <w:b/>
                <w:color w:val="000000"/>
              </w:rPr>
              <w:t xml:space="preserve">Centrum experimentálního divadla, </w:t>
            </w:r>
            <w:proofErr w:type="spellStart"/>
            <w:r>
              <w:rPr>
                <w:b/>
                <w:color w:val="000000"/>
              </w:rPr>
              <w:t>p.o</w:t>
            </w:r>
            <w:proofErr w:type="spellEnd"/>
            <w:r>
              <w:rPr>
                <w:b/>
                <w:color w:val="000000"/>
              </w:rPr>
              <w:t>.</w:t>
            </w:r>
          </w:p>
          <w:p w14:paraId="42D43973" w14:textId="77777777" w:rsidR="004D78EB" w:rsidRDefault="00000000">
            <w:pPr>
              <w:keepNext/>
              <w:keepLines/>
              <w:widowControl w:val="0"/>
              <w:spacing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Divadlo Husa na provázku</w:t>
            </w:r>
          </w:p>
          <w:p w14:paraId="62ACBFFA" w14:textId="77777777" w:rsidR="004D78EB" w:rsidRDefault="004D78EB">
            <w:pPr>
              <w:keepNext/>
              <w:keepLines/>
              <w:widowControl w:val="0"/>
              <w:spacing w:after="120" w:line="240" w:lineRule="auto"/>
              <w:jc w:val="both"/>
              <w:rPr>
                <w:color w:val="000000"/>
              </w:rPr>
            </w:pPr>
          </w:p>
        </w:tc>
        <w:tc>
          <w:tcPr>
            <w:tcW w:w="4529" w:type="dxa"/>
          </w:tcPr>
          <w:p w14:paraId="184DB370" w14:textId="77777777" w:rsidR="004D78EB" w:rsidRDefault="00000000">
            <w:pPr>
              <w:keepNext/>
              <w:keepLines/>
              <w:widowControl w:val="0"/>
              <w:spacing w:after="12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V Praze dne [__/__] 2024</w:t>
            </w:r>
          </w:p>
          <w:p w14:paraId="77E98C74" w14:textId="77777777" w:rsidR="004D78EB" w:rsidRDefault="00000000">
            <w:pPr>
              <w:keepNext/>
              <w:keepLines/>
              <w:widowControl w:val="0"/>
              <w:spacing w:after="12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Za </w:t>
            </w:r>
            <w:proofErr w:type="spellStart"/>
            <w:r>
              <w:rPr>
                <w:b/>
                <w:color w:val="000000"/>
              </w:rPr>
              <w:t>Dramox</w:t>
            </w:r>
            <w:proofErr w:type="spellEnd"/>
            <w:r>
              <w:rPr>
                <w:b/>
                <w:color w:val="000000"/>
              </w:rPr>
              <w:t xml:space="preserve"> s.r.o.</w:t>
            </w:r>
          </w:p>
        </w:tc>
      </w:tr>
    </w:tbl>
    <w:p w14:paraId="7A73D570" w14:textId="77777777" w:rsidR="004D78EB" w:rsidRDefault="004D78EB">
      <w:pPr>
        <w:keepNext/>
        <w:keepLines/>
        <w:spacing w:line="240" w:lineRule="auto"/>
      </w:pPr>
    </w:p>
    <w:tbl>
      <w:tblPr>
        <w:tblW w:w="9060" w:type="dxa"/>
        <w:tblLayout w:type="fixed"/>
        <w:tblLook w:val="0400" w:firstRow="0" w:lastRow="0" w:firstColumn="0" w:lastColumn="0" w:noHBand="0" w:noVBand="1"/>
      </w:tblPr>
      <w:tblGrid>
        <w:gridCol w:w="4531"/>
        <w:gridCol w:w="4529"/>
      </w:tblGrid>
      <w:tr w:rsidR="004D78EB" w14:paraId="57BEC443" w14:textId="77777777">
        <w:tc>
          <w:tcPr>
            <w:tcW w:w="4530" w:type="dxa"/>
          </w:tcPr>
          <w:p w14:paraId="48D0344E" w14:textId="77777777" w:rsidR="004D78EB" w:rsidRDefault="004D78EB">
            <w:pPr>
              <w:keepNext/>
              <w:keepLines/>
              <w:widowControl w:val="0"/>
              <w:spacing w:after="120" w:line="240" w:lineRule="auto"/>
              <w:jc w:val="both"/>
              <w:rPr>
                <w:color w:val="000000"/>
              </w:rPr>
            </w:pPr>
          </w:p>
          <w:p w14:paraId="76736FAC" w14:textId="77777777" w:rsidR="004D78EB" w:rsidRDefault="004D78EB">
            <w:pPr>
              <w:keepNext/>
              <w:keepLines/>
              <w:widowControl w:val="0"/>
              <w:spacing w:after="120" w:line="240" w:lineRule="auto"/>
              <w:jc w:val="both"/>
              <w:rPr>
                <w:color w:val="000000"/>
              </w:rPr>
            </w:pPr>
          </w:p>
          <w:p w14:paraId="4590036F" w14:textId="77777777" w:rsidR="004D78EB" w:rsidRDefault="00000000">
            <w:pPr>
              <w:keepNext/>
              <w:keepLines/>
              <w:widowControl w:val="0"/>
              <w:spacing w:after="12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</w:t>
            </w:r>
          </w:p>
          <w:p w14:paraId="40E08D2B" w14:textId="77777777" w:rsidR="004D78EB" w:rsidRDefault="00000000">
            <w:pPr>
              <w:keepNext/>
              <w:keepLines/>
              <w:widowControl w:val="0"/>
              <w:spacing w:after="12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Jan </w:t>
            </w:r>
            <w:proofErr w:type="spellStart"/>
            <w:r>
              <w:rPr>
                <w:b/>
                <w:color w:val="000000"/>
              </w:rPr>
              <w:t>Búrik</w:t>
            </w:r>
            <w:proofErr w:type="spellEnd"/>
            <w:r>
              <w:rPr>
                <w:color w:val="000000"/>
              </w:rPr>
              <w:t xml:space="preserve">, ředitel CED, </w:t>
            </w:r>
            <w:proofErr w:type="spellStart"/>
            <w:r>
              <w:rPr>
                <w:color w:val="000000"/>
              </w:rPr>
              <w:t>p.o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529" w:type="dxa"/>
          </w:tcPr>
          <w:p w14:paraId="01948E48" w14:textId="77777777" w:rsidR="004D78EB" w:rsidRDefault="004D78EB">
            <w:pPr>
              <w:keepNext/>
              <w:keepLines/>
              <w:widowControl w:val="0"/>
              <w:spacing w:after="120" w:line="240" w:lineRule="auto"/>
              <w:jc w:val="both"/>
              <w:rPr>
                <w:color w:val="000000"/>
              </w:rPr>
            </w:pPr>
          </w:p>
          <w:p w14:paraId="3B230399" w14:textId="77777777" w:rsidR="004D78EB" w:rsidRDefault="004D78EB">
            <w:pPr>
              <w:keepNext/>
              <w:keepLines/>
              <w:widowControl w:val="0"/>
              <w:spacing w:after="120" w:line="240" w:lineRule="auto"/>
              <w:jc w:val="both"/>
              <w:rPr>
                <w:color w:val="000000"/>
              </w:rPr>
            </w:pPr>
          </w:p>
          <w:p w14:paraId="494DDB33" w14:textId="77777777" w:rsidR="004D78EB" w:rsidRDefault="00000000">
            <w:pPr>
              <w:keepNext/>
              <w:keepLines/>
              <w:widowControl w:val="0"/>
              <w:spacing w:after="12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</w:t>
            </w:r>
          </w:p>
          <w:p w14:paraId="4ADF17EE" w14:textId="557A54B3" w:rsidR="004D78EB" w:rsidRDefault="00197958">
            <w:pPr>
              <w:keepNext/>
              <w:keepLines/>
              <w:widowControl w:val="0"/>
              <w:spacing w:after="12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XXX</w:t>
            </w:r>
            <w:r w:rsidR="00000000">
              <w:rPr>
                <w:color w:val="000000"/>
              </w:rPr>
              <w:t>, jednatel</w:t>
            </w:r>
          </w:p>
          <w:p w14:paraId="6BA5EE95" w14:textId="77777777" w:rsidR="004D78EB" w:rsidRDefault="004D78EB">
            <w:pPr>
              <w:keepNext/>
              <w:keepLines/>
              <w:widowControl w:val="0"/>
              <w:spacing w:after="120" w:line="240" w:lineRule="auto"/>
              <w:jc w:val="both"/>
              <w:rPr>
                <w:color w:val="000000"/>
              </w:rPr>
            </w:pPr>
          </w:p>
        </w:tc>
      </w:tr>
    </w:tbl>
    <w:p w14:paraId="4C7C1B2D" w14:textId="77777777" w:rsidR="004D78EB" w:rsidRDefault="004D78EB">
      <w:pPr>
        <w:keepNext/>
        <w:keepLines/>
        <w:spacing w:line="240" w:lineRule="auto"/>
      </w:pPr>
    </w:p>
    <w:p w14:paraId="502B6936" w14:textId="77777777" w:rsidR="004D78EB" w:rsidRDefault="004D78EB"/>
    <w:sectPr w:rsidR="004D78EB">
      <w:footerReference w:type="default" r:id="rId8"/>
      <w:pgSz w:w="11906" w:h="16838"/>
      <w:pgMar w:top="1417" w:right="1417" w:bottom="1417" w:left="1417" w:header="0" w:footer="708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FBBC" w14:textId="77777777" w:rsidR="00420500" w:rsidRDefault="00420500">
      <w:pPr>
        <w:spacing w:after="0" w:line="240" w:lineRule="auto"/>
      </w:pPr>
      <w:r>
        <w:separator/>
      </w:r>
    </w:p>
  </w:endnote>
  <w:endnote w:type="continuationSeparator" w:id="0">
    <w:p w14:paraId="4AC9EDD7" w14:textId="77777777" w:rsidR="00420500" w:rsidRDefault="0042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T OT">
    <w:altName w:val="Century Gothic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1681" w14:textId="77777777" w:rsidR="004D78EB" w:rsidRDefault="00000000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8DE2150" w14:textId="77777777" w:rsidR="004D78EB" w:rsidRDefault="004D78EB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BC04" w14:textId="77777777" w:rsidR="00420500" w:rsidRDefault="00420500">
      <w:pPr>
        <w:spacing w:after="0" w:line="240" w:lineRule="auto"/>
      </w:pPr>
      <w:r>
        <w:separator/>
      </w:r>
    </w:p>
  </w:footnote>
  <w:footnote w:type="continuationSeparator" w:id="0">
    <w:p w14:paraId="7061BD80" w14:textId="77777777" w:rsidR="00420500" w:rsidRDefault="00420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E60"/>
    <w:multiLevelType w:val="multilevel"/>
    <w:tmpl w:val="C66CBB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350574"/>
    <w:multiLevelType w:val="multilevel"/>
    <w:tmpl w:val="BEFE86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1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3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08294234">
    <w:abstractNumId w:val="1"/>
  </w:num>
  <w:num w:numId="2" w16cid:durableId="163644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EB"/>
    <w:rsid w:val="00197958"/>
    <w:rsid w:val="00317A84"/>
    <w:rsid w:val="00362968"/>
    <w:rsid w:val="00420500"/>
    <w:rsid w:val="004D78EB"/>
    <w:rsid w:val="0085131F"/>
    <w:rsid w:val="00932A47"/>
    <w:rsid w:val="009E55AE"/>
    <w:rsid w:val="00C33E27"/>
    <w:rsid w:val="00D4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5990"/>
  <w15:docId w15:val="{BD590999-A291-4775-A969-6840832B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dpis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dpis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1CtrlShiftB1Char">
    <w:name w:val="Body 1 (CtrlShift + B1) Char"/>
    <w:basedOn w:val="Standardnpsmoodstavce"/>
    <w:link w:val="Body1CtrlShiftB1"/>
    <w:qFormat/>
    <w:rsid w:val="00611767"/>
    <w:rPr>
      <w:rFonts w:ascii="Futura T OT" w:hAnsi="Futura T OT"/>
      <w:sz w:val="20"/>
      <w:szCs w:val="20"/>
      <w:lang w:eastAsia="cs-CZ"/>
    </w:rPr>
  </w:style>
  <w:style w:type="character" w:customStyle="1" w:styleId="PartiesCtrlShiftPChar">
    <w:name w:val="Parties (CtrlShift + P) Char"/>
    <w:basedOn w:val="Standardnpsmoodstavce"/>
    <w:link w:val="PartiesCtrlShiftP"/>
    <w:qFormat/>
    <w:rsid w:val="00611767"/>
    <w:rPr>
      <w:rFonts w:ascii="Futura T OT" w:hAnsi="Futura T OT"/>
      <w:b/>
      <w:sz w:val="20"/>
      <w:szCs w:val="20"/>
      <w:lang w:eastAsia="cs-CZ"/>
    </w:rPr>
  </w:style>
  <w:style w:type="character" w:customStyle="1" w:styleId="PartiesBodyChar">
    <w:name w:val="Parties Body Char"/>
    <w:basedOn w:val="Standardnpsmoodstavce"/>
    <w:link w:val="PartiesBody"/>
    <w:qFormat/>
    <w:rsid w:val="00611767"/>
    <w:rPr>
      <w:rFonts w:ascii="Futura T OT" w:hAnsi="Futura T OT"/>
      <w:sz w:val="20"/>
      <w:szCs w:val="20"/>
      <w:lang w:eastAsia="cs-CZ"/>
    </w:rPr>
  </w:style>
  <w:style w:type="character" w:customStyle="1" w:styleId="Level1CtrlShiftL1Char">
    <w:name w:val="Level 1 (CtrlShift + L1) Char"/>
    <w:basedOn w:val="Standardnpsmoodstavce"/>
    <w:link w:val="Level1CtrlShiftL1"/>
    <w:qFormat/>
    <w:rsid w:val="00611767"/>
    <w:rPr>
      <w:rFonts w:ascii="Futura T OT" w:eastAsiaTheme="majorEastAsia" w:hAnsi="Futura T OT" w:cstheme="majorBidi"/>
      <w:b/>
      <w:bCs/>
      <w:sz w:val="20"/>
      <w:szCs w:val="28"/>
      <w:lang w:eastAsia="cs-CZ"/>
    </w:rPr>
  </w:style>
  <w:style w:type="character" w:customStyle="1" w:styleId="Level2CtrlShiftL2Char">
    <w:name w:val="Level 2 (CtrlShift + L2) Char"/>
    <w:basedOn w:val="Standardnpsmoodstavce"/>
    <w:link w:val="Level2CtrlShiftL2"/>
    <w:uiPriority w:val="99"/>
    <w:qFormat/>
    <w:rsid w:val="00611767"/>
    <w:rPr>
      <w:rFonts w:ascii="Futura T OT" w:eastAsiaTheme="majorEastAsia" w:hAnsi="Futura T OT" w:cstheme="majorBidi"/>
      <w:sz w:val="20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E200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E200F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E200F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E200F"/>
    <w:rPr>
      <w:rFonts w:ascii="Segoe UI" w:hAnsi="Segoe UI" w:cs="Segoe UI"/>
      <w:sz w:val="18"/>
      <w:szCs w:val="18"/>
    </w:rPr>
  </w:style>
  <w:style w:type="character" w:customStyle="1" w:styleId="Level3CtrlShiftL3Char">
    <w:name w:val="Level 3 (CtrlShift + L3) Char"/>
    <w:basedOn w:val="Standardnpsmoodstavce"/>
    <w:link w:val="Level3CtrlShiftL3"/>
    <w:uiPriority w:val="99"/>
    <w:qFormat/>
    <w:rsid w:val="00244FBE"/>
    <w:rPr>
      <w:rFonts w:ascii="Futura T OT" w:eastAsiaTheme="majorEastAsia" w:hAnsi="Futura T OT" w:cstheme="majorBidi"/>
      <w:bCs/>
      <w:sz w:val="20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A5C65"/>
  </w:style>
  <w:style w:type="character" w:customStyle="1" w:styleId="ZpatChar">
    <w:name w:val="Zápatí Char"/>
    <w:basedOn w:val="Standardnpsmoodstavce"/>
    <w:link w:val="Zpat"/>
    <w:uiPriority w:val="99"/>
    <w:qFormat/>
    <w:rsid w:val="006A5C65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Nzev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Body1CtrlShiftB1">
    <w:name w:val="Body 1 (CtrlShift + B1)"/>
    <w:basedOn w:val="Body0CtrlShiftB0"/>
    <w:link w:val="Body1CtrlShiftB1Char"/>
    <w:qFormat/>
    <w:rsid w:val="00611767"/>
    <w:pPr>
      <w:ind w:left="567"/>
    </w:pPr>
  </w:style>
  <w:style w:type="paragraph" w:customStyle="1" w:styleId="PartiesCtrlShiftP">
    <w:name w:val="Parties (CtrlShift + P)"/>
    <w:basedOn w:val="Normln"/>
    <w:next w:val="PartiesBody"/>
    <w:link w:val="PartiesCtrlShiftPChar"/>
    <w:qFormat/>
    <w:rsid w:val="00611767"/>
    <w:pPr>
      <w:spacing w:after="120" w:line="120" w:lineRule="atLeast"/>
      <w:jc w:val="both"/>
    </w:pPr>
    <w:rPr>
      <w:rFonts w:ascii="Futura T OT" w:hAnsi="Futura T OT"/>
      <w:b/>
      <w:sz w:val="20"/>
      <w:szCs w:val="20"/>
      <w:lang w:eastAsia="cs-CZ"/>
    </w:rPr>
  </w:style>
  <w:style w:type="paragraph" w:customStyle="1" w:styleId="PartiesBody">
    <w:name w:val="Parties Body"/>
    <w:basedOn w:val="Normln"/>
    <w:link w:val="PartiesBodyChar"/>
    <w:qFormat/>
    <w:rsid w:val="00611767"/>
    <w:pPr>
      <w:spacing w:after="120" w:line="120" w:lineRule="atLeast"/>
      <w:ind w:left="567"/>
      <w:jc w:val="both"/>
    </w:pPr>
    <w:rPr>
      <w:rFonts w:ascii="Futura T OT" w:hAnsi="Futura T OT"/>
      <w:sz w:val="20"/>
      <w:szCs w:val="20"/>
      <w:lang w:eastAsia="cs-CZ"/>
    </w:rPr>
  </w:style>
  <w:style w:type="paragraph" w:customStyle="1" w:styleId="Level1CtrlShiftL1">
    <w:name w:val="Level 1 (CtrlShift + L1)"/>
    <w:basedOn w:val="Body0CtrlShiftB0"/>
    <w:link w:val="Level1CtrlShiftL1Char"/>
    <w:uiPriority w:val="99"/>
    <w:qFormat/>
    <w:rsid w:val="00611767"/>
    <w:pPr>
      <w:keepNext/>
      <w:keepLines/>
      <w:spacing w:before="240" w:after="160"/>
      <w:outlineLvl w:val="0"/>
    </w:pPr>
    <w:rPr>
      <w:rFonts w:eastAsiaTheme="majorEastAsia" w:cstheme="majorBidi"/>
      <w:b/>
      <w:bCs/>
      <w:szCs w:val="28"/>
    </w:rPr>
  </w:style>
  <w:style w:type="paragraph" w:customStyle="1" w:styleId="Level2CtrlShiftL2">
    <w:name w:val="Level 2 (CtrlShift + L2)"/>
    <w:basedOn w:val="Level1CtrlShiftL1"/>
    <w:link w:val="Level2CtrlShiftL2Char"/>
    <w:uiPriority w:val="99"/>
    <w:qFormat/>
    <w:rsid w:val="00611767"/>
    <w:pPr>
      <w:outlineLvl w:val="1"/>
    </w:pPr>
    <w:rPr>
      <w:b w:val="0"/>
      <w:bCs w:val="0"/>
      <w:szCs w:val="26"/>
    </w:rPr>
  </w:style>
  <w:style w:type="paragraph" w:customStyle="1" w:styleId="Level3CtrlShiftL3">
    <w:name w:val="Level 3 (CtrlShift + L3)"/>
    <w:basedOn w:val="Level2CtrlShiftL2"/>
    <w:link w:val="Level3CtrlShiftL3Char"/>
    <w:uiPriority w:val="99"/>
    <w:qFormat/>
    <w:rsid w:val="00611767"/>
    <w:pPr>
      <w:outlineLvl w:val="2"/>
    </w:pPr>
    <w:rPr>
      <w:bCs/>
    </w:rPr>
  </w:style>
  <w:style w:type="paragraph" w:customStyle="1" w:styleId="Level4CtrlShiftL4">
    <w:name w:val="Level 4 (CtrlShift + L4)"/>
    <w:basedOn w:val="Level3CtrlShiftL3"/>
    <w:uiPriority w:val="99"/>
    <w:qFormat/>
    <w:rsid w:val="00611767"/>
    <w:pPr>
      <w:tabs>
        <w:tab w:val="left" w:pos="360"/>
      </w:tabs>
      <w:outlineLvl w:val="3"/>
    </w:pPr>
    <w:rPr>
      <w:bCs w:val="0"/>
      <w:iCs/>
    </w:rPr>
  </w:style>
  <w:style w:type="paragraph" w:customStyle="1" w:styleId="Body0CtrlShiftB0">
    <w:name w:val="Body 0 (CtrlShift + B0)"/>
    <w:basedOn w:val="Normln"/>
    <w:qFormat/>
    <w:rsid w:val="00611767"/>
    <w:pPr>
      <w:spacing w:after="120" w:line="120" w:lineRule="atLeast"/>
      <w:jc w:val="both"/>
    </w:pPr>
    <w:rPr>
      <w:rFonts w:ascii="Futura T OT" w:hAnsi="Futura T OT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200F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E200F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E200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E200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6A5C6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A5C65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qFormat/>
    <w:rsid w:val="000A5BC1"/>
    <w:rPr>
      <w:rFonts w:ascii="Times New Roman" w:hAnsi="Times New Roman" w:cs="Times New Roman"/>
      <w:sz w:val="24"/>
      <w:szCs w:val="24"/>
    </w:rPr>
  </w:style>
  <w:style w:type="paragraph" w:styleId="Podnadpis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PartiesList">
    <w:name w:val="Parties List"/>
    <w:uiPriority w:val="99"/>
    <w:qFormat/>
    <w:rsid w:val="00611767"/>
  </w:style>
  <w:style w:type="numbering" w:customStyle="1" w:styleId="LevelList">
    <w:name w:val="Level List"/>
    <w:qFormat/>
    <w:rsid w:val="00611767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6A5C65"/>
    <w:rPr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QO1XQmq/qgLs2dL/0urXWy4M9MA==">CgMxLjA4AHIhMXYybWM3UHdUNkhoQ2xOZFZRS3NyckFrZnpLVFV0UEla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Petr</dc:creator>
  <dc:description/>
  <cp:lastModifiedBy>Ondřej Petr</cp:lastModifiedBy>
  <cp:revision>2</cp:revision>
  <dcterms:created xsi:type="dcterms:W3CDTF">2024-12-20T08:00:00Z</dcterms:created>
  <dcterms:modified xsi:type="dcterms:W3CDTF">2024-12-20T08:00:00Z</dcterms:modified>
  <dc:language>cs-CZ</dc:language>
</cp:coreProperties>
</file>