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7062" w14:textId="77777777" w:rsidR="004F475E" w:rsidRDefault="004F475E" w:rsidP="004F475E">
      <w:pPr>
        <w:pStyle w:val="Nadpis1"/>
        <w:spacing w:before="81"/>
        <w:rPr>
          <w:u w:val="none"/>
        </w:rPr>
      </w:pPr>
      <w:r>
        <w:rPr>
          <w:u w:val="thick"/>
        </w:rPr>
        <w:t>Příloha č. 1</w:t>
      </w:r>
    </w:p>
    <w:p w14:paraId="02BD631B" w14:textId="77777777" w:rsidR="004F475E" w:rsidRDefault="004F475E" w:rsidP="004F475E">
      <w:pPr>
        <w:pStyle w:val="Zkladntext"/>
        <w:spacing w:before="6"/>
        <w:ind w:left="0"/>
        <w:rPr>
          <w:b/>
          <w:i/>
          <w:sz w:val="28"/>
        </w:rPr>
      </w:pPr>
    </w:p>
    <w:p w14:paraId="368FADE5" w14:textId="2D563C91" w:rsidR="004F475E" w:rsidRDefault="004F475E" w:rsidP="004F475E">
      <w:pPr>
        <w:pStyle w:val="Nadpis3"/>
        <w:spacing w:before="93"/>
        <w:ind w:left="117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0CF1" wp14:editId="6B68C4E4">
                <wp:simplePos x="0" y="0"/>
                <wp:positionH relativeFrom="page">
                  <wp:posOffset>1153795</wp:posOffset>
                </wp:positionH>
                <wp:positionV relativeFrom="paragraph">
                  <wp:posOffset>229235</wp:posOffset>
                </wp:positionV>
                <wp:extent cx="4941570" cy="0"/>
                <wp:effectExtent l="10795" t="16510" r="10160" b="12065"/>
                <wp:wrapNone/>
                <wp:docPr id="25112925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15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38FD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85pt,18.05pt" to="479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" strokeweight="1.2pt">
                <w10:wrap anchorx="page"/>
              </v:line>
            </w:pict>
          </mc:Fallback>
        </mc:AlternateContent>
      </w:r>
      <w:r>
        <w:rPr>
          <w:u w:val="none"/>
        </w:rPr>
        <w:t>TECHNICKÁ SPECIFIKACE PŘÍSTROJE COMPOSEAL</w:t>
      </w:r>
      <w:r>
        <w:rPr>
          <w:position w:val="8"/>
          <w:sz w:val="16"/>
          <w:u w:val="none"/>
        </w:rPr>
        <w:t xml:space="preserve">® </w:t>
      </w:r>
      <w:r>
        <w:rPr>
          <w:u w:val="none"/>
        </w:rPr>
        <w:t>MOBILEA II</w:t>
      </w:r>
    </w:p>
    <w:p w14:paraId="410EEEAE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221" w:line="276" w:lineRule="auto"/>
        <w:ind w:right="143" w:firstLine="0"/>
      </w:pPr>
      <w:r>
        <w:t>Lithium polymerová baterie trvale vodičem propojená se svařovací hlavou. Tento typ baterie nemá oproti jiným typům baterie nabíjecí paměť, tedy po deseti polovičních dobíjecích cyklech si pamatuje pouze a jen 5 nabíjecích</w:t>
      </w:r>
      <w:r>
        <w:rPr>
          <w:spacing w:val="-3"/>
        </w:rPr>
        <w:t xml:space="preserve"> </w:t>
      </w:r>
      <w:r>
        <w:t>cyklů.</w:t>
      </w:r>
    </w:p>
    <w:p w14:paraId="74E75470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1"/>
        <w:ind w:left="825" w:hanging="709"/>
      </w:pPr>
      <w:r>
        <w:t>Kovová kostra baterie je vybavena gumovými tlumiči</w:t>
      </w:r>
      <w:r>
        <w:rPr>
          <w:spacing w:val="-9"/>
        </w:rPr>
        <w:t xml:space="preserve"> </w:t>
      </w:r>
      <w:r>
        <w:t>nárazů</w:t>
      </w:r>
    </w:p>
    <w:p w14:paraId="699F349C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8"/>
        <w:ind w:left="825" w:hanging="709"/>
      </w:pPr>
      <w:r>
        <w:t>Vysokofrekvenční sváření</w:t>
      </w:r>
    </w:p>
    <w:p w14:paraId="1BB2427B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Výdrž baterie až 1.000 svárů při plném nabití</w:t>
      </w:r>
      <w:r>
        <w:rPr>
          <w:spacing w:val="-9"/>
        </w:rPr>
        <w:t xml:space="preserve"> </w:t>
      </w:r>
      <w:r>
        <w:t>baterie</w:t>
      </w:r>
    </w:p>
    <w:p w14:paraId="20AD1B30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Nabití baterie trvá méně než 1</w:t>
      </w:r>
      <w:r>
        <w:rPr>
          <w:spacing w:val="-2"/>
        </w:rPr>
        <w:t xml:space="preserve"> </w:t>
      </w:r>
      <w:r>
        <w:t>hodinu</w:t>
      </w:r>
    </w:p>
    <w:p w14:paraId="2BF8C440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40"/>
        <w:ind w:left="825" w:hanging="709"/>
      </w:pPr>
      <w:r>
        <w:t>Až 30 svárů v rychlé</w:t>
      </w:r>
      <w:r>
        <w:rPr>
          <w:spacing w:val="-6"/>
        </w:rPr>
        <w:t xml:space="preserve"> </w:t>
      </w:r>
      <w:r>
        <w:t>sekvenci</w:t>
      </w:r>
    </w:p>
    <w:p w14:paraId="018D8D7E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8"/>
        <w:ind w:left="825" w:hanging="709"/>
      </w:pPr>
      <w:r>
        <w:t>Automatické nastavení délky sváru dle tloušťky hadičky, max. do 2</w:t>
      </w:r>
      <w:r>
        <w:rPr>
          <w:spacing w:val="-8"/>
        </w:rPr>
        <w:t xml:space="preserve"> </w:t>
      </w:r>
      <w:r>
        <w:t>vteřin</w:t>
      </w:r>
    </w:p>
    <w:p w14:paraId="2E79BDC4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Snadná údržba, vysoká bezpečnost a snadná</w:t>
      </w:r>
      <w:r>
        <w:rPr>
          <w:spacing w:val="-3"/>
        </w:rPr>
        <w:t xml:space="preserve"> </w:t>
      </w:r>
      <w:r>
        <w:t>údržba</w:t>
      </w:r>
    </w:p>
    <w:p w14:paraId="0F71DB61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Indikátor stavu baterie se zvukovou signalizací nízkého napětí</w:t>
      </w:r>
      <w:r>
        <w:rPr>
          <w:spacing w:val="-7"/>
        </w:rPr>
        <w:t xml:space="preserve"> </w:t>
      </w:r>
      <w:r>
        <w:t>baterie</w:t>
      </w:r>
    </w:p>
    <w:p w14:paraId="1DF9C8AF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40"/>
        <w:ind w:left="825" w:hanging="709"/>
      </w:pPr>
      <w:r>
        <w:t>Indikace sváření na svářecích kleštích, že svár je ukončen a že je</w:t>
      </w:r>
      <w:r>
        <w:rPr>
          <w:spacing w:val="-15"/>
        </w:rPr>
        <w:t xml:space="preserve"> </w:t>
      </w:r>
      <w:r>
        <w:t>spolehlivý</w:t>
      </w:r>
    </w:p>
    <w:p w14:paraId="12949265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8"/>
        <w:ind w:left="825" w:hanging="709"/>
      </w:pPr>
      <w:r>
        <w:t>Indikace sváření na svářecích kleštích, že svár nebyl proveden</w:t>
      </w:r>
      <w:r>
        <w:rPr>
          <w:spacing w:val="-12"/>
        </w:rPr>
        <w:t xml:space="preserve"> </w:t>
      </w:r>
      <w:r>
        <w:t>kvalitně</w:t>
      </w:r>
    </w:p>
    <w:p w14:paraId="68C0D9FC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8"/>
        <w:ind w:left="825" w:hanging="709"/>
      </w:pPr>
      <w:r>
        <w:t>Kompatibilita svářecích kleští s různými bateriovými</w:t>
      </w:r>
      <w:r>
        <w:rPr>
          <w:spacing w:val="-8"/>
        </w:rPr>
        <w:t xml:space="preserve"> </w:t>
      </w:r>
      <w:r>
        <w:t>zdroji</w:t>
      </w:r>
    </w:p>
    <w:p w14:paraId="49777DF6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Nízká váha, 1,15 kg (830g baterie, 320g</w:t>
      </w:r>
      <w:r>
        <w:rPr>
          <w:spacing w:val="-11"/>
        </w:rPr>
        <w:t xml:space="preserve"> </w:t>
      </w:r>
      <w:r>
        <w:t>kleště)</w:t>
      </w:r>
    </w:p>
    <w:p w14:paraId="08282D9F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7"/>
        <w:ind w:left="825" w:hanging="709"/>
      </w:pPr>
      <w:r>
        <w:t>Ergonomické</w:t>
      </w:r>
      <w:r>
        <w:rPr>
          <w:spacing w:val="-1"/>
        </w:rPr>
        <w:t xml:space="preserve"> </w:t>
      </w:r>
      <w:r>
        <w:t>uchopení</w:t>
      </w:r>
    </w:p>
    <w:p w14:paraId="086AEBC8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40"/>
        <w:ind w:left="825" w:hanging="709"/>
      </w:pPr>
      <w:r>
        <w:t>Nabíjení baterie max. 3</w:t>
      </w:r>
      <w:r>
        <w:rPr>
          <w:spacing w:val="-7"/>
        </w:rPr>
        <w:t xml:space="preserve"> </w:t>
      </w:r>
      <w:r>
        <w:t>hodiny</w:t>
      </w:r>
    </w:p>
    <w:p w14:paraId="08E401EB" w14:textId="77777777" w:rsidR="004F475E" w:rsidRDefault="004F475E" w:rsidP="004F475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8" w:line="276" w:lineRule="auto"/>
        <w:ind w:right="620" w:firstLine="0"/>
      </w:pPr>
      <w:proofErr w:type="spellStart"/>
      <w:r>
        <w:t>Composeal</w:t>
      </w:r>
      <w:proofErr w:type="spellEnd"/>
      <w:r>
        <w:t xml:space="preserve"> </w:t>
      </w:r>
      <w:proofErr w:type="spellStart"/>
      <w:r>
        <w:t>Mobilea</w:t>
      </w:r>
      <w:proofErr w:type="spellEnd"/>
      <w:r>
        <w:t xml:space="preserve"> II umožňuje svářet set, i když je dárce připojen k odběrovému setu (norma IEC</w:t>
      </w:r>
      <w:r>
        <w:rPr>
          <w:spacing w:val="-3"/>
        </w:rPr>
        <w:t xml:space="preserve"> </w:t>
      </w:r>
      <w:r>
        <w:t>60601-1)</w:t>
      </w:r>
    </w:p>
    <w:p w14:paraId="1EE48AFF" w14:textId="77777777" w:rsidR="008F7B7D" w:rsidRDefault="008F7B7D"/>
    <w:sectPr w:rsidR="008F7B7D" w:rsidSect="004F475E">
      <w:type w:val="continuous"/>
      <w:pgSz w:w="12150" w:h="15720"/>
      <w:pgMar w:top="1480" w:right="1298" w:bottom="27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84D98"/>
    <w:multiLevelType w:val="hybridMultilevel"/>
    <w:tmpl w:val="FC1C5EFE"/>
    <w:lvl w:ilvl="0" w:tplc="CA42CB20">
      <w:numFmt w:val="bullet"/>
      <w:lvlText w:val="-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132F8D0">
      <w:numFmt w:val="bullet"/>
      <w:lvlText w:val="•"/>
      <w:lvlJc w:val="left"/>
      <w:pPr>
        <w:ind w:left="1022" w:hanging="708"/>
      </w:pPr>
      <w:rPr>
        <w:rFonts w:hint="default"/>
        <w:lang w:val="cs-CZ" w:eastAsia="cs-CZ" w:bidi="cs-CZ"/>
      </w:rPr>
    </w:lvl>
    <w:lvl w:ilvl="2" w:tplc="F2F8C5A2">
      <w:numFmt w:val="bullet"/>
      <w:lvlText w:val="•"/>
      <w:lvlJc w:val="left"/>
      <w:pPr>
        <w:ind w:left="1924" w:hanging="708"/>
      </w:pPr>
      <w:rPr>
        <w:rFonts w:hint="default"/>
        <w:lang w:val="cs-CZ" w:eastAsia="cs-CZ" w:bidi="cs-CZ"/>
      </w:rPr>
    </w:lvl>
    <w:lvl w:ilvl="3" w:tplc="72385B40">
      <w:numFmt w:val="bullet"/>
      <w:lvlText w:val="•"/>
      <w:lvlJc w:val="left"/>
      <w:pPr>
        <w:ind w:left="2827" w:hanging="708"/>
      </w:pPr>
      <w:rPr>
        <w:rFonts w:hint="default"/>
        <w:lang w:val="cs-CZ" w:eastAsia="cs-CZ" w:bidi="cs-CZ"/>
      </w:rPr>
    </w:lvl>
    <w:lvl w:ilvl="4" w:tplc="3B30024E">
      <w:numFmt w:val="bullet"/>
      <w:lvlText w:val="•"/>
      <w:lvlJc w:val="left"/>
      <w:pPr>
        <w:ind w:left="3729" w:hanging="708"/>
      </w:pPr>
      <w:rPr>
        <w:rFonts w:hint="default"/>
        <w:lang w:val="cs-CZ" w:eastAsia="cs-CZ" w:bidi="cs-CZ"/>
      </w:rPr>
    </w:lvl>
    <w:lvl w:ilvl="5" w:tplc="C86A1224">
      <w:numFmt w:val="bullet"/>
      <w:lvlText w:val="•"/>
      <w:lvlJc w:val="left"/>
      <w:pPr>
        <w:ind w:left="4632" w:hanging="708"/>
      </w:pPr>
      <w:rPr>
        <w:rFonts w:hint="default"/>
        <w:lang w:val="cs-CZ" w:eastAsia="cs-CZ" w:bidi="cs-CZ"/>
      </w:rPr>
    </w:lvl>
    <w:lvl w:ilvl="6" w:tplc="40DA54EC">
      <w:numFmt w:val="bullet"/>
      <w:lvlText w:val="•"/>
      <w:lvlJc w:val="left"/>
      <w:pPr>
        <w:ind w:left="5534" w:hanging="708"/>
      </w:pPr>
      <w:rPr>
        <w:rFonts w:hint="default"/>
        <w:lang w:val="cs-CZ" w:eastAsia="cs-CZ" w:bidi="cs-CZ"/>
      </w:rPr>
    </w:lvl>
    <w:lvl w:ilvl="7" w:tplc="6C4E4F5C">
      <w:numFmt w:val="bullet"/>
      <w:lvlText w:val="•"/>
      <w:lvlJc w:val="left"/>
      <w:pPr>
        <w:ind w:left="6436" w:hanging="708"/>
      </w:pPr>
      <w:rPr>
        <w:rFonts w:hint="default"/>
        <w:lang w:val="cs-CZ" w:eastAsia="cs-CZ" w:bidi="cs-CZ"/>
      </w:rPr>
    </w:lvl>
    <w:lvl w:ilvl="8" w:tplc="007602A0">
      <w:numFmt w:val="bullet"/>
      <w:lvlText w:val="•"/>
      <w:lvlJc w:val="left"/>
      <w:pPr>
        <w:ind w:left="7339" w:hanging="708"/>
      </w:pPr>
      <w:rPr>
        <w:rFonts w:hint="default"/>
        <w:lang w:val="cs-CZ" w:eastAsia="cs-CZ" w:bidi="cs-CZ"/>
      </w:rPr>
    </w:lvl>
  </w:abstractNum>
  <w:num w:numId="1" w16cid:durableId="84621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5E"/>
    <w:rsid w:val="004F475E"/>
    <w:rsid w:val="0053049E"/>
    <w:rsid w:val="00693199"/>
    <w:rsid w:val="008F7B7D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0EB3"/>
  <w15:chartTrackingRefBased/>
  <w15:docId w15:val="{801DE814-CF94-4E95-9D3B-2CCFE11D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4F475E"/>
    <w:pPr>
      <w:widowControl w:val="0"/>
      <w:autoSpaceDE w:val="0"/>
      <w:autoSpaceDN w:val="0"/>
      <w:spacing w:before="64" w:after="0" w:line="240" w:lineRule="auto"/>
      <w:ind w:right="1"/>
      <w:jc w:val="center"/>
      <w:outlineLvl w:val="0"/>
    </w:pPr>
    <w:rPr>
      <w:rFonts w:ascii="Times New Roman" w:eastAsia="Times New Roman" w:hAnsi="Times New Roman" w:cs="Times New Roman"/>
      <w:b/>
      <w:bCs/>
      <w:i/>
      <w:noProof w:val="0"/>
      <w:kern w:val="0"/>
      <w:sz w:val="44"/>
      <w:szCs w:val="44"/>
      <w:u w:val="single" w:color="000000"/>
      <w:lang w:eastAsia="cs-CZ" w:bidi="cs-CZ"/>
      <w14:ligatures w14:val="none"/>
    </w:rPr>
  </w:style>
  <w:style w:type="paragraph" w:styleId="Nadpis3">
    <w:name w:val="heading 3"/>
    <w:basedOn w:val="Normln"/>
    <w:link w:val="Nadpis3Char"/>
    <w:uiPriority w:val="9"/>
    <w:unhideWhenUsed/>
    <w:qFormat/>
    <w:rsid w:val="004F475E"/>
    <w:pPr>
      <w:widowControl w:val="0"/>
      <w:autoSpaceDE w:val="0"/>
      <w:autoSpaceDN w:val="0"/>
      <w:spacing w:before="21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u w:val="single" w:color="00000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75E"/>
    <w:rPr>
      <w:rFonts w:ascii="Times New Roman" w:eastAsia="Times New Roman" w:hAnsi="Times New Roman" w:cs="Times New Roman"/>
      <w:b/>
      <w:bCs/>
      <w:i/>
      <w:kern w:val="0"/>
      <w:sz w:val="44"/>
      <w:szCs w:val="44"/>
      <w:u w:val="single" w:color="000000"/>
      <w:lang w:eastAsia="cs-CZ" w:bidi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F475E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4F475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noProof w:val="0"/>
      <w:kern w:val="0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F475E"/>
    <w:rPr>
      <w:rFonts w:ascii="Times New Roman" w:eastAsia="Times New Roman" w:hAnsi="Times New Roman" w:cs="Times New Roman"/>
      <w:kern w:val="0"/>
      <w:lang w:eastAsia="cs-CZ" w:bidi="cs-CZ"/>
      <w14:ligatures w14:val="none"/>
    </w:rPr>
  </w:style>
  <w:style w:type="paragraph" w:styleId="Odstavecseseznamem">
    <w:name w:val="List Paragraph"/>
    <w:basedOn w:val="Normln"/>
    <w:uiPriority w:val="1"/>
    <w:qFormat/>
    <w:rsid w:val="004F475E"/>
    <w:pPr>
      <w:widowControl w:val="0"/>
      <w:autoSpaceDE w:val="0"/>
      <w:autoSpaceDN w:val="0"/>
      <w:spacing w:after="0" w:line="240" w:lineRule="auto"/>
      <w:ind w:left="825" w:hanging="709"/>
    </w:pPr>
    <w:rPr>
      <w:rFonts w:ascii="Times New Roman" w:eastAsia="Times New Roman" w:hAnsi="Times New Roman" w:cs="Times New Roman"/>
      <w:noProof w:val="0"/>
      <w:kern w:val="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DPO</cp:lastModifiedBy>
  <cp:revision>1</cp:revision>
  <dcterms:created xsi:type="dcterms:W3CDTF">2024-12-20T06:44:00Z</dcterms:created>
  <dcterms:modified xsi:type="dcterms:W3CDTF">2024-12-20T06:44:00Z</dcterms:modified>
</cp:coreProperties>
</file>