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C309C" w:rsidRDefault="007F735B">
      <w:pPr>
        <w:pBdr>
          <w:top w:val="nil"/>
          <w:left w:val="nil"/>
          <w:bottom w:val="single" w:sz="4" w:space="1" w:color="CA005D"/>
          <w:right w:val="nil"/>
          <w:between w:val="nil"/>
        </w:pBdr>
        <w:spacing w:after="240"/>
        <w:jc w:val="right"/>
        <w:rPr>
          <w:b/>
          <w:color w:val="000000"/>
          <w:sz w:val="22"/>
          <w:szCs w:val="22"/>
        </w:rPr>
      </w:pPr>
      <w:r>
        <w:rPr>
          <w:b/>
          <w:color w:val="000000"/>
          <w:sz w:val="22"/>
          <w:szCs w:val="22"/>
        </w:rPr>
        <w:t>č.j. 2024/5582/NM</w:t>
      </w:r>
    </w:p>
    <w:p w14:paraId="00000002" w14:textId="77777777" w:rsidR="009C309C" w:rsidRDefault="007F735B">
      <w:pPr>
        <w:pBdr>
          <w:top w:val="nil"/>
          <w:left w:val="nil"/>
          <w:bottom w:val="single" w:sz="4" w:space="1" w:color="CA005D"/>
          <w:right w:val="nil"/>
          <w:between w:val="nil"/>
        </w:pBdr>
        <w:spacing w:after="240"/>
        <w:jc w:val="both"/>
        <w:rPr>
          <w:b/>
          <w:color w:val="000000"/>
          <w:sz w:val="40"/>
          <w:szCs w:val="40"/>
        </w:rPr>
      </w:pPr>
      <w:r>
        <w:rPr>
          <w:b/>
          <w:color w:val="8A003E"/>
          <w:sz w:val="40"/>
          <w:szCs w:val="40"/>
        </w:rPr>
        <w:t xml:space="preserve">Servisní smlouva: </w:t>
      </w:r>
      <w:r>
        <w:rPr>
          <w:b/>
          <w:color w:val="000000"/>
          <w:sz w:val="40"/>
          <w:szCs w:val="40"/>
        </w:rPr>
        <w:t>Technická podpora sw OBD v období od 01. 01. 202</w:t>
      </w:r>
      <w:r>
        <w:rPr>
          <w:b/>
          <w:sz w:val="40"/>
          <w:szCs w:val="40"/>
        </w:rPr>
        <w:t>5</w:t>
      </w:r>
      <w:r>
        <w:rPr>
          <w:b/>
          <w:color w:val="000000"/>
          <w:sz w:val="40"/>
          <w:szCs w:val="40"/>
        </w:rPr>
        <w:t xml:space="preserve"> až 31. 12. 2028</w:t>
      </w:r>
    </w:p>
    <w:p w14:paraId="00000003" w14:textId="77777777" w:rsidR="009C309C" w:rsidRDefault="007F735B">
      <w:pPr>
        <w:pBdr>
          <w:top w:val="nil"/>
          <w:left w:val="nil"/>
          <w:bottom w:val="nil"/>
          <w:right w:val="nil"/>
          <w:between w:val="nil"/>
        </w:pBdr>
        <w:spacing w:before="120" w:after="120"/>
        <w:jc w:val="both"/>
        <w:rPr>
          <w:color w:val="000000"/>
        </w:rPr>
      </w:pPr>
      <w:r>
        <w:rPr>
          <w:color w:val="000000"/>
        </w:rPr>
        <w:t>číslo smlouvy Poskytovatele:</w:t>
      </w:r>
      <w:r>
        <w:rPr>
          <w:color w:val="000000"/>
        </w:rPr>
        <w:tab/>
      </w:r>
      <w:r>
        <w:rPr>
          <w:color w:val="000000"/>
        </w:rPr>
        <w:tab/>
      </w:r>
      <w:r>
        <w:rPr>
          <w:color w:val="000000"/>
        </w:rPr>
        <w:tab/>
      </w:r>
      <w:r>
        <w:rPr>
          <w:color w:val="000000"/>
        </w:rPr>
        <w:tab/>
        <w:t xml:space="preserve">číslo smlouvy Uživatele: 241525   </w:t>
      </w:r>
      <w:r>
        <w:rPr>
          <w:noProof/>
        </w:rPr>
        <mc:AlternateContent>
          <mc:Choice Requires="wps">
            <w:drawing>
              <wp:anchor distT="0" distB="0" distL="114296" distR="114296" simplePos="0" relativeHeight="251658240" behindDoc="0" locked="0" layoutInCell="1" hidden="0" allowOverlap="1" wp14:anchorId="7894D1A2" wp14:editId="003B32A2">
                <wp:simplePos x="0" y="0"/>
                <wp:positionH relativeFrom="column">
                  <wp:posOffset>2895596</wp:posOffset>
                </wp:positionH>
                <wp:positionV relativeFrom="paragraph">
                  <wp:posOffset>38100</wp:posOffset>
                </wp:positionV>
                <wp:extent cx="0" cy="2999105"/>
                <wp:effectExtent l="0" t="0" r="0" b="0"/>
                <wp:wrapNone/>
                <wp:docPr id="18" name="Přímá spojnice se šipkou 18"/>
                <wp:cNvGraphicFramePr/>
                <a:graphic xmlns:a="http://schemas.openxmlformats.org/drawingml/2006/main">
                  <a:graphicData uri="http://schemas.microsoft.com/office/word/2010/wordprocessingShape">
                    <wps:wsp>
                      <wps:cNvCnPr/>
                      <wps:spPr>
                        <a:xfrm>
                          <a:off x="5346000" y="2280448"/>
                          <a:ext cx="0" cy="2999105"/>
                        </a:xfrm>
                        <a:prstGeom prst="straightConnector1">
                          <a:avLst/>
                        </a:prstGeom>
                        <a:noFill/>
                        <a:ln w="9525" cap="flat" cmpd="sng">
                          <a:solidFill>
                            <a:srgbClr val="CA005D"/>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6" distR="114296" hidden="0" layoutInCell="1" locked="0" relativeHeight="0" simplePos="0">
                <wp:simplePos x="0" y="0"/>
                <wp:positionH relativeFrom="column">
                  <wp:posOffset>2895596</wp:posOffset>
                </wp:positionH>
                <wp:positionV relativeFrom="paragraph">
                  <wp:posOffset>38100</wp:posOffset>
                </wp:positionV>
                <wp:extent cx="0" cy="2999105"/>
                <wp:effectExtent b="0" l="0" r="0" t="0"/>
                <wp:wrapNone/>
                <wp:docPr id="1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2999105"/>
                        </a:xfrm>
                        <a:prstGeom prst="rect"/>
                        <a:ln/>
                      </pic:spPr>
                    </pic:pic>
                  </a:graphicData>
                </a:graphic>
              </wp:anchor>
            </w:drawing>
          </mc:Fallback>
        </mc:AlternateContent>
      </w:r>
    </w:p>
    <w:p w14:paraId="00000004" w14:textId="77777777" w:rsidR="009C309C" w:rsidRDefault="007F735B">
      <w:pPr>
        <w:pBdr>
          <w:top w:val="nil"/>
          <w:left w:val="nil"/>
          <w:bottom w:val="nil"/>
          <w:right w:val="nil"/>
          <w:between w:val="nil"/>
        </w:pBdr>
        <w:spacing w:before="60" w:after="60"/>
        <w:jc w:val="both"/>
        <w:rPr>
          <w:b/>
          <w:color w:val="000000"/>
        </w:rPr>
      </w:pPr>
      <w:r>
        <w:rPr>
          <w:color w:val="000000"/>
        </w:rPr>
        <w:t>Související LS: LS-001/17</w:t>
      </w:r>
    </w:p>
    <w:p w14:paraId="00000005" w14:textId="77777777" w:rsidR="009C309C" w:rsidRDefault="007F735B">
      <w:pPr>
        <w:pBdr>
          <w:top w:val="nil"/>
          <w:left w:val="nil"/>
          <w:bottom w:val="nil"/>
          <w:right w:val="nil"/>
          <w:between w:val="nil"/>
        </w:pBdr>
        <w:spacing w:before="60" w:after="60"/>
        <w:jc w:val="both"/>
        <w:rPr>
          <w:color w:val="000000"/>
        </w:rPr>
      </w:pPr>
      <w:r>
        <w:rPr>
          <w:color w:val="000000"/>
        </w:rPr>
        <w:t>Související Smlouva o dílo: SOD-004/17</w:t>
      </w:r>
    </w:p>
    <w:p w14:paraId="00000006" w14:textId="77777777" w:rsidR="009C309C" w:rsidRDefault="007F735B">
      <w:pPr>
        <w:pBdr>
          <w:top w:val="nil"/>
          <w:left w:val="nil"/>
          <w:bottom w:val="nil"/>
          <w:right w:val="nil"/>
          <w:between w:val="nil"/>
        </w:pBdr>
        <w:spacing w:before="60" w:after="60"/>
        <w:jc w:val="both"/>
        <w:rPr>
          <w:b/>
          <w:color w:val="000000"/>
        </w:rPr>
      </w:pPr>
      <w:r>
        <w:rPr>
          <w:color w:val="000000"/>
        </w:rPr>
        <w:t xml:space="preserve">Navazuje na: SS-005/21  </w:t>
      </w:r>
      <w:r>
        <w:rPr>
          <w:b/>
          <w:color w:val="000000"/>
        </w:rPr>
        <w:tab/>
      </w:r>
    </w:p>
    <w:p w14:paraId="00000007" w14:textId="77777777" w:rsidR="009C309C" w:rsidRDefault="009C309C">
      <w:pPr>
        <w:tabs>
          <w:tab w:val="left" w:pos="6555"/>
        </w:tabs>
        <w:rPr>
          <w:b/>
        </w:rPr>
      </w:pPr>
    </w:p>
    <w:p w14:paraId="00000008" w14:textId="77777777" w:rsidR="009C309C" w:rsidRDefault="007F735B">
      <w:pPr>
        <w:tabs>
          <w:tab w:val="left" w:pos="6555"/>
        </w:tabs>
      </w:pPr>
      <w:r>
        <w:rPr>
          <w:b/>
        </w:rPr>
        <w:t>Smluvní strany:</w:t>
      </w:r>
    </w:p>
    <w:p w14:paraId="00000009" w14:textId="77777777" w:rsidR="009C309C" w:rsidRDefault="007F735B">
      <w:pPr>
        <w:pBdr>
          <w:top w:val="nil"/>
          <w:left w:val="nil"/>
          <w:bottom w:val="nil"/>
          <w:right w:val="nil"/>
          <w:between w:val="nil"/>
        </w:pBdr>
        <w:spacing w:before="120" w:after="120"/>
        <w:jc w:val="both"/>
        <w:rPr>
          <w:color w:val="000000"/>
        </w:rPr>
      </w:pPr>
      <w:r>
        <w:rPr>
          <w:color w:val="000000"/>
        </w:rPr>
        <w:t>Smluvní strany uzavírají v souladu s </w:t>
      </w:r>
      <w:proofErr w:type="spellStart"/>
      <w:r>
        <w:rPr>
          <w:color w:val="000000"/>
        </w:rPr>
        <w:t>ust</w:t>
      </w:r>
      <w:proofErr w:type="spellEnd"/>
      <w:r>
        <w:rPr>
          <w:color w:val="000000"/>
        </w:rPr>
        <w:t>. § 2631 a násl. zákona č. 89/2012 Sb., občanského zákoníku, ve znění pozdějších předpisů (dále jen „občanský zákoník“), tuto Servisní smlouvu (dále jen „Smlouva“).</w:t>
      </w:r>
      <w:r>
        <w:rPr>
          <w:noProof/>
        </w:rPr>
        <mc:AlternateContent>
          <mc:Choice Requires="wps">
            <w:drawing>
              <wp:anchor distT="0" distB="720090" distL="114300" distR="114300" simplePos="0" relativeHeight="251659264" behindDoc="0" locked="0" layoutInCell="1" hidden="0" allowOverlap="1" wp14:anchorId="7A123136" wp14:editId="26F6E5F2">
                <wp:simplePos x="0" y="0"/>
                <wp:positionH relativeFrom="column">
                  <wp:posOffset>2997200</wp:posOffset>
                </wp:positionH>
                <wp:positionV relativeFrom="paragraph">
                  <wp:posOffset>330200</wp:posOffset>
                </wp:positionV>
                <wp:extent cx="2637790" cy="2030537"/>
                <wp:effectExtent l="0" t="0" r="0" b="0"/>
                <wp:wrapTopAndBottom distT="0" distB="720090"/>
                <wp:docPr id="17" name="Obdélník 17"/>
                <wp:cNvGraphicFramePr/>
                <a:graphic xmlns:a="http://schemas.openxmlformats.org/drawingml/2006/main">
                  <a:graphicData uri="http://schemas.microsoft.com/office/word/2010/wordprocessingShape">
                    <wps:wsp>
                      <wps:cNvSpPr/>
                      <wps:spPr>
                        <a:xfrm>
                          <a:off x="4031868" y="2769494"/>
                          <a:ext cx="2628265" cy="2021012"/>
                        </a:xfrm>
                        <a:prstGeom prst="rect">
                          <a:avLst/>
                        </a:prstGeom>
                        <a:solidFill>
                          <a:srgbClr val="FFFFFF"/>
                        </a:solidFill>
                        <a:ln>
                          <a:noFill/>
                        </a:ln>
                      </wps:spPr>
                      <wps:txbx>
                        <w:txbxContent>
                          <w:p w14:paraId="060A0FD2" w14:textId="77777777" w:rsidR="009C309C" w:rsidRDefault="007F735B">
                            <w:pPr>
                              <w:jc w:val="center"/>
                              <w:textDirection w:val="btLr"/>
                            </w:pPr>
                            <w:r>
                              <w:rPr>
                                <w:b/>
                                <w:color w:val="000000"/>
                              </w:rPr>
                              <w:t>Národní muzeum</w:t>
                            </w:r>
                          </w:p>
                          <w:p w14:paraId="4B0D9ED7" w14:textId="77777777" w:rsidR="009C309C" w:rsidRDefault="007F735B">
                            <w:pPr>
                              <w:jc w:val="center"/>
                              <w:textDirection w:val="btLr"/>
                            </w:pPr>
                            <w:r>
                              <w:rPr>
                                <w:color w:val="000000"/>
                              </w:rPr>
                              <w:t>příspěvková organizace nepodléhající zápisu do obchodního rejstříku, zřízená zřizovací listinou č. j. 17461/2000</w:t>
                            </w:r>
                          </w:p>
                          <w:p w14:paraId="649376BE" w14:textId="77777777" w:rsidR="009C309C" w:rsidRDefault="007F735B">
                            <w:pPr>
                              <w:jc w:val="center"/>
                              <w:textDirection w:val="btLr"/>
                            </w:pPr>
                            <w:r>
                              <w:rPr>
                                <w:color w:val="000000"/>
                              </w:rPr>
                              <w:t>Václavské náměstí 1700/68, 115 79 Praha 1, Nové Město</w:t>
                            </w:r>
                          </w:p>
                          <w:p w14:paraId="083F52A9" w14:textId="77777777" w:rsidR="009C309C" w:rsidRDefault="007F735B">
                            <w:pPr>
                              <w:jc w:val="center"/>
                              <w:textDirection w:val="btLr"/>
                            </w:pPr>
                            <w:r>
                              <w:rPr>
                                <w:color w:val="000000"/>
                              </w:rPr>
                              <w:t>IČ: 00023272, DIČ: CZ00023272</w:t>
                            </w:r>
                          </w:p>
                          <w:p w14:paraId="0052C5A3" w14:textId="77777777" w:rsidR="009C309C" w:rsidRDefault="007F735B">
                            <w:pPr>
                              <w:jc w:val="center"/>
                              <w:textDirection w:val="btLr"/>
                            </w:pPr>
                            <w:r>
                              <w:rPr>
                                <w:color w:val="000000"/>
                              </w:rPr>
                              <w:t>zástupce: RNDr. Jiří Frank, Ph.D.</w:t>
                            </w:r>
                          </w:p>
                          <w:p w14:paraId="0274A016" w14:textId="77777777" w:rsidR="009C309C" w:rsidRDefault="007F735B">
                            <w:pPr>
                              <w:jc w:val="center"/>
                              <w:textDirection w:val="btLr"/>
                            </w:pPr>
                            <w:r>
                              <w:rPr>
                                <w:color w:val="000000"/>
                              </w:rPr>
                              <w:t>(dále jen Uživatel)</w:t>
                            </w:r>
                          </w:p>
                          <w:p w14:paraId="4F2E235D" w14:textId="77777777" w:rsidR="009C309C" w:rsidRDefault="009C309C">
                            <w:pPr>
                              <w:spacing w:before="20" w:after="20"/>
                              <w:jc w:val="center"/>
                              <w:textDirection w:val="btLr"/>
                            </w:pPr>
                          </w:p>
                        </w:txbxContent>
                      </wps:txbx>
                      <wps:bodyPr spcFirstLastPara="1" wrap="square" lIns="91425" tIns="45700" rIns="91425" bIns="45700" anchor="t" anchorCtr="0">
                        <a:noAutofit/>
                      </wps:bodyPr>
                    </wps:wsp>
                  </a:graphicData>
                </a:graphic>
              </wp:anchor>
            </w:drawing>
          </mc:Choice>
          <mc:Fallback>
            <w:pict>
              <v:rect w14:anchorId="7A123136" id="Obdélník 17" o:spid="_x0000_s1026" style="position:absolute;left:0;text-align:left;margin-left:236pt;margin-top:26pt;width:207.7pt;height:159.9pt;z-index:251659264;visibility:visible;mso-wrap-style:square;mso-wrap-distance-left:9pt;mso-wrap-distance-top:0;mso-wrap-distance-right:9pt;mso-wrap-distance-bottom:56.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" stroked="f">
                <v:textbox inset="2.53958mm,1.2694mm,2.53958mm,1.2694mm">
                  <w:txbxContent>
                    <w:p w14:paraId="060A0FD2" w14:textId="77777777" w:rsidR="009C309C" w:rsidRDefault="007F735B">
                      <w:pPr>
                        <w:jc w:val="center"/>
                        <w:textDirection w:val="btLr"/>
                      </w:pPr>
                      <w:r>
                        <w:rPr>
                          <w:b/>
                          <w:color w:val="000000"/>
                        </w:rPr>
                        <w:t>Národní muzeum</w:t>
                      </w:r>
                    </w:p>
                    <w:p w14:paraId="4B0D9ED7" w14:textId="77777777" w:rsidR="009C309C" w:rsidRDefault="007F735B">
                      <w:pPr>
                        <w:jc w:val="center"/>
                        <w:textDirection w:val="btLr"/>
                      </w:pPr>
                      <w:r>
                        <w:rPr>
                          <w:color w:val="000000"/>
                        </w:rPr>
                        <w:t>příspěvková organizace nepodléhající zápisu do obchodního rejstříku, zřízená zřizovací listinou č. j. 17461/2000</w:t>
                      </w:r>
                    </w:p>
                    <w:p w14:paraId="649376BE" w14:textId="77777777" w:rsidR="009C309C" w:rsidRDefault="007F735B">
                      <w:pPr>
                        <w:jc w:val="center"/>
                        <w:textDirection w:val="btLr"/>
                      </w:pPr>
                      <w:r>
                        <w:rPr>
                          <w:color w:val="000000"/>
                        </w:rPr>
                        <w:t>Václavské náměstí 1700/68, 115 79 Praha 1, Nové Město</w:t>
                      </w:r>
                    </w:p>
                    <w:p w14:paraId="083F52A9" w14:textId="77777777" w:rsidR="009C309C" w:rsidRDefault="007F735B">
                      <w:pPr>
                        <w:jc w:val="center"/>
                        <w:textDirection w:val="btLr"/>
                      </w:pPr>
                      <w:r>
                        <w:rPr>
                          <w:color w:val="000000"/>
                        </w:rPr>
                        <w:t>IČ: 00023272, DIČ: CZ00023272</w:t>
                      </w:r>
                    </w:p>
                    <w:p w14:paraId="0052C5A3" w14:textId="77777777" w:rsidR="009C309C" w:rsidRDefault="007F735B">
                      <w:pPr>
                        <w:jc w:val="center"/>
                        <w:textDirection w:val="btLr"/>
                      </w:pPr>
                      <w:r>
                        <w:rPr>
                          <w:color w:val="000000"/>
                        </w:rPr>
                        <w:t>zástupce: RNDr. Jiří Frank, Ph.D.</w:t>
                      </w:r>
                    </w:p>
                    <w:p w14:paraId="0274A016" w14:textId="77777777" w:rsidR="009C309C" w:rsidRDefault="007F735B">
                      <w:pPr>
                        <w:jc w:val="center"/>
                        <w:textDirection w:val="btLr"/>
                      </w:pPr>
                      <w:r>
                        <w:rPr>
                          <w:color w:val="000000"/>
                        </w:rPr>
                        <w:t>(dále jen Uživatel)</w:t>
                      </w:r>
                    </w:p>
                    <w:p w14:paraId="4F2E235D" w14:textId="77777777" w:rsidR="009C309C" w:rsidRDefault="009C309C">
                      <w:pPr>
                        <w:spacing w:before="20" w:after="20"/>
                        <w:jc w:val="center"/>
                        <w:textDirection w:val="btLr"/>
                      </w:pPr>
                    </w:p>
                  </w:txbxContent>
                </v:textbox>
                <w10:wrap type="topAndBottom"/>
              </v:rect>
            </w:pict>
          </mc:Fallback>
        </mc:AlternateContent>
      </w:r>
      <w:r>
        <w:rPr>
          <w:noProof/>
        </w:rPr>
        <mc:AlternateContent>
          <mc:Choice Requires="wps">
            <w:drawing>
              <wp:anchor distT="0" distB="720090" distL="114300" distR="114300" simplePos="0" relativeHeight="251660288" behindDoc="0" locked="0" layoutInCell="1" hidden="0" allowOverlap="1" wp14:anchorId="68E04A68" wp14:editId="7F935B48">
                <wp:simplePos x="0" y="0"/>
                <wp:positionH relativeFrom="column">
                  <wp:posOffset>-50799</wp:posOffset>
                </wp:positionH>
                <wp:positionV relativeFrom="paragraph">
                  <wp:posOffset>127000</wp:posOffset>
                </wp:positionV>
                <wp:extent cx="2867660" cy="1885950"/>
                <wp:effectExtent l="0" t="0" r="0" b="0"/>
                <wp:wrapTopAndBottom distT="0" distB="720090"/>
                <wp:docPr id="19" name="Obdélník 19"/>
                <wp:cNvGraphicFramePr/>
                <a:graphic xmlns:a="http://schemas.openxmlformats.org/drawingml/2006/main">
                  <a:graphicData uri="http://schemas.microsoft.com/office/word/2010/wordprocessingShape">
                    <wps:wsp>
                      <wps:cNvSpPr/>
                      <wps:spPr>
                        <a:xfrm>
                          <a:off x="3916933" y="2841788"/>
                          <a:ext cx="2858135" cy="1876425"/>
                        </a:xfrm>
                        <a:prstGeom prst="rect">
                          <a:avLst/>
                        </a:prstGeom>
                        <a:solidFill>
                          <a:srgbClr val="FFFFFF"/>
                        </a:solidFill>
                        <a:ln>
                          <a:noFill/>
                        </a:ln>
                      </wps:spPr>
                      <wps:txbx>
                        <w:txbxContent>
                          <w:p w14:paraId="49A4F503" w14:textId="77777777" w:rsidR="009C309C" w:rsidRDefault="007F735B">
                            <w:pPr>
                              <w:spacing w:before="120"/>
                              <w:ind w:left="360" w:firstLine="360"/>
                              <w:jc w:val="center"/>
                              <w:textDirection w:val="btLr"/>
                            </w:pPr>
                            <w:r>
                              <w:rPr>
                                <w:b/>
                                <w:color w:val="000000"/>
                              </w:rPr>
                              <w:t>DERS Group s. r. o.</w:t>
                            </w:r>
                          </w:p>
                          <w:p w14:paraId="58583F9E" w14:textId="77777777" w:rsidR="009C309C" w:rsidRDefault="007F735B">
                            <w:pPr>
                              <w:spacing w:before="20"/>
                              <w:jc w:val="center"/>
                              <w:textDirection w:val="btLr"/>
                            </w:pPr>
                            <w:r>
                              <w:rPr>
                                <w:color w:val="000000"/>
                              </w:rPr>
                              <w:t>Řehořova 932/27, 130 00 Praha 3 Žižkov</w:t>
                            </w:r>
                          </w:p>
                          <w:p w14:paraId="4C8D6DD5" w14:textId="77777777" w:rsidR="009C309C" w:rsidRDefault="007F735B">
                            <w:pPr>
                              <w:spacing w:before="20"/>
                              <w:jc w:val="center"/>
                              <w:textDirection w:val="btLr"/>
                            </w:pPr>
                            <w:r>
                              <w:rPr>
                                <w:color w:val="000000"/>
                              </w:rPr>
                              <w:t>IČ:27513149, DIČ: CZ27513149</w:t>
                            </w:r>
                          </w:p>
                          <w:p w14:paraId="68BB719F" w14:textId="77777777" w:rsidR="009C309C" w:rsidRDefault="007F735B">
                            <w:pPr>
                              <w:spacing w:before="20"/>
                              <w:jc w:val="center"/>
                              <w:textDirection w:val="btLr"/>
                            </w:pPr>
                            <w:r>
                              <w:rPr>
                                <w:color w:val="000000"/>
                              </w:rPr>
                              <w:t>Městský soud v Praze, oddíl C, vložka 205820</w:t>
                            </w:r>
                          </w:p>
                          <w:p w14:paraId="7A02DA84" w14:textId="77777777" w:rsidR="009C309C" w:rsidRDefault="007F735B">
                            <w:pPr>
                              <w:spacing w:before="20"/>
                              <w:jc w:val="center"/>
                              <w:textDirection w:val="btLr"/>
                            </w:pPr>
                            <w:r>
                              <w:rPr>
                                <w:color w:val="000000"/>
                              </w:rPr>
                              <w:t>zástupce: Ing. Jan Mach, jednatel</w:t>
                            </w:r>
                          </w:p>
                          <w:p w14:paraId="210A31DA" w14:textId="0DC916A9" w:rsidR="00D164E8" w:rsidRPr="00D164E8" w:rsidRDefault="00545682" w:rsidP="00D164E8">
                            <w:pPr>
                              <w:spacing w:before="20"/>
                              <w:jc w:val="center"/>
                              <w:textDirection w:val="btLr"/>
                            </w:pPr>
                            <w:r>
                              <w:t>číslo účtu:</w:t>
                            </w:r>
                            <w:r w:rsidR="00D164E8" w:rsidRPr="00D164E8">
                              <w:rPr>
                                <w:rFonts w:ascii="Times New Roman" w:eastAsia="Times New Roman" w:hAnsi="Times New Roman" w:cs="Times New Roman"/>
                              </w:rPr>
                              <w:t xml:space="preserve"> </w:t>
                            </w:r>
                            <w:proofErr w:type="spellStart"/>
                            <w:r w:rsidR="00032729">
                              <w:t>xxxxxxxxx</w:t>
                            </w:r>
                            <w:proofErr w:type="spellEnd"/>
                            <w:r w:rsidR="00D164E8" w:rsidRPr="00D164E8">
                              <w:t>/</w:t>
                            </w:r>
                            <w:proofErr w:type="spellStart"/>
                            <w:r w:rsidR="00032729">
                              <w:t>xxxx</w:t>
                            </w:r>
                            <w:proofErr w:type="spellEnd"/>
                          </w:p>
                          <w:p w14:paraId="61CEF735" w14:textId="77777777" w:rsidR="009C309C" w:rsidRDefault="007F735B">
                            <w:pPr>
                              <w:spacing w:before="20" w:after="20"/>
                              <w:jc w:val="center"/>
                              <w:textDirection w:val="btLr"/>
                            </w:pPr>
                            <w:r>
                              <w:rPr>
                                <w:color w:val="000000"/>
                              </w:rPr>
                              <w:t>(dále jen Poskytovatel)</w:t>
                            </w:r>
                          </w:p>
                          <w:p w14:paraId="5BEEA6FC" w14:textId="77777777" w:rsidR="009C309C" w:rsidRDefault="009C309C">
                            <w:pPr>
                              <w:spacing w:before="20" w:after="20"/>
                              <w:jc w:val="center"/>
                              <w:textDirection w:val="btLr"/>
                            </w:pPr>
                          </w:p>
                          <w:p w14:paraId="6D88FF9D" w14:textId="77777777" w:rsidR="009C309C" w:rsidRDefault="009C309C">
                            <w:pPr>
                              <w:spacing w:before="20" w:after="20"/>
                              <w:jc w:val="center"/>
                              <w:textDirection w:val="btLr"/>
                            </w:pPr>
                          </w:p>
                          <w:p w14:paraId="3BC323B8" w14:textId="77777777" w:rsidR="009C309C" w:rsidRDefault="009C309C">
                            <w:pPr>
                              <w:spacing w:before="20" w:after="20"/>
                              <w:jc w:val="center"/>
                              <w:textDirection w:val="btLr"/>
                            </w:pPr>
                          </w:p>
                          <w:p w14:paraId="483E2315" w14:textId="77777777" w:rsidR="009C309C" w:rsidRDefault="009C309C">
                            <w:pPr>
                              <w:spacing w:before="20" w:after="20"/>
                              <w:jc w:val="center"/>
                              <w:textDirection w:val="btLr"/>
                            </w:pPr>
                          </w:p>
                          <w:p w14:paraId="12D4C349" w14:textId="77777777" w:rsidR="009C309C" w:rsidRDefault="009C309C">
                            <w:pPr>
                              <w:spacing w:before="20" w:after="20"/>
                              <w:jc w:val="center"/>
                              <w:textDirection w:val="btLr"/>
                            </w:pPr>
                          </w:p>
                          <w:p w14:paraId="07547528" w14:textId="77777777" w:rsidR="009C309C" w:rsidRDefault="009C309C">
                            <w:pPr>
                              <w:spacing w:before="20" w:after="20"/>
                              <w:jc w:val="center"/>
                              <w:textDirection w:val="btLr"/>
                            </w:pPr>
                          </w:p>
                          <w:p w14:paraId="4E1F2465" w14:textId="77777777" w:rsidR="009C309C" w:rsidRDefault="009C309C">
                            <w:pPr>
                              <w:spacing w:before="20" w:after="20"/>
                              <w:jc w:val="center"/>
                              <w:textDirection w:val="btLr"/>
                            </w:pPr>
                          </w:p>
                        </w:txbxContent>
                      </wps:txbx>
                      <wps:bodyPr spcFirstLastPara="1" wrap="square" lIns="91425" tIns="45700" rIns="91425" bIns="45700" anchor="t" anchorCtr="0">
                        <a:noAutofit/>
                      </wps:bodyPr>
                    </wps:wsp>
                  </a:graphicData>
                </a:graphic>
              </wp:anchor>
            </w:drawing>
          </mc:Choice>
          <mc:Fallback>
            <w:pict>
              <v:rect w14:anchorId="68E04A68" id="Obdélník 19" o:spid="_x0000_s1027" style="position:absolute;left:0;text-align:left;margin-left:-4pt;margin-top:10pt;width:225.8pt;height:148.5pt;z-index:251660288;visibility:visible;mso-wrap-style:square;mso-wrap-distance-left:9pt;mso-wrap-distance-top:0;mso-wrap-distance-right:9pt;mso-wrap-distance-bottom:56.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" stroked="f">
                <v:textbox inset="2.53958mm,1.2694mm,2.53958mm,1.2694mm">
                  <w:txbxContent>
                    <w:p w14:paraId="49A4F503" w14:textId="77777777" w:rsidR="009C309C" w:rsidRDefault="007F735B">
                      <w:pPr>
                        <w:spacing w:before="120"/>
                        <w:ind w:left="360" w:firstLine="360"/>
                        <w:jc w:val="center"/>
                        <w:textDirection w:val="btLr"/>
                      </w:pPr>
                      <w:r>
                        <w:rPr>
                          <w:b/>
                          <w:color w:val="000000"/>
                        </w:rPr>
                        <w:t>DERS Group s. r. o.</w:t>
                      </w:r>
                    </w:p>
                    <w:p w14:paraId="58583F9E" w14:textId="77777777" w:rsidR="009C309C" w:rsidRDefault="007F735B">
                      <w:pPr>
                        <w:spacing w:before="20"/>
                        <w:jc w:val="center"/>
                        <w:textDirection w:val="btLr"/>
                      </w:pPr>
                      <w:r>
                        <w:rPr>
                          <w:color w:val="000000"/>
                        </w:rPr>
                        <w:t>Řehořova 932/27, 130 00 Praha 3 Žižkov</w:t>
                      </w:r>
                    </w:p>
                    <w:p w14:paraId="4C8D6DD5" w14:textId="77777777" w:rsidR="009C309C" w:rsidRDefault="007F735B">
                      <w:pPr>
                        <w:spacing w:before="20"/>
                        <w:jc w:val="center"/>
                        <w:textDirection w:val="btLr"/>
                      </w:pPr>
                      <w:r>
                        <w:rPr>
                          <w:color w:val="000000"/>
                        </w:rPr>
                        <w:t>IČ:27513149, DIČ: CZ27513149</w:t>
                      </w:r>
                    </w:p>
                    <w:p w14:paraId="68BB719F" w14:textId="77777777" w:rsidR="009C309C" w:rsidRDefault="007F735B">
                      <w:pPr>
                        <w:spacing w:before="20"/>
                        <w:jc w:val="center"/>
                        <w:textDirection w:val="btLr"/>
                      </w:pPr>
                      <w:r>
                        <w:rPr>
                          <w:color w:val="000000"/>
                        </w:rPr>
                        <w:t>Městský soud v Praze, oddíl C, vložka 205820</w:t>
                      </w:r>
                    </w:p>
                    <w:p w14:paraId="7A02DA84" w14:textId="77777777" w:rsidR="009C309C" w:rsidRDefault="007F735B">
                      <w:pPr>
                        <w:spacing w:before="20"/>
                        <w:jc w:val="center"/>
                        <w:textDirection w:val="btLr"/>
                      </w:pPr>
                      <w:r>
                        <w:rPr>
                          <w:color w:val="000000"/>
                        </w:rPr>
                        <w:t>zástupce: Ing. Jan Mach, jednatel</w:t>
                      </w:r>
                    </w:p>
                    <w:p w14:paraId="210A31DA" w14:textId="0DC916A9" w:rsidR="00D164E8" w:rsidRPr="00D164E8" w:rsidRDefault="00545682" w:rsidP="00D164E8">
                      <w:pPr>
                        <w:spacing w:before="20"/>
                        <w:jc w:val="center"/>
                        <w:textDirection w:val="btLr"/>
                      </w:pPr>
                      <w:r>
                        <w:t>číslo účtu:</w:t>
                      </w:r>
                      <w:r w:rsidR="00D164E8" w:rsidRPr="00D164E8">
                        <w:rPr>
                          <w:rFonts w:ascii="Times New Roman" w:eastAsia="Times New Roman" w:hAnsi="Times New Roman" w:cs="Times New Roman"/>
                        </w:rPr>
                        <w:t xml:space="preserve"> </w:t>
                      </w:r>
                      <w:proofErr w:type="spellStart"/>
                      <w:r w:rsidR="00032729">
                        <w:t>xxxxxxxxx</w:t>
                      </w:r>
                      <w:proofErr w:type="spellEnd"/>
                      <w:r w:rsidR="00D164E8" w:rsidRPr="00D164E8">
                        <w:t>/</w:t>
                      </w:r>
                      <w:proofErr w:type="spellStart"/>
                      <w:r w:rsidR="00032729">
                        <w:t>xxxx</w:t>
                      </w:r>
                      <w:proofErr w:type="spellEnd"/>
                    </w:p>
                    <w:p w14:paraId="61CEF735" w14:textId="77777777" w:rsidR="009C309C" w:rsidRDefault="007F735B">
                      <w:pPr>
                        <w:spacing w:before="20" w:after="20"/>
                        <w:jc w:val="center"/>
                        <w:textDirection w:val="btLr"/>
                      </w:pPr>
                      <w:r>
                        <w:rPr>
                          <w:color w:val="000000"/>
                        </w:rPr>
                        <w:t>(dále jen Poskytovatel)</w:t>
                      </w:r>
                    </w:p>
                    <w:p w14:paraId="5BEEA6FC" w14:textId="77777777" w:rsidR="009C309C" w:rsidRDefault="009C309C">
                      <w:pPr>
                        <w:spacing w:before="20" w:after="20"/>
                        <w:jc w:val="center"/>
                        <w:textDirection w:val="btLr"/>
                      </w:pPr>
                    </w:p>
                    <w:p w14:paraId="6D88FF9D" w14:textId="77777777" w:rsidR="009C309C" w:rsidRDefault="009C309C">
                      <w:pPr>
                        <w:spacing w:before="20" w:after="20"/>
                        <w:jc w:val="center"/>
                        <w:textDirection w:val="btLr"/>
                      </w:pPr>
                    </w:p>
                    <w:p w14:paraId="3BC323B8" w14:textId="77777777" w:rsidR="009C309C" w:rsidRDefault="009C309C">
                      <w:pPr>
                        <w:spacing w:before="20" w:after="20"/>
                        <w:jc w:val="center"/>
                        <w:textDirection w:val="btLr"/>
                      </w:pPr>
                    </w:p>
                    <w:p w14:paraId="483E2315" w14:textId="77777777" w:rsidR="009C309C" w:rsidRDefault="009C309C">
                      <w:pPr>
                        <w:spacing w:before="20" w:after="20"/>
                        <w:jc w:val="center"/>
                        <w:textDirection w:val="btLr"/>
                      </w:pPr>
                    </w:p>
                    <w:p w14:paraId="12D4C349" w14:textId="77777777" w:rsidR="009C309C" w:rsidRDefault="009C309C">
                      <w:pPr>
                        <w:spacing w:before="20" w:after="20"/>
                        <w:jc w:val="center"/>
                        <w:textDirection w:val="btLr"/>
                      </w:pPr>
                    </w:p>
                    <w:p w14:paraId="07547528" w14:textId="77777777" w:rsidR="009C309C" w:rsidRDefault="009C309C">
                      <w:pPr>
                        <w:spacing w:before="20" w:after="20"/>
                        <w:jc w:val="center"/>
                        <w:textDirection w:val="btLr"/>
                      </w:pPr>
                    </w:p>
                    <w:p w14:paraId="4E1F2465" w14:textId="77777777" w:rsidR="009C309C" w:rsidRDefault="009C309C">
                      <w:pPr>
                        <w:spacing w:before="20" w:after="20"/>
                        <w:jc w:val="center"/>
                        <w:textDirection w:val="btLr"/>
                      </w:pPr>
                    </w:p>
                  </w:txbxContent>
                </v:textbox>
                <w10:wrap type="topAndBottom"/>
              </v:rect>
            </w:pict>
          </mc:Fallback>
        </mc:AlternateContent>
      </w:r>
    </w:p>
    <w:p w14:paraId="0000000A" w14:textId="77777777" w:rsidR="009C309C" w:rsidRDefault="009C309C">
      <w:pPr>
        <w:ind w:left="720"/>
        <w:jc w:val="both"/>
      </w:pPr>
    </w:p>
    <w:p w14:paraId="0000000B" w14:textId="77777777" w:rsidR="009C309C" w:rsidRDefault="007F735B">
      <w:pPr>
        <w:keepNext/>
        <w:numPr>
          <w:ilvl w:val="1"/>
          <w:numId w:val="5"/>
        </w:numPr>
        <w:pBdr>
          <w:top w:val="nil"/>
          <w:left w:val="nil"/>
          <w:bottom w:val="single" w:sz="4" w:space="1" w:color="CA005D"/>
          <w:right w:val="nil"/>
          <w:between w:val="nil"/>
        </w:pBdr>
        <w:spacing w:before="360" w:after="180"/>
        <w:jc w:val="center"/>
      </w:pPr>
      <w:r>
        <w:rPr>
          <w:b/>
          <w:smallCaps/>
          <w:color w:val="000000"/>
        </w:rPr>
        <w:t>Předmět smlouvy</w:t>
      </w:r>
    </w:p>
    <w:p w14:paraId="0000000C"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 xml:space="preserve">Předmětem Smlouvy jsou níže specifikované závazky Poskytovatele a závazek Uživatele uhradit za toto plnění Poskytovatele sjednanou cenu. Poskytovatel se zavazuje provést pro Uživatele tyto činnosti spočívající v Poskytnutí mimozáruční servisní podpory pro produkt OBD dodaný Poskytovatelem (dále jen „Produkt“) pro období uvedené v kapitole </w:t>
      </w:r>
      <w:proofErr w:type="gramStart"/>
      <w:r>
        <w:rPr>
          <w:color w:val="000000"/>
        </w:rPr>
        <w:t>II</w:t>
      </w:r>
      <w:proofErr w:type="gramEnd"/>
      <w:r>
        <w:rPr>
          <w:color w:val="000000"/>
        </w:rPr>
        <w:t xml:space="preserve"> a to v rozsahu stanoveném v kapitole III. této smlouvy. </w:t>
      </w:r>
    </w:p>
    <w:p w14:paraId="0000000D" w14:textId="58F624D3" w:rsidR="009C309C" w:rsidRDefault="007F735B">
      <w:pPr>
        <w:numPr>
          <w:ilvl w:val="2"/>
          <w:numId w:val="5"/>
        </w:numPr>
        <w:pBdr>
          <w:top w:val="nil"/>
          <w:left w:val="nil"/>
          <w:bottom w:val="nil"/>
          <w:right w:val="nil"/>
          <w:between w:val="nil"/>
        </w:pBdr>
        <w:spacing w:before="120" w:after="120"/>
        <w:jc w:val="both"/>
        <w:rPr>
          <w:color w:val="000000"/>
        </w:rPr>
      </w:pPr>
      <w:r>
        <w:rPr>
          <w:color w:val="000000"/>
        </w:rPr>
        <w:t>Podrobné členění Produktu:</w:t>
      </w:r>
    </w:p>
    <w:p w14:paraId="022FAC7A" w14:textId="77777777" w:rsidR="00545682" w:rsidRDefault="00545682" w:rsidP="00545682">
      <w:pPr>
        <w:pBdr>
          <w:top w:val="nil"/>
          <w:left w:val="nil"/>
          <w:bottom w:val="nil"/>
          <w:right w:val="nil"/>
          <w:between w:val="nil"/>
        </w:pBdr>
        <w:spacing w:before="120" w:after="120"/>
        <w:ind w:left="567"/>
        <w:jc w:val="both"/>
        <w:rPr>
          <w:color w:val="000000"/>
        </w:rPr>
      </w:pPr>
    </w:p>
    <w:tbl>
      <w:tblPr>
        <w:tblStyle w:val="a5"/>
        <w:tblW w:w="6692" w:type="dxa"/>
        <w:jc w:val="center"/>
        <w:tblInd w:w="0" w:type="dxa"/>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Layout w:type="fixed"/>
        <w:tblLook w:val="0000" w:firstRow="0" w:lastRow="0" w:firstColumn="0" w:lastColumn="0" w:noHBand="0" w:noVBand="0"/>
      </w:tblPr>
      <w:tblGrid>
        <w:gridCol w:w="3397"/>
        <w:gridCol w:w="3295"/>
      </w:tblGrid>
      <w:tr w:rsidR="009C309C" w14:paraId="1BC41E9F" w14:textId="77777777">
        <w:trPr>
          <w:jc w:val="center"/>
        </w:trPr>
        <w:tc>
          <w:tcPr>
            <w:tcW w:w="3397" w:type="dxa"/>
            <w:shd w:val="clear" w:color="auto" w:fill="D9D9D9"/>
          </w:tcPr>
          <w:p w14:paraId="0000000E" w14:textId="77777777" w:rsidR="009C309C" w:rsidRDefault="007F735B">
            <w:pPr>
              <w:pBdr>
                <w:top w:val="nil"/>
                <w:left w:val="nil"/>
                <w:bottom w:val="nil"/>
                <w:right w:val="nil"/>
                <w:between w:val="nil"/>
              </w:pBdr>
              <w:rPr>
                <w:b/>
                <w:color w:val="000000"/>
              </w:rPr>
            </w:pPr>
            <w:r>
              <w:rPr>
                <w:b/>
                <w:color w:val="920042"/>
              </w:rPr>
              <w:lastRenderedPageBreak/>
              <w:t>SW/Modul</w:t>
            </w:r>
          </w:p>
        </w:tc>
        <w:tc>
          <w:tcPr>
            <w:tcW w:w="3295" w:type="dxa"/>
            <w:shd w:val="clear" w:color="auto" w:fill="D9D9D9"/>
          </w:tcPr>
          <w:p w14:paraId="0000000F" w14:textId="77777777" w:rsidR="009C309C" w:rsidRDefault="007F735B">
            <w:pPr>
              <w:pBdr>
                <w:top w:val="nil"/>
                <w:left w:val="nil"/>
                <w:bottom w:val="nil"/>
                <w:right w:val="nil"/>
                <w:between w:val="nil"/>
              </w:pBdr>
              <w:rPr>
                <w:b/>
                <w:color w:val="920042"/>
              </w:rPr>
            </w:pPr>
            <w:r>
              <w:rPr>
                <w:b/>
                <w:color w:val="920042"/>
              </w:rPr>
              <w:t>Licenční smlouva</w:t>
            </w:r>
          </w:p>
          <w:p w14:paraId="00000010" w14:textId="77777777" w:rsidR="009C309C" w:rsidRDefault="007F735B">
            <w:pPr>
              <w:pBdr>
                <w:top w:val="nil"/>
                <w:left w:val="nil"/>
                <w:bottom w:val="nil"/>
                <w:right w:val="nil"/>
                <w:between w:val="nil"/>
              </w:pBdr>
              <w:rPr>
                <w:b/>
                <w:color w:val="920042"/>
              </w:rPr>
            </w:pPr>
            <w:r>
              <w:rPr>
                <w:b/>
                <w:color w:val="920042"/>
              </w:rPr>
              <w:t>Smlouva o dílo</w:t>
            </w:r>
          </w:p>
          <w:p w14:paraId="00000011" w14:textId="77777777" w:rsidR="009C309C" w:rsidRDefault="007F735B">
            <w:pPr>
              <w:pBdr>
                <w:top w:val="nil"/>
                <w:left w:val="nil"/>
                <w:bottom w:val="nil"/>
                <w:right w:val="nil"/>
                <w:between w:val="nil"/>
              </w:pBdr>
              <w:rPr>
                <w:b/>
                <w:color w:val="000000"/>
              </w:rPr>
            </w:pPr>
            <w:r>
              <w:rPr>
                <w:b/>
                <w:color w:val="920042"/>
              </w:rPr>
              <w:t xml:space="preserve">Objednávka </w:t>
            </w:r>
          </w:p>
        </w:tc>
      </w:tr>
      <w:tr w:rsidR="009C309C" w14:paraId="4DD76AC4" w14:textId="77777777">
        <w:trPr>
          <w:jc w:val="center"/>
        </w:trPr>
        <w:tc>
          <w:tcPr>
            <w:tcW w:w="3397" w:type="dxa"/>
          </w:tcPr>
          <w:p w14:paraId="00000012" w14:textId="77777777" w:rsidR="009C309C" w:rsidRDefault="007F735B">
            <w:pPr>
              <w:pBdr>
                <w:top w:val="nil"/>
                <w:left w:val="nil"/>
                <w:bottom w:val="nil"/>
                <w:right w:val="nil"/>
                <w:between w:val="nil"/>
              </w:pBdr>
              <w:rPr>
                <w:color w:val="000000"/>
              </w:rPr>
            </w:pPr>
            <w:r>
              <w:rPr>
                <w:color w:val="000000"/>
              </w:rPr>
              <w:t>VERSO</w:t>
            </w:r>
          </w:p>
        </w:tc>
        <w:tc>
          <w:tcPr>
            <w:tcW w:w="3295" w:type="dxa"/>
          </w:tcPr>
          <w:p w14:paraId="00000013" w14:textId="77777777" w:rsidR="009C309C" w:rsidRDefault="007F735B">
            <w:pPr>
              <w:pBdr>
                <w:top w:val="nil"/>
                <w:left w:val="nil"/>
                <w:bottom w:val="nil"/>
                <w:right w:val="nil"/>
                <w:between w:val="nil"/>
              </w:pBdr>
              <w:rPr>
                <w:color w:val="000000"/>
              </w:rPr>
            </w:pPr>
            <w:r>
              <w:rPr>
                <w:color w:val="000000"/>
              </w:rPr>
              <w:t>LS-001/17, SOD-004/17</w:t>
            </w:r>
          </w:p>
        </w:tc>
      </w:tr>
      <w:tr w:rsidR="009C309C" w14:paraId="5C27B319" w14:textId="77777777">
        <w:trPr>
          <w:jc w:val="center"/>
        </w:trPr>
        <w:tc>
          <w:tcPr>
            <w:tcW w:w="3397" w:type="dxa"/>
          </w:tcPr>
          <w:p w14:paraId="00000014" w14:textId="77777777" w:rsidR="009C309C" w:rsidRDefault="007F735B">
            <w:pPr>
              <w:pBdr>
                <w:top w:val="nil"/>
                <w:left w:val="nil"/>
                <w:bottom w:val="nil"/>
                <w:right w:val="nil"/>
                <w:between w:val="nil"/>
              </w:pBdr>
              <w:rPr>
                <w:color w:val="000000"/>
                <w:highlight w:val="yellow"/>
              </w:rPr>
            </w:pPr>
            <w:r>
              <w:rPr>
                <w:color w:val="000000"/>
              </w:rPr>
              <w:t>OBD</w:t>
            </w:r>
          </w:p>
        </w:tc>
        <w:tc>
          <w:tcPr>
            <w:tcW w:w="3295" w:type="dxa"/>
          </w:tcPr>
          <w:p w14:paraId="00000015" w14:textId="77777777" w:rsidR="009C309C" w:rsidRDefault="007F735B">
            <w:pPr>
              <w:pBdr>
                <w:top w:val="nil"/>
                <w:left w:val="nil"/>
                <w:bottom w:val="nil"/>
                <w:right w:val="nil"/>
                <w:between w:val="nil"/>
              </w:pBdr>
              <w:rPr>
                <w:color w:val="000000"/>
                <w:highlight w:val="yellow"/>
              </w:rPr>
            </w:pPr>
            <w:r>
              <w:rPr>
                <w:color w:val="000000"/>
              </w:rPr>
              <w:t>LS-001/17, SOD-004/17</w:t>
            </w:r>
          </w:p>
        </w:tc>
      </w:tr>
    </w:tbl>
    <w:p w14:paraId="00000016" w14:textId="77777777" w:rsidR="009C309C" w:rsidRDefault="007F735B">
      <w:pPr>
        <w:numPr>
          <w:ilvl w:val="2"/>
          <w:numId w:val="5"/>
        </w:numPr>
        <w:pBdr>
          <w:top w:val="nil"/>
          <w:left w:val="nil"/>
          <w:bottom w:val="nil"/>
          <w:right w:val="nil"/>
          <w:between w:val="nil"/>
        </w:pBdr>
        <w:spacing w:before="120" w:after="120"/>
        <w:jc w:val="both"/>
        <w:rPr>
          <w:color w:val="000000"/>
        </w:rPr>
      </w:pPr>
      <w:bookmarkStart w:id="0" w:name="_heading=h.30j0zll" w:colFirst="0" w:colLast="0"/>
      <w:bookmarkEnd w:id="0"/>
      <w:r>
        <w:rPr>
          <w:color w:val="000000"/>
        </w:rPr>
        <w:t>Konkrétní specifikace funkcionality Produktu, ke které je poskytována mimozáruční servisní podpora, vyplývá z uzavřené licenční smlouvy a smlouvy o dílo, jejich příloh případně objednávek (funkcionalita vytvořená na zakázku). Účelem mimozáruční servisní podpory je zabezpečení provozu Produktu na vyjmenovaných Instancích.</w:t>
      </w:r>
    </w:p>
    <w:p w14:paraId="00000017"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 xml:space="preserve">Smlouva upravuje poskytování mimozáruční servisní podpory spočívající v připravenosti a schopnosti Poskytovatele řešit problémy, které se v souvislosti s Produktem vyskytnou, podmínky jejich odstranění a podmínky poskytování dalších služeb v této Smlouvě specifikovaných. </w:t>
      </w:r>
    </w:p>
    <w:p w14:paraId="00000018" w14:textId="77777777" w:rsidR="009C309C" w:rsidRDefault="007F735B">
      <w:pPr>
        <w:keepNext/>
        <w:numPr>
          <w:ilvl w:val="1"/>
          <w:numId w:val="5"/>
        </w:numPr>
        <w:pBdr>
          <w:top w:val="nil"/>
          <w:left w:val="nil"/>
          <w:bottom w:val="single" w:sz="4" w:space="1" w:color="CA005D"/>
          <w:right w:val="nil"/>
          <w:between w:val="nil"/>
        </w:pBdr>
        <w:spacing w:before="360" w:after="180"/>
        <w:jc w:val="center"/>
      </w:pPr>
      <w:bookmarkStart w:id="1" w:name="_heading=h.1fob9te" w:colFirst="0" w:colLast="0"/>
      <w:bookmarkEnd w:id="1"/>
      <w:r>
        <w:rPr>
          <w:b/>
          <w:smallCaps/>
          <w:color w:val="000000"/>
        </w:rPr>
        <w:t>Období platnosti smlouvy</w:t>
      </w:r>
    </w:p>
    <w:p w14:paraId="00000019" w14:textId="77777777" w:rsidR="009C309C" w:rsidRDefault="007F735B">
      <w:pPr>
        <w:numPr>
          <w:ilvl w:val="2"/>
          <w:numId w:val="5"/>
        </w:numPr>
        <w:pBdr>
          <w:top w:val="nil"/>
          <w:left w:val="nil"/>
          <w:bottom w:val="nil"/>
          <w:right w:val="nil"/>
          <w:between w:val="nil"/>
        </w:pBdr>
        <w:spacing w:before="120" w:after="120"/>
        <w:jc w:val="both"/>
        <w:rPr>
          <w:color w:val="000000"/>
        </w:rPr>
      </w:pPr>
      <w:bookmarkStart w:id="2" w:name="_heading=h.3znysh7" w:colFirst="0" w:colLast="0"/>
      <w:bookmarkEnd w:id="2"/>
      <w:r>
        <w:rPr>
          <w:color w:val="000000"/>
        </w:rPr>
        <w:t>Tato Smlouva se uzavírá na období od 01. 01. 202</w:t>
      </w:r>
      <w:r>
        <w:t>5</w:t>
      </w:r>
      <w:r>
        <w:rPr>
          <w:color w:val="000000"/>
        </w:rPr>
        <w:t xml:space="preserve"> do 31. 12. 202</w:t>
      </w:r>
      <w:r>
        <w:t>8</w:t>
      </w:r>
      <w:r>
        <w:rPr>
          <w:color w:val="000000"/>
        </w:rPr>
        <w:t xml:space="preserve"> včetně.</w:t>
      </w:r>
    </w:p>
    <w:p w14:paraId="0000001A"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 xml:space="preserve">Platnost a účinnost Smlouvy je možné prodloužit uzavřením navazující smlouvy na další období. </w:t>
      </w:r>
    </w:p>
    <w:p w14:paraId="0000001B" w14:textId="77777777" w:rsidR="009C309C" w:rsidRDefault="007F735B">
      <w:pPr>
        <w:keepNext/>
        <w:numPr>
          <w:ilvl w:val="1"/>
          <w:numId w:val="5"/>
        </w:numPr>
        <w:pBdr>
          <w:top w:val="nil"/>
          <w:left w:val="nil"/>
          <w:bottom w:val="single" w:sz="4" w:space="1" w:color="CA005D"/>
          <w:right w:val="nil"/>
          <w:between w:val="nil"/>
        </w:pBdr>
        <w:spacing w:before="360" w:after="180"/>
        <w:jc w:val="center"/>
      </w:pPr>
      <w:r>
        <w:rPr>
          <w:b/>
          <w:smallCaps/>
          <w:color w:val="000000"/>
        </w:rPr>
        <w:t>Mimozáruční servisní podpora</w:t>
      </w:r>
    </w:p>
    <w:p w14:paraId="0000001C"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Mimozáruční servisní podpora pro Produkt se pro období uvedené v kapitole II. Období platnosti Smlouvy stanovuje takto:</w:t>
      </w:r>
    </w:p>
    <w:tbl>
      <w:tblPr>
        <w:tblStyle w:val="a6"/>
        <w:tblW w:w="8364" w:type="dxa"/>
        <w:tblInd w:w="560" w:type="dxa"/>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Layout w:type="fixed"/>
        <w:tblLook w:val="0000" w:firstRow="0" w:lastRow="0" w:firstColumn="0" w:lastColumn="0" w:noHBand="0" w:noVBand="0"/>
      </w:tblPr>
      <w:tblGrid>
        <w:gridCol w:w="1369"/>
        <w:gridCol w:w="6995"/>
      </w:tblGrid>
      <w:tr w:rsidR="009C309C" w14:paraId="7A0EB460" w14:textId="77777777">
        <w:trPr>
          <w:trHeight w:val="72"/>
        </w:trPr>
        <w:tc>
          <w:tcPr>
            <w:tcW w:w="1369" w:type="dxa"/>
            <w:shd w:val="clear" w:color="auto" w:fill="D9D9D9"/>
          </w:tcPr>
          <w:p w14:paraId="0000001D" w14:textId="77777777" w:rsidR="009C309C" w:rsidRDefault="007F735B">
            <w:pPr>
              <w:pBdr>
                <w:top w:val="nil"/>
                <w:left w:val="nil"/>
                <w:bottom w:val="nil"/>
                <w:right w:val="nil"/>
                <w:between w:val="nil"/>
              </w:pBdr>
              <w:rPr>
                <w:b/>
                <w:color w:val="920042"/>
              </w:rPr>
            </w:pPr>
            <w:r>
              <w:rPr>
                <w:b/>
                <w:color w:val="920042"/>
              </w:rPr>
              <w:t>Kód služby</w:t>
            </w:r>
          </w:p>
        </w:tc>
        <w:tc>
          <w:tcPr>
            <w:tcW w:w="6995" w:type="dxa"/>
            <w:shd w:val="clear" w:color="auto" w:fill="D9D9D9"/>
          </w:tcPr>
          <w:p w14:paraId="0000001E" w14:textId="77777777" w:rsidR="009C309C" w:rsidRDefault="007F735B">
            <w:pPr>
              <w:pBdr>
                <w:top w:val="nil"/>
                <w:left w:val="nil"/>
                <w:bottom w:val="nil"/>
                <w:right w:val="nil"/>
                <w:between w:val="nil"/>
              </w:pBdr>
              <w:rPr>
                <w:b/>
                <w:color w:val="920042"/>
              </w:rPr>
            </w:pPr>
            <w:r>
              <w:rPr>
                <w:b/>
                <w:color w:val="920042"/>
              </w:rPr>
              <w:t>Název služby</w:t>
            </w:r>
          </w:p>
        </w:tc>
      </w:tr>
      <w:tr w:rsidR="009C309C" w14:paraId="212AAF1A" w14:textId="77777777">
        <w:trPr>
          <w:trHeight w:val="245"/>
        </w:trPr>
        <w:tc>
          <w:tcPr>
            <w:tcW w:w="1369" w:type="dxa"/>
            <w:shd w:val="clear" w:color="auto" w:fill="FBD4B4"/>
          </w:tcPr>
          <w:p w14:paraId="0000001F" w14:textId="77777777" w:rsidR="009C309C" w:rsidRDefault="009C309C">
            <w:pPr>
              <w:rPr>
                <w:b/>
                <w:color w:val="800080"/>
              </w:rPr>
            </w:pPr>
          </w:p>
        </w:tc>
        <w:tc>
          <w:tcPr>
            <w:tcW w:w="6995" w:type="dxa"/>
            <w:shd w:val="clear" w:color="auto" w:fill="FBD4B4"/>
          </w:tcPr>
          <w:p w14:paraId="00000020" w14:textId="77777777" w:rsidR="009C309C" w:rsidRDefault="007F735B">
            <w:pPr>
              <w:rPr>
                <w:b/>
              </w:rPr>
            </w:pPr>
            <w:r>
              <w:rPr>
                <w:b/>
              </w:rPr>
              <w:t>OBD</w:t>
            </w:r>
          </w:p>
        </w:tc>
      </w:tr>
      <w:tr w:rsidR="009C309C" w14:paraId="7D8C4565" w14:textId="77777777">
        <w:trPr>
          <w:trHeight w:val="444"/>
        </w:trPr>
        <w:tc>
          <w:tcPr>
            <w:tcW w:w="1369" w:type="dxa"/>
            <w:vAlign w:val="center"/>
          </w:tcPr>
          <w:p w14:paraId="00000021" w14:textId="77777777" w:rsidR="009C309C" w:rsidRDefault="007F735B">
            <w:r>
              <w:t>D8x5</w:t>
            </w:r>
          </w:p>
        </w:tc>
        <w:tc>
          <w:tcPr>
            <w:tcW w:w="6995" w:type="dxa"/>
            <w:vAlign w:val="center"/>
          </w:tcPr>
          <w:p w14:paraId="00000022" w14:textId="77777777" w:rsidR="009C309C" w:rsidRDefault="007F735B">
            <w:r>
              <w:t xml:space="preserve">Dostupnost 8x5 (8:00 – 16:00; Po-Pá) – viz příloha č. 1 kapitola II. Terminologie, odst. 2.16 </w:t>
            </w:r>
          </w:p>
        </w:tc>
      </w:tr>
      <w:tr w:rsidR="009C309C" w14:paraId="094F2270" w14:textId="77777777">
        <w:trPr>
          <w:trHeight w:val="215"/>
        </w:trPr>
        <w:tc>
          <w:tcPr>
            <w:tcW w:w="1369" w:type="dxa"/>
            <w:vAlign w:val="center"/>
          </w:tcPr>
          <w:p w14:paraId="00000023" w14:textId="77777777" w:rsidR="009C309C" w:rsidRDefault="007F735B">
            <w:r>
              <w:t>RD8H</w:t>
            </w:r>
          </w:p>
        </w:tc>
        <w:tc>
          <w:tcPr>
            <w:tcW w:w="6995" w:type="dxa"/>
            <w:vAlign w:val="center"/>
          </w:tcPr>
          <w:p w14:paraId="00000024" w14:textId="77777777" w:rsidR="009C309C" w:rsidRDefault="007F735B">
            <w:r>
              <w:t>Reakční doba do 8 hodin pro Chyby s vysokou prioritou – viz příloha č. 1 kapitola II. Terminologie, odst. 2.19</w:t>
            </w:r>
          </w:p>
        </w:tc>
      </w:tr>
      <w:tr w:rsidR="009C309C" w14:paraId="3BE8E826" w14:textId="77777777">
        <w:trPr>
          <w:trHeight w:val="444"/>
        </w:trPr>
        <w:tc>
          <w:tcPr>
            <w:tcW w:w="1369" w:type="dxa"/>
            <w:vAlign w:val="center"/>
          </w:tcPr>
          <w:p w14:paraId="00000025" w14:textId="77777777" w:rsidR="009C309C" w:rsidRDefault="007F735B">
            <w:r>
              <w:t>DOZB24H</w:t>
            </w:r>
          </w:p>
        </w:tc>
        <w:tc>
          <w:tcPr>
            <w:tcW w:w="6995" w:type="dxa"/>
            <w:vAlign w:val="center"/>
          </w:tcPr>
          <w:p w14:paraId="00000026" w14:textId="77777777" w:rsidR="009C309C" w:rsidRDefault="007F735B">
            <w:r>
              <w:t xml:space="preserve">Doba odstranění Chyby/závady – </w:t>
            </w:r>
            <w:proofErr w:type="spellStart"/>
            <w:r>
              <w:t>blocker</w:t>
            </w:r>
            <w:proofErr w:type="spellEnd"/>
            <w:r>
              <w:t xml:space="preserve"> do 24 hodin (3 pracovní dny) – viz příloha č. 1 kapitola II. Terminologie, odst. 2.20</w:t>
            </w:r>
          </w:p>
        </w:tc>
      </w:tr>
      <w:tr w:rsidR="009C309C" w14:paraId="711EBBE4" w14:textId="77777777">
        <w:trPr>
          <w:trHeight w:val="215"/>
        </w:trPr>
        <w:tc>
          <w:tcPr>
            <w:tcW w:w="1369" w:type="dxa"/>
            <w:vAlign w:val="center"/>
          </w:tcPr>
          <w:p w14:paraId="00000027" w14:textId="77777777" w:rsidR="009C309C" w:rsidRDefault="007F735B">
            <w:r>
              <w:t>DOZC56H</w:t>
            </w:r>
          </w:p>
        </w:tc>
        <w:tc>
          <w:tcPr>
            <w:tcW w:w="6995" w:type="dxa"/>
            <w:vAlign w:val="center"/>
          </w:tcPr>
          <w:p w14:paraId="00000028" w14:textId="77777777" w:rsidR="009C309C" w:rsidRDefault="007F735B">
            <w:r>
              <w:t xml:space="preserve">Doba odstranění Chyby/závady – </w:t>
            </w:r>
            <w:proofErr w:type="spellStart"/>
            <w:r>
              <w:t>critical</w:t>
            </w:r>
            <w:proofErr w:type="spellEnd"/>
            <w:r>
              <w:t xml:space="preserve"> do 56 hodin (7 pracovních dnů)</w:t>
            </w:r>
          </w:p>
        </w:tc>
      </w:tr>
      <w:tr w:rsidR="009C309C" w14:paraId="431AFB9C" w14:textId="77777777">
        <w:trPr>
          <w:trHeight w:val="215"/>
        </w:trPr>
        <w:tc>
          <w:tcPr>
            <w:tcW w:w="1369" w:type="dxa"/>
            <w:vAlign w:val="center"/>
          </w:tcPr>
          <w:p w14:paraId="00000029" w14:textId="77777777" w:rsidR="009C309C" w:rsidRDefault="007F735B">
            <w:r>
              <w:t>RD24H</w:t>
            </w:r>
          </w:p>
        </w:tc>
        <w:tc>
          <w:tcPr>
            <w:tcW w:w="6995" w:type="dxa"/>
            <w:vAlign w:val="center"/>
          </w:tcPr>
          <w:p w14:paraId="0000002A" w14:textId="77777777" w:rsidR="009C309C" w:rsidRDefault="007F735B">
            <w:r>
              <w:t>Reakční doba 24 hodin (3 pracovní dny) pro Chyby s nízkou prioritou – viz příloha č. 1 kapitola II. Terminologie, odst. 2.19</w:t>
            </w:r>
          </w:p>
        </w:tc>
      </w:tr>
      <w:tr w:rsidR="009C309C" w14:paraId="7D336B28" w14:textId="77777777">
        <w:trPr>
          <w:trHeight w:val="230"/>
        </w:trPr>
        <w:tc>
          <w:tcPr>
            <w:tcW w:w="1369" w:type="dxa"/>
            <w:vAlign w:val="center"/>
          </w:tcPr>
          <w:p w14:paraId="0000002B" w14:textId="77777777" w:rsidR="009C309C" w:rsidRDefault="007F735B">
            <w:r>
              <w:t>DOZM240H</w:t>
            </w:r>
          </w:p>
        </w:tc>
        <w:tc>
          <w:tcPr>
            <w:tcW w:w="6995" w:type="dxa"/>
            <w:vAlign w:val="center"/>
          </w:tcPr>
          <w:p w14:paraId="0000002C" w14:textId="77777777" w:rsidR="009C309C" w:rsidRDefault="007F735B">
            <w:r>
              <w:t>Doba odstranění Chyby/závady – major do 240 hodin (30 pracovních dnů)</w:t>
            </w:r>
          </w:p>
        </w:tc>
      </w:tr>
      <w:tr w:rsidR="009C309C" w14:paraId="38A2D56B" w14:textId="77777777">
        <w:trPr>
          <w:trHeight w:val="215"/>
        </w:trPr>
        <w:tc>
          <w:tcPr>
            <w:tcW w:w="1369" w:type="dxa"/>
            <w:vAlign w:val="center"/>
          </w:tcPr>
          <w:p w14:paraId="0000002D" w14:textId="77777777" w:rsidR="009C309C" w:rsidRDefault="007F735B">
            <w:r>
              <w:t>DOZT480H</w:t>
            </w:r>
          </w:p>
        </w:tc>
        <w:tc>
          <w:tcPr>
            <w:tcW w:w="6995" w:type="dxa"/>
            <w:vAlign w:val="center"/>
          </w:tcPr>
          <w:p w14:paraId="0000002E" w14:textId="77777777" w:rsidR="009C309C" w:rsidRDefault="007F735B">
            <w:r>
              <w:t xml:space="preserve">Doba odstranění Chyby/závady – minor a </w:t>
            </w:r>
            <w:proofErr w:type="spellStart"/>
            <w:r>
              <w:t>trivial</w:t>
            </w:r>
            <w:proofErr w:type="spellEnd"/>
            <w:r>
              <w:t xml:space="preserve"> v rámci další nasazované verze</w:t>
            </w:r>
          </w:p>
        </w:tc>
      </w:tr>
      <w:tr w:rsidR="009C309C" w14:paraId="59E23553" w14:textId="77777777">
        <w:trPr>
          <w:trHeight w:val="215"/>
        </w:trPr>
        <w:tc>
          <w:tcPr>
            <w:tcW w:w="1369" w:type="dxa"/>
            <w:vAlign w:val="center"/>
          </w:tcPr>
          <w:p w14:paraId="0000002F" w14:textId="77777777" w:rsidR="009C309C" w:rsidRDefault="007F735B">
            <w:r>
              <w:lastRenderedPageBreak/>
              <w:t>AKTUL</w:t>
            </w:r>
          </w:p>
        </w:tc>
        <w:tc>
          <w:tcPr>
            <w:tcW w:w="6995" w:type="dxa"/>
            <w:vAlign w:val="bottom"/>
          </w:tcPr>
          <w:p w14:paraId="00000030" w14:textId="77777777" w:rsidR="009C309C" w:rsidRDefault="007F735B">
            <w:proofErr w:type="spellStart"/>
            <w:r>
              <w:t>Hotfix</w:t>
            </w:r>
            <w:proofErr w:type="spellEnd"/>
            <w:r>
              <w:t xml:space="preserve"> aktualizace – viz příloha č. 1 kapitola II. Terminologie, odst. 2.28</w:t>
            </w:r>
          </w:p>
        </w:tc>
      </w:tr>
    </w:tbl>
    <w:p w14:paraId="00000031" w14:textId="77777777" w:rsidR="009C309C" w:rsidRDefault="009C309C">
      <w:pPr>
        <w:pBdr>
          <w:top w:val="nil"/>
          <w:left w:val="nil"/>
          <w:bottom w:val="nil"/>
          <w:right w:val="nil"/>
          <w:between w:val="nil"/>
        </w:pBdr>
        <w:rPr>
          <w:color w:val="000000"/>
        </w:rPr>
      </w:pPr>
    </w:p>
    <w:p w14:paraId="00000032" w14:textId="77777777" w:rsidR="009C309C" w:rsidRDefault="007F735B">
      <w:pPr>
        <w:numPr>
          <w:ilvl w:val="2"/>
          <w:numId w:val="5"/>
        </w:numPr>
        <w:pBdr>
          <w:top w:val="nil"/>
          <w:left w:val="nil"/>
          <w:bottom w:val="nil"/>
          <w:right w:val="nil"/>
          <w:between w:val="nil"/>
        </w:pBdr>
        <w:spacing w:before="120" w:after="120"/>
        <w:jc w:val="both"/>
        <w:rPr>
          <w:color w:val="000000"/>
        </w:rPr>
      </w:pPr>
      <w:bookmarkStart w:id="3" w:name="_heading=h.2et92p0" w:colFirst="0" w:colLast="0"/>
      <w:bookmarkEnd w:id="3"/>
      <w:r>
        <w:rPr>
          <w:color w:val="000000"/>
        </w:rPr>
        <w:t>Správa serveru obsahuje základní dohled, update OS serveru 1 x ročně, základní zálohování.</w:t>
      </w:r>
    </w:p>
    <w:p w14:paraId="00000033"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 xml:space="preserve">Poskytovatel nijak neodpovídá za nedostupnost Aplikace způsobenou technologiemi (hardware, software), </w:t>
      </w:r>
    </w:p>
    <w:p w14:paraId="00000034" w14:textId="77777777" w:rsidR="009C309C" w:rsidRDefault="007F735B">
      <w:pPr>
        <w:numPr>
          <w:ilvl w:val="0"/>
          <w:numId w:val="3"/>
        </w:numPr>
        <w:pBdr>
          <w:top w:val="nil"/>
          <w:left w:val="nil"/>
          <w:bottom w:val="nil"/>
          <w:right w:val="nil"/>
          <w:between w:val="nil"/>
        </w:pBdr>
        <w:spacing w:before="120" w:after="120"/>
        <w:jc w:val="both"/>
        <w:rPr>
          <w:color w:val="000000"/>
        </w:rPr>
      </w:pPr>
      <w:r>
        <w:rPr>
          <w:color w:val="000000"/>
        </w:rPr>
        <w:t>na nichž je Aplikace provozována a/nebo</w:t>
      </w:r>
    </w:p>
    <w:p w14:paraId="00000035" w14:textId="77777777" w:rsidR="009C309C" w:rsidRDefault="007F735B">
      <w:pPr>
        <w:numPr>
          <w:ilvl w:val="0"/>
          <w:numId w:val="3"/>
        </w:numPr>
        <w:pBdr>
          <w:top w:val="nil"/>
          <w:left w:val="nil"/>
          <w:bottom w:val="nil"/>
          <w:right w:val="nil"/>
          <w:between w:val="nil"/>
        </w:pBdr>
        <w:spacing w:before="120" w:after="120"/>
        <w:jc w:val="both"/>
        <w:rPr>
          <w:color w:val="000000"/>
        </w:rPr>
      </w:pPr>
      <w:r>
        <w:rPr>
          <w:color w:val="000000"/>
        </w:rPr>
        <w:t xml:space="preserve">které slouží pro připojení k Aplikaci a/nebo k technologiím, na nichž je Aplikace provozována </w:t>
      </w:r>
    </w:p>
    <w:p w14:paraId="00000036" w14:textId="77777777" w:rsidR="009C309C" w:rsidRDefault="007F735B">
      <w:pPr>
        <w:pBdr>
          <w:top w:val="nil"/>
          <w:left w:val="nil"/>
          <w:bottom w:val="nil"/>
          <w:right w:val="nil"/>
          <w:between w:val="nil"/>
        </w:pBdr>
        <w:spacing w:before="120" w:after="120"/>
        <w:ind w:left="567"/>
        <w:jc w:val="both"/>
        <w:rPr>
          <w:color w:val="000000"/>
        </w:rPr>
      </w:pPr>
      <w:r>
        <w:rPr>
          <w:color w:val="000000"/>
        </w:rPr>
        <w:t>pokud tyto nebyly poskytnuty Poskytovatelem za účelem provozování Aplikace, nebo pokud takto Poskytovatelem poskytnuty byly, avšak byla na nich provedena změna, jež nebyla ze strany Poskytovatele pro provozování Aplikace autorizována.</w:t>
      </w:r>
    </w:p>
    <w:p w14:paraId="00000037"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Uživatel je v případě uplatnění nároku vůči Poskytovateli z titulu nedostupnosti Aplikace povinen prokázat, že veškeré výše uvedené technologie fungovaly správně a že za nedostupnost Aplikace je odpovědný Poskytovatel.</w:t>
      </w:r>
    </w:p>
    <w:p w14:paraId="00000038"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Poskytovatel žádným způsobem neodpovídá za nedostupnost Aplikace způsobenou třetí stranou, nebo událostí, za kterou tato strana odpovídá, nebo k níž došlo z důvodu překážek vylučujících odpovědnost, jak jsou vymezeny v § 2913 odst. 2 občanského zákoníku.</w:t>
      </w:r>
    </w:p>
    <w:p w14:paraId="00000039"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Další podmínky mimozáruční servisní podpory jsou uvedeny v Příloze č. 1 této Smlouvy.</w:t>
      </w:r>
    </w:p>
    <w:p w14:paraId="0000003A" w14:textId="77777777" w:rsidR="009C309C" w:rsidRDefault="007F735B">
      <w:pPr>
        <w:keepNext/>
        <w:keepLines/>
        <w:numPr>
          <w:ilvl w:val="2"/>
          <w:numId w:val="5"/>
        </w:numPr>
        <w:pBdr>
          <w:top w:val="nil"/>
          <w:left w:val="nil"/>
          <w:bottom w:val="nil"/>
          <w:right w:val="nil"/>
          <w:between w:val="nil"/>
        </w:pBdr>
        <w:spacing w:before="120" w:after="120"/>
        <w:jc w:val="both"/>
        <w:rPr>
          <w:color w:val="000000"/>
        </w:rPr>
      </w:pPr>
      <w:r>
        <w:rPr>
          <w:color w:val="000000"/>
        </w:rPr>
        <w:t>Pro případ nutného zásahu s ohledem na udržení Produktu v chodu jsou stanoveny tyto kontaktní osoby:</w:t>
      </w:r>
    </w:p>
    <w:p w14:paraId="0000003B" w14:textId="77777777" w:rsidR="009C309C" w:rsidRDefault="007F735B">
      <w:pPr>
        <w:keepLines/>
        <w:pBdr>
          <w:top w:val="nil"/>
          <w:left w:val="nil"/>
          <w:bottom w:val="nil"/>
          <w:right w:val="nil"/>
          <w:between w:val="nil"/>
        </w:pBdr>
        <w:spacing w:before="120" w:after="120"/>
        <w:ind w:firstLine="708"/>
        <w:jc w:val="both"/>
        <w:rPr>
          <w:color w:val="000000"/>
        </w:rPr>
      </w:pPr>
      <w:r>
        <w:rPr>
          <w:color w:val="000000"/>
        </w:rPr>
        <w:t>Za Poskytovatele:</w:t>
      </w:r>
    </w:p>
    <w:tbl>
      <w:tblPr>
        <w:tblStyle w:val="a7"/>
        <w:tblW w:w="8364" w:type="dxa"/>
        <w:tblInd w:w="560" w:type="dxa"/>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Layout w:type="fixed"/>
        <w:tblLook w:val="0000" w:firstRow="0" w:lastRow="0" w:firstColumn="0" w:lastColumn="0" w:noHBand="0" w:noVBand="0"/>
      </w:tblPr>
      <w:tblGrid>
        <w:gridCol w:w="2088"/>
        <w:gridCol w:w="2340"/>
        <w:gridCol w:w="3936"/>
      </w:tblGrid>
      <w:tr w:rsidR="009C309C" w14:paraId="5624879E" w14:textId="77777777">
        <w:tc>
          <w:tcPr>
            <w:tcW w:w="2088" w:type="dxa"/>
            <w:shd w:val="clear" w:color="auto" w:fill="D9D9D9"/>
          </w:tcPr>
          <w:p w14:paraId="0000003C" w14:textId="77777777" w:rsidR="009C309C" w:rsidRDefault="007F735B">
            <w:pPr>
              <w:keepNext/>
              <w:keepLines/>
              <w:pBdr>
                <w:top w:val="nil"/>
                <w:left w:val="nil"/>
                <w:bottom w:val="nil"/>
                <w:right w:val="nil"/>
                <w:between w:val="nil"/>
              </w:pBdr>
              <w:rPr>
                <w:b/>
                <w:color w:val="920042"/>
              </w:rPr>
            </w:pPr>
            <w:r>
              <w:rPr>
                <w:b/>
                <w:color w:val="920042"/>
              </w:rPr>
              <w:t>Jméno a příjmení</w:t>
            </w:r>
          </w:p>
        </w:tc>
        <w:tc>
          <w:tcPr>
            <w:tcW w:w="2340" w:type="dxa"/>
            <w:shd w:val="clear" w:color="auto" w:fill="D9D9D9"/>
          </w:tcPr>
          <w:p w14:paraId="0000003D" w14:textId="77777777" w:rsidR="009C309C" w:rsidRDefault="007F735B">
            <w:pPr>
              <w:keepNext/>
              <w:keepLines/>
              <w:pBdr>
                <w:top w:val="nil"/>
                <w:left w:val="nil"/>
                <w:bottom w:val="nil"/>
                <w:right w:val="nil"/>
                <w:between w:val="nil"/>
              </w:pBdr>
              <w:rPr>
                <w:b/>
                <w:color w:val="920042"/>
              </w:rPr>
            </w:pPr>
            <w:r>
              <w:rPr>
                <w:b/>
                <w:color w:val="920042"/>
              </w:rPr>
              <w:t>Odpovědnost</w:t>
            </w:r>
          </w:p>
        </w:tc>
        <w:tc>
          <w:tcPr>
            <w:tcW w:w="3936" w:type="dxa"/>
            <w:shd w:val="clear" w:color="auto" w:fill="D9D9D9"/>
          </w:tcPr>
          <w:p w14:paraId="0000003E" w14:textId="77777777" w:rsidR="009C309C" w:rsidRDefault="007F735B">
            <w:pPr>
              <w:keepNext/>
              <w:keepLines/>
              <w:pBdr>
                <w:top w:val="nil"/>
                <w:left w:val="nil"/>
                <w:bottom w:val="nil"/>
                <w:right w:val="nil"/>
                <w:between w:val="nil"/>
              </w:pBdr>
              <w:rPr>
                <w:b/>
                <w:color w:val="920042"/>
              </w:rPr>
            </w:pPr>
            <w:r>
              <w:rPr>
                <w:b/>
                <w:color w:val="920042"/>
              </w:rPr>
              <w:t>Kontakt a způsob hlášení požadavku</w:t>
            </w:r>
          </w:p>
        </w:tc>
      </w:tr>
      <w:tr w:rsidR="009C309C" w14:paraId="5273A9C4" w14:textId="77777777">
        <w:tc>
          <w:tcPr>
            <w:tcW w:w="2088" w:type="dxa"/>
          </w:tcPr>
          <w:p w14:paraId="0000003F" w14:textId="7BED9809" w:rsidR="009C309C" w:rsidRDefault="005D63EE">
            <w:pPr>
              <w:keepNext/>
              <w:keepLines/>
              <w:pBdr>
                <w:top w:val="nil"/>
                <w:left w:val="nil"/>
                <w:bottom w:val="nil"/>
                <w:right w:val="nil"/>
                <w:between w:val="nil"/>
              </w:pBdr>
              <w:rPr>
                <w:color w:val="000000"/>
              </w:rPr>
            </w:pPr>
            <w:proofErr w:type="spellStart"/>
            <w:r>
              <w:t>xxxxxxx</w:t>
            </w:r>
            <w:r w:rsidR="002B71FE">
              <w:t>x</w:t>
            </w:r>
            <w:proofErr w:type="spellEnd"/>
            <w:r w:rsidR="00353D8B">
              <w:t xml:space="preserve"> </w:t>
            </w:r>
            <w:proofErr w:type="spellStart"/>
            <w:r w:rsidR="00353D8B">
              <w:t>xxxxxxxx</w:t>
            </w:r>
            <w:proofErr w:type="spellEnd"/>
          </w:p>
        </w:tc>
        <w:tc>
          <w:tcPr>
            <w:tcW w:w="2340" w:type="dxa"/>
          </w:tcPr>
          <w:p w14:paraId="00000040" w14:textId="77777777" w:rsidR="009C309C" w:rsidRDefault="007F735B">
            <w:pPr>
              <w:keepNext/>
              <w:keepLines/>
              <w:pBdr>
                <w:top w:val="nil"/>
                <w:left w:val="nil"/>
                <w:bottom w:val="nil"/>
                <w:right w:val="nil"/>
                <w:between w:val="nil"/>
              </w:pBdr>
              <w:rPr>
                <w:color w:val="000000"/>
              </w:rPr>
            </w:pPr>
            <w:r>
              <w:t>Podpora, Helpdesk</w:t>
            </w:r>
          </w:p>
        </w:tc>
        <w:tc>
          <w:tcPr>
            <w:tcW w:w="3936" w:type="dxa"/>
          </w:tcPr>
          <w:p w14:paraId="00000041" w14:textId="6A6679FC" w:rsidR="009C309C" w:rsidRDefault="00353D8B">
            <w:pPr>
              <w:keepNext/>
              <w:keepLines/>
              <w:pBdr>
                <w:top w:val="nil"/>
                <w:left w:val="nil"/>
                <w:bottom w:val="nil"/>
                <w:right w:val="nil"/>
                <w:between w:val="nil"/>
              </w:pBdr>
              <w:rPr>
                <w:color w:val="000000"/>
              </w:rPr>
            </w:pPr>
            <w:proofErr w:type="spellStart"/>
            <w:r>
              <w:t>xxxxxxxxx</w:t>
            </w:r>
            <w:r w:rsidR="004133F3">
              <w:t>x</w:t>
            </w:r>
            <w:r>
              <w:t>xxxxxxxxx</w:t>
            </w:r>
            <w:proofErr w:type="spellEnd"/>
          </w:p>
        </w:tc>
      </w:tr>
    </w:tbl>
    <w:p w14:paraId="00000042" w14:textId="77777777" w:rsidR="009C309C" w:rsidRDefault="007F735B">
      <w:pPr>
        <w:keepNext/>
        <w:keepLines/>
        <w:pBdr>
          <w:top w:val="nil"/>
          <w:left w:val="nil"/>
          <w:bottom w:val="nil"/>
          <w:right w:val="nil"/>
          <w:between w:val="nil"/>
        </w:pBdr>
        <w:spacing w:before="120" w:after="120"/>
        <w:ind w:firstLine="708"/>
        <w:jc w:val="both"/>
        <w:rPr>
          <w:color w:val="000000"/>
        </w:rPr>
      </w:pPr>
      <w:r>
        <w:rPr>
          <w:color w:val="000000"/>
        </w:rPr>
        <w:t>Za Uživatele:</w:t>
      </w:r>
    </w:p>
    <w:tbl>
      <w:tblPr>
        <w:tblStyle w:val="a8"/>
        <w:tblW w:w="8364" w:type="dxa"/>
        <w:tblInd w:w="560" w:type="dxa"/>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Layout w:type="fixed"/>
        <w:tblLook w:val="0000" w:firstRow="0" w:lastRow="0" w:firstColumn="0" w:lastColumn="0" w:noHBand="0" w:noVBand="0"/>
      </w:tblPr>
      <w:tblGrid>
        <w:gridCol w:w="2088"/>
        <w:gridCol w:w="2340"/>
        <w:gridCol w:w="3936"/>
      </w:tblGrid>
      <w:tr w:rsidR="009C309C" w14:paraId="3A449739" w14:textId="77777777">
        <w:tc>
          <w:tcPr>
            <w:tcW w:w="2088" w:type="dxa"/>
            <w:shd w:val="clear" w:color="auto" w:fill="D9D9D9"/>
          </w:tcPr>
          <w:p w14:paraId="00000043" w14:textId="77777777" w:rsidR="009C309C" w:rsidRDefault="007F735B">
            <w:pPr>
              <w:keepNext/>
              <w:keepLines/>
              <w:pBdr>
                <w:top w:val="nil"/>
                <w:left w:val="nil"/>
                <w:bottom w:val="nil"/>
                <w:right w:val="nil"/>
                <w:between w:val="nil"/>
              </w:pBdr>
              <w:rPr>
                <w:b/>
                <w:color w:val="920042"/>
              </w:rPr>
            </w:pPr>
            <w:r>
              <w:rPr>
                <w:b/>
                <w:color w:val="920042"/>
              </w:rPr>
              <w:t>Jméno a příjmení</w:t>
            </w:r>
          </w:p>
        </w:tc>
        <w:tc>
          <w:tcPr>
            <w:tcW w:w="2340" w:type="dxa"/>
            <w:shd w:val="clear" w:color="auto" w:fill="D9D9D9"/>
          </w:tcPr>
          <w:p w14:paraId="00000044" w14:textId="77777777" w:rsidR="009C309C" w:rsidRDefault="007F735B">
            <w:pPr>
              <w:keepNext/>
              <w:keepLines/>
              <w:pBdr>
                <w:top w:val="nil"/>
                <w:left w:val="nil"/>
                <w:bottom w:val="nil"/>
                <w:right w:val="nil"/>
                <w:between w:val="nil"/>
              </w:pBdr>
              <w:rPr>
                <w:b/>
                <w:color w:val="920042"/>
              </w:rPr>
            </w:pPr>
            <w:r>
              <w:rPr>
                <w:b/>
                <w:color w:val="920042"/>
              </w:rPr>
              <w:t>Odpovědnost</w:t>
            </w:r>
          </w:p>
        </w:tc>
        <w:tc>
          <w:tcPr>
            <w:tcW w:w="3936" w:type="dxa"/>
            <w:shd w:val="clear" w:color="auto" w:fill="D9D9D9"/>
          </w:tcPr>
          <w:p w14:paraId="00000045" w14:textId="77777777" w:rsidR="009C309C" w:rsidRDefault="007F735B">
            <w:pPr>
              <w:keepNext/>
              <w:keepLines/>
              <w:pBdr>
                <w:top w:val="nil"/>
                <w:left w:val="nil"/>
                <w:bottom w:val="nil"/>
                <w:right w:val="nil"/>
                <w:between w:val="nil"/>
              </w:pBdr>
              <w:rPr>
                <w:b/>
                <w:color w:val="920042"/>
              </w:rPr>
            </w:pPr>
            <w:r>
              <w:rPr>
                <w:b/>
                <w:color w:val="920042"/>
              </w:rPr>
              <w:t>Kontakt a způsob hlášení požadavku</w:t>
            </w:r>
          </w:p>
        </w:tc>
      </w:tr>
      <w:tr w:rsidR="009C309C" w14:paraId="746A496F" w14:textId="77777777">
        <w:tc>
          <w:tcPr>
            <w:tcW w:w="2088" w:type="dxa"/>
          </w:tcPr>
          <w:p w14:paraId="00000046" w14:textId="64EE8362" w:rsidR="009C309C" w:rsidRDefault="005D63EE">
            <w:pPr>
              <w:keepNext/>
              <w:keepLines/>
              <w:pBdr>
                <w:top w:val="nil"/>
                <w:left w:val="nil"/>
                <w:bottom w:val="nil"/>
                <w:right w:val="nil"/>
                <w:between w:val="nil"/>
              </w:pBdr>
              <w:rPr>
                <w:color w:val="000000"/>
              </w:rPr>
            </w:pPr>
            <w:proofErr w:type="spellStart"/>
            <w:r>
              <w:t>xxxxxx</w:t>
            </w:r>
            <w:r w:rsidR="002B71FE">
              <w:t>x</w:t>
            </w:r>
            <w:r>
              <w:t>x</w:t>
            </w:r>
            <w:proofErr w:type="spellEnd"/>
            <w:r>
              <w:t xml:space="preserve"> </w:t>
            </w:r>
            <w:proofErr w:type="spellStart"/>
            <w:r>
              <w:t>xxxxxxxx</w:t>
            </w:r>
            <w:proofErr w:type="spellEnd"/>
          </w:p>
        </w:tc>
        <w:tc>
          <w:tcPr>
            <w:tcW w:w="2340" w:type="dxa"/>
          </w:tcPr>
          <w:p w14:paraId="00000047" w14:textId="77777777" w:rsidR="009C309C" w:rsidRDefault="007F735B">
            <w:pPr>
              <w:keepNext/>
              <w:keepLines/>
              <w:pBdr>
                <w:top w:val="nil"/>
                <w:left w:val="nil"/>
                <w:bottom w:val="nil"/>
                <w:right w:val="nil"/>
                <w:between w:val="nil"/>
              </w:pBdr>
              <w:rPr>
                <w:color w:val="000000"/>
              </w:rPr>
            </w:pPr>
            <w:r>
              <w:rPr>
                <w:color w:val="000000"/>
              </w:rPr>
              <w:t>Manažer projektu</w:t>
            </w:r>
          </w:p>
        </w:tc>
        <w:tc>
          <w:tcPr>
            <w:tcW w:w="3936" w:type="dxa"/>
          </w:tcPr>
          <w:p w14:paraId="00000048" w14:textId="7B56F1F3" w:rsidR="009C309C" w:rsidRDefault="009C309C">
            <w:pPr>
              <w:keepNext/>
              <w:keepLines/>
              <w:pBdr>
                <w:top w:val="nil"/>
                <w:left w:val="nil"/>
                <w:bottom w:val="nil"/>
                <w:right w:val="nil"/>
                <w:between w:val="nil"/>
              </w:pBdr>
              <w:rPr>
                <w:color w:val="000000"/>
              </w:rPr>
            </w:pPr>
            <w:hyperlink r:id="rId10">
              <w:proofErr w:type="spellStart"/>
              <w:r w:rsidR="0015424A">
                <w:rPr>
                  <w:color w:val="000000"/>
                </w:rPr>
                <w:t>xxxxxxxxx</w:t>
              </w:r>
              <w:proofErr w:type="spellEnd"/>
            </w:hyperlink>
            <w:r>
              <w:rPr>
                <w:color w:val="000000"/>
              </w:rPr>
              <w:t xml:space="preserve">, </w:t>
            </w:r>
            <w:proofErr w:type="spellStart"/>
            <w:r w:rsidR="0015424A" w:rsidRPr="0015424A">
              <w:rPr>
                <w:color w:val="000000"/>
              </w:rPr>
              <w:t>xxxxxxxxx</w:t>
            </w:r>
            <w:proofErr w:type="spellEnd"/>
            <w:r>
              <w:rPr>
                <w:color w:val="000000"/>
              </w:rPr>
              <w:t xml:space="preserve">, </w:t>
            </w:r>
            <w:proofErr w:type="spellStart"/>
            <w:r w:rsidR="00707D7B">
              <w:t>xxxxxxxxx</w:t>
            </w:r>
            <w:r w:rsidR="004133F3">
              <w:t>x</w:t>
            </w:r>
            <w:r w:rsidR="00707D7B">
              <w:t>xxxxxxxxx</w:t>
            </w:r>
            <w:proofErr w:type="spellEnd"/>
          </w:p>
        </w:tc>
      </w:tr>
    </w:tbl>
    <w:p w14:paraId="00000049" w14:textId="77777777" w:rsidR="009C309C" w:rsidRDefault="007F735B">
      <w:pPr>
        <w:keepLines/>
        <w:pBdr>
          <w:top w:val="nil"/>
          <w:left w:val="nil"/>
          <w:bottom w:val="nil"/>
          <w:right w:val="nil"/>
          <w:between w:val="nil"/>
        </w:pBdr>
        <w:spacing w:before="120" w:after="120"/>
        <w:ind w:left="567"/>
        <w:jc w:val="both"/>
        <w:rPr>
          <w:color w:val="000000"/>
        </w:rPr>
      </w:pPr>
      <w:r>
        <w:rPr>
          <w:color w:val="000000"/>
        </w:rPr>
        <w:t>Tuto osobu bude Poskytovatel v případě potřeby kontaktovat a Uživatel se zavazuje zajistit její plnou součinnost.</w:t>
      </w:r>
    </w:p>
    <w:p w14:paraId="0000004A" w14:textId="77777777" w:rsidR="009C309C" w:rsidRDefault="007F735B">
      <w:pPr>
        <w:keepNext/>
        <w:keepLines/>
        <w:numPr>
          <w:ilvl w:val="2"/>
          <w:numId w:val="5"/>
        </w:numPr>
        <w:pBdr>
          <w:top w:val="nil"/>
          <w:left w:val="nil"/>
          <w:bottom w:val="nil"/>
          <w:right w:val="nil"/>
          <w:between w:val="nil"/>
        </w:pBdr>
        <w:spacing w:before="120" w:after="120"/>
        <w:jc w:val="both"/>
        <w:rPr>
          <w:color w:val="000000"/>
        </w:rPr>
      </w:pPr>
      <w:r>
        <w:rPr>
          <w:color w:val="000000"/>
        </w:rPr>
        <w:t>Kalkulace ceny mimozáruční servisní podpory je nedílnou součástí Smlouvy (Příloha č. 2 – Kalkulace ceny).</w:t>
      </w:r>
    </w:p>
    <w:p w14:paraId="0000004B" w14:textId="77777777" w:rsidR="009C309C" w:rsidRDefault="007F735B">
      <w:pPr>
        <w:keepNext/>
        <w:keepLines/>
        <w:numPr>
          <w:ilvl w:val="2"/>
          <w:numId w:val="5"/>
        </w:numPr>
        <w:pBdr>
          <w:top w:val="nil"/>
          <w:left w:val="nil"/>
          <w:bottom w:val="nil"/>
          <w:right w:val="nil"/>
          <w:between w:val="nil"/>
        </w:pBdr>
        <w:spacing w:before="120" w:after="120"/>
        <w:jc w:val="both"/>
        <w:rPr>
          <w:color w:val="000000"/>
        </w:rPr>
      </w:pPr>
      <w:r>
        <w:rPr>
          <w:color w:val="000000"/>
        </w:rPr>
        <w:t>Podmínky dalšího rozvoje a úprav Produktu:</w:t>
      </w:r>
    </w:p>
    <w:p w14:paraId="0000004C"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t xml:space="preserve">Dalším rozvojem je míněn rozvoj nad rámec paušálních (předplacených) hodin (jsou-li Uživatelem objednány).  </w:t>
      </w:r>
    </w:p>
    <w:p w14:paraId="0000004D"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lastRenderedPageBreak/>
        <w:t>Další rozvoj, úpravy a změny Produktu budou provedeny na základě objednávek nebo smluv nebo dodatků smluv.</w:t>
      </w:r>
    </w:p>
    <w:p w14:paraId="0000004E"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t>Hodinová sazba pro objednávky a servisní zásahy mimo rozsah sjednaný touto Smlouvou (odst. 3.1, 3.2) je stanovena na 1.650 Kč bez DPH.</w:t>
      </w:r>
    </w:p>
    <w:p w14:paraId="0000004F" w14:textId="77777777" w:rsidR="009C309C" w:rsidRDefault="007F735B">
      <w:pPr>
        <w:numPr>
          <w:ilvl w:val="1"/>
          <w:numId w:val="5"/>
        </w:numPr>
        <w:pBdr>
          <w:top w:val="nil"/>
          <w:left w:val="nil"/>
          <w:bottom w:val="single" w:sz="4" w:space="1" w:color="CA005D"/>
          <w:right w:val="nil"/>
          <w:between w:val="nil"/>
        </w:pBdr>
        <w:spacing w:before="360" w:after="180"/>
        <w:jc w:val="center"/>
      </w:pPr>
      <w:bookmarkStart w:id="4" w:name="_heading=h.tyjcwt" w:colFirst="0" w:colLast="0"/>
      <w:bookmarkEnd w:id="4"/>
      <w:r>
        <w:rPr>
          <w:b/>
          <w:smallCaps/>
          <w:color w:val="000000"/>
        </w:rPr>
        <w:t>Cena</w:t>
      </w:r>
    </w:p>
    <w:p w14:paraId="00000050"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Cena za servisní podporu Produktu ze strany Poskytovatele dle této Smlouvy je na období uvedené výše v článku II. (tedy za čtyři kalendářní roky) stanovena jako cena konečná ve výši celkem ==</w:t>
      </w:r>
      <w:r>
        <w:t>596.740</w:t>
      </w:r>
      <w:r>
        <w:rPr>
          <w:color w:val="000000"/>
        </w:rPr>
        <w:t>==Kč bez DPH. K této ceně bude připočteno DPH dle aktuálně platných předpisů. Cena vč. DPH činí ==</w:t>
      </w:r>
      <w:r>
        <w:t>722.055</w:t>
      </w:r>
      <w:r>
        <w:rPr>
          <w:color w:val="000000"/>
        </w:rPr>
        <w:t xml:space="preserve">== Kč. </w:t>
      </w:r>
    </w:p>
    <w:p w14:paraId="00000051"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 xml:space="preserve">Cena za příslušný kalendářní rok je splatná na základě faktury se </w:t>
      </w:r>
      <w:proofErr w:type="gramStart"/>
      <w:r>
        <w:rPr>
          <w:color w:val="000000"/>
        </w:rPr>
        <w:t>30 denní</w:t>
      </w:r>
      <w:proofErr w:type="gramEnd"/>
      <w:r>
        <w:rPr>
          <w:color w:val="000000"/>
        </w:rPr>
        <w:t xml:space="preserve"> splatností vystavené vždy ke dni 01. 01. příslušného kalendářního roku, na který je servisní podpora poskytována. Cena za případná plnění ze strany Poskytovatele za objednávky a servisní zásahy mimo rozsah sjednaný touto Smlouvou je splatná na základě faktury se </w:t>
      </w:r>
      <w:proofErr w:type="gramStart"/>
      <w:r>
        <w:rPr>
          <w:color w:val="000000"/>
        </w:rPr>
        <w:t>30 denní</w:t>
      </w:r>
      <w:proofErr w:type="gramEnd"/>
      <w:r>
        <w:rPr>
          <w:color w:val="000000"/>
        </w:rPr>
        <w:t xml:space="preserve"> splatností vystavené ke dni doručení objednávky Uživatele, případně ke dni platnosti smlouvy sjednané ohledně tohoto plnění. Faktura vystavená Poskytovatelem dle této Smlouvy bude vystavena jako daňový doklad se zúčtováním DPH dle předpisů platných k datu zdanitelného plnění a musí mít náležitosti stanovené pro daňový doklad.</w:t>
      </w:r>
    </w:p>
    <w:p w14:paraId="00000052"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 xml:space="preserve">Každá faktura (daňový doklad) musí v souladu s platnou právní úpravou (zejm. </w:t>
      </w:r>
      <w:proofErr w:type="spellStart"/>
      <w:r>
        <w:rPr>
          <w:color w:val="000000"/>
        </w:rPr>
        <w:t>ust</w:t>
      </w:r>
      <w:proofErr w:type="spellEnd"/>
      <w:r>
        <w:rPr>
          <w:color w:val="000000"/>
        </w:rPr>
        <w:t xml:space="preserve">. § 28 zákona č. 235/2004 Sb., ve znění pozdějších předpisů) obsahovat mimo jiné tyto náležitosti: </w:t>
      </w:r>
    </w:p>
    <w:p w14:paraId="00000053" w14:textId="77777777" w:rsidR="009C309C" w:rsidRDefault="007F735B">
      <w:pPr>
        <w:numPr>
          <w:ilvl w:val="0"/>
          <w:numId w:val="4"/>
        </w:numPr>
        <w:pBdr>
          <w:top w:val="nil"/>
          <w:left w:val="nil"/>
          <w:bottom w:val="nil"/>
          <w:right w:val="nil"/>
          <w:between w:val="nil"/>
        </w:pBdr>
        <w:tabs>
          <w:tab w:val="left" w:pos="1134"/>
        </w:tabs>
        <w:jc w:val="both"/>
        <w:rPr>
          <w:color w:val="000000"/>
        </w:rPr>
      </w:pPr>
      <w:r>
        <w:rPr>
          <w:color w:val="000000"/>
        </w:rPr>
        <w:t>číslo smlouvy</w:t>
      </w:r>
    </w:p>
    <w:p w14:paraId="00000054" w14:textId="77777777" w:rsidR="009C309C" w:rsidRDefault="007F735B">
      <w:pPr>
        <w:numPr>
          <w:ilvl w:val="0"/>
          <w:numId w:val="4"/>
        </w:numPr>
        <w:pBdr>
          <w:top w:val="nil"/>
          <w:left w:val="nil"/>
          <w:bottom w:val="nil"/>
          <w:right w:val="nil"/>
          <w:between w:val="nil"/>
        </w:pBdr>
        <w:tabs>
          <w:tab w:val="left" w:pos="1134"/>
        </w:tabs>
        <w:jc w:val="both"/>
        <w:rPr>
          <w:color w:val="000000"/>
        </w:rPr>
      </w:pPr>
      <w:r>
        <w:rPr>
          <w:color w:val="000000"/>
        </w:rPr>
        <w:t>bankovní spojení zhotovitele</w:t>
      </w:r>
    </w:p>
    <w:p w14:paraId="00000055" w14:textId="77777777" w:rsidR="009C309C" w:rsidRDefault="007F735B">
      <w:pPr>
        <w:numPr>
          <w:ilvl w:val="0"/>
          <w:numId w:val="4"/>
        </w:numPr>
        <w:pBdr>
          <w:top w:val="nil"/>
          <w:left w:val="nil"/>
          <w:bottom w:val="nil"/>
          <w:right w:val="nil"/>
          <w:between w:val="nil"/>
        </w:pBdr>
        <w:tabs>
          <w:tab w:val="left" w:pos="1134"/>
        </w:tabs>
        <w:jc w:val="both"/>
        <w:rPr>
          <w:color w:val="000000"/>
        </w:rPr>
      </w:pPr>
      <w:r>
        <w:rPr>
          <w:color w:val="000000"/>
        </w:rPr>
        <w:t>soupis provedených prací dokladující oprávněnost fakturované částky potvrzený objednatelem</w:t>
      </w:r>
    </w:p>
    <w:p w14:paraId="00000056" w14:textId="77777777" w:rsidR="009C309C" w:rsidRDefault="007F735B">
      <w:pPr>
        <w:numPr>
          <w:ilvl w:val="0"/>
          <w:numId w:val="4"/>
        </w:numPr>
        <w:jc w:val="both"/>
      </w:pPr>
      <w:r>
        <w:t>datum zdanitelného plnění a další náležitosti daňového dokladu v souladu s § 28 zákona č. 235/2004 Sb., o DPH ve znění pozdějších předpisů (výpočet DPH na haléře)</w:t>
      </w:r>
    </w:p>
    <w:p w14:paraId="00000057" w14:textId="77777777" w:rsidR="009C309C" w:rsidRDefault="007F735B">
      <w:pPr>
        <w:ind w:left="501"/>
        <w:jc w:val="both"/>
      </w:pPr>
      <w:r>
        <w:t>V případě, že vystavená faktura nebude obsahovat náležitosti dle tohoto článku, je Uživatel oprávněn tuto vrátit zhotoviteli k doplnění. Poskytovatel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Uživatele.</w:t>
      </w:r>
    </w:p>
    <w:p w14:paraId="00000058" w14:textId="77777777" w:rsidR="009C309C" w:rsidRDefault="007F735B">
      <w:pPr>
        <w:keepNext/>
        <w:numPr>
          <w:ilvl w:val="1"/>
          <w:numId w:val="5"/>
        </w:numPr>
        <w:pBdr>
          <w:top w:val="nil"/>
          <w:left w:val="nil"/>
          <w:bottom w:val="single" w:sz="4" w:space="1" w:color="CA005D"/>
          <w:right w:val="nil"/>
          <w:between w:val="nil"/>
        </w:pBdr>
        <w:spacing w:before="360" w:after="180"/>
        <w:jc w:val="center"/>
      </w:pPr>
      <w:r>
        <w:rPr>
          <w:b/>
          <w:smallCaps/>
          <w:color w:val="000000"/>
        </w:rPr>
        <w:t>Závazky smluvních stran</w:t>
      </w:r>
    </w:p>
    <w:p w14:paraId="00000059" w14:textId="77777777" w:rsidR="009C309C" w:rsidRDefault="007F735B">
      <w:pPr>
        <w:keepNext/>
        <w:keepLines/>
        <w:numPr>
          <w:ilvl w:val="2"/>
          <w:numId w:val="5"/>
        </w:numPr>
        <w:pBdr>
          <w:top w:val="nil"/>
          <w:left w:val="nil"/>
          <w:bottom w:val="nil"/>
          <w:right w:val="nil"/>
          <w:between w:val="nil"/>
        </w:pBdr>
        <w:spacing w:before="120" w:after="120"/>
        <w:jc w:val="both"/>
        <w:rPr>
          <w:color w:val="000000"/>
        </w:rPr>
      </w:pPr>
      <w:r>
        <w:rPr>
          <w:color w:val="000000"/>
        </w:rPr>
        <w:t>Poskytovatel se zavazuje:</w:t>
      </w:r>
    </w:p>
    <w:p w14:paraId="0000005A"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t>dodržet podmínky uvedené v této Smlouvě a jejích přílohách;</w:t>
      </w:r>
    </w:p>
    <w:p w14:paraId="0000005B"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t xml:space="preserve">zachovat mlčenlivost o všech informacích, se kterými při provádění servisní podpory dle této Smlouvy u Uživatele přišel do styku, a postupovat při provádění podpory vždy tak, aby zachoval bezpečnost a důvěrnost všech dat, </w:t>
      </w:r>
      <w:r>
        <w:rPr>
          <w:color w:val="000000"/>
        </w:rPr>
        <w:lastRenderedPageBreak/>
        <w:t>jež mu Uživatel v souvislosti s prováděním servisní podpory dle této Smlouvy poskytl. Povinnost mlčenlivosti trvá i po ukončení této Smlouvy;</w:t>
      </w:r>
    </w:p>
    <w:p w14:paraId="0000005C"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t>pro nakládání s osobními údaji, s nimiž Zhotovitel přijde do styku v průběhu plnění, a pro ochranu těchto údajů při jejich zpracování platí čl. 4 nařízení Evropského parlamentu a Rady (EU) 2016/679, o ochraně fyzických osob v souvislosti se zpracováním osobních údajů a o volném pohybu těchto údajů a o zrušení směrnice 95/46/ES (obecné nařízení o ochraně osobních údajů), ve znění pozdějších předpisů;</w:t>
      </w:r>
      <w:r>
        <w:rPr>
          <w:color w:val="000000"/>
        </w:rPr>
        <w:t xml:space="preserve"> </w:t>
      </w:r>
    </w:p>
    <w:p w14:paraId="0000005D"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t>p</w:t>
      </w:r>
      <w:r>
        <w:rPr>
          <w:color w:val="000000"/>
        </w:rPr>
        <w:t xml:space="preserve">oskytovatel odpovídá pouze za služby výslovně uvedené a předplacené Uživatelem v rámci této Smlouvy v rozsahu dle kapitoly III. této Smlouvy; </w:t>
      </w:r>
    </w:p>
    <w:p w14:paraId="0000005E" w14:textId="36DAF3C5"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t>s</w:t>
      </w:r>
      <w:r>
        <w:rPr>
          <w:color w:val="000000"/>
        </w:rPr>
        <w:t>mluvní strany sjednávají, že Poskytovatel odpovídá Uživateli za jakoukoliv újmu vzniklou v souvislosti s touto Smlouvou</w:t>
      </w:r>
      <w:sdt>
        <w:sdtPr>
          <w:tag w:val="goog_rdk_0"/>
          <w:id w:val="8489861"/>
        </w:sdtPr>
        <w:sdtContent>
          <w:r>
            <w:rPr>
              <w:color w:val="000000"/>
            </w:rPr>
            <w:t xml:space="preserve"> v celkové výši do </w:t>
          </w:r>
          <w:proofErr w:type="gramStart"/>
          <w:r>
            <w:rPr>
              <w:color w:val="000000"/>
            </w:rPr>
            <w:t>20.000.000,-</w:t>
          </w:r>
          <w:proofErr w:type="gramEnd"/>
          <w:r>
            <w:rPr>
              <w:color w:val="000000"/>
            </w:rPr>
            <w:t xml:space="preserve">Kč, na tuto hodnotu je poskytovatel pojištěn. </w:t>
          </w:r>
        </w:sdtContent>
      </w:sdt>
      <w:sdt>
        <w:sdtPr>
          <w:tag w:val="goog_rdk_1"/>
          <w:id w:val="-779032168"/>
          <w:showingPlcHdr/>
        </w:sdtPr>
        <w:sdtContent>
          <w:r w:rsidR="00346E69">
            <w:t xml:space="preserve">     </w:t>
          </w:r>
        </w:sdtContent>
      </w:sdt>
    </w:p>
    <w:p w14:paraId="0000005F" w14:textId="77777777" w:rsidR="009C309C" w:rsidRDefault="007F735B">
      <w:pPr>
        <w:keepNext/>
        <w:keepLines/>
        <w:numPr>
          <w:ilvl w:val="2"/>
          <w:numId w:val="5"/>
        </w:numPr>
        <w:pBdr>
          <w:top w:val="nil"/>
          <w:left w:val="nil"/>
          <w:bottom w:val="nil"/>
          <w:right w:val="nil"/>
          <w:between w:val="nil"/>
        </w:pBdr>
        <w:spacing w:before="120" w:after="120"/>
        <w:jc w:val="both"/>
        <w:rPr>
          <w:color w:val="000000"/>
        </w:rPr>
      </w:pPr>
      <w:r>
        <w:rPr>
          <w:color w:val="000000"/>
        </w:rPr>
        <w:t>Uživatel se v rámci této Smlouvy zavazuje:</w:t>
      </w:r>
    </w:p>
    <w:p w14:paraId="00000060"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t xml:space="preserve">zaplatit sjednanou cenu ve třech splátkách vždy na základě vystavené faktury k 01. 01. příslušného kalendářního roku se </w:t>
      </w:r>
      <w:proofErr w:type="gramStart"/>
      <w:r>
        <w:rPr>
          <w:color w:val="000000"/>
        </w:rPr>
        <w:t>30 denní</w:t>
      </w:r>
      <w:proofErr w:type="gramEnd"/>
      <w:r>
        <w:rPr>
          <w:color w:val="000000"/>
        </w:rPr>
        <w:t xml:space="preserve"> splatností;</w:t>
      </w:r>
    </w:p>
    <w:p w14:paraId="00000061"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t>umožnit Poskytovateli komunikaci s klíčovými pracovníky Uživatele a poskytnout všechny další nezbytné informace pro zajištění chodu Produktu a poskytnout potřebnou součinnost pro plnění povinností Poskytovatele vyplývajících z této Smlouvy na vyžádání Poskytovatele (např. poskytnutí přístupů, zajištění konfigurace integrovaných SW Uživatelem a další);</w:t>
      </w:r>
    </w:p>
    <w:p w14:paraId="00000062"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t>spolupracovat při organizaci školení zaměstnanců Uživatele, pokud má Uživatel tuto službu objednanou nebo si ji dodatečně objedná;</w:t>
      </w:r>
    </w:p>
    <w:p w14:paraId="00000063"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color w:val="000000"/>
        </w:rPr>
      </w:pPr>
      <w:r>
        <w:rPr>
          <w:color w:val="000000"/>
        </w:rPr>
        <w:t>umožnit realizaci dálkové administrace serveru Uživatele, v případě, že ji má Uživatel objednanou nebo si ji dodatečně objedná, a poskytnout Poskytovateli veškerou součinnost požadovanou Poskytovatelem za tímto účelem;</w:t>
      </w:r>
    </w:p>
    <w:p w14:paraId="00000064" w14:textId="77777777" w:rsidR="009C309C" w:rsidRDefault="007F735B">
      <w:pPr>
        <w:numPr>
          <w:ilvl w:val="3"/>
          <w:numId w:val="5"/>
        </w:numPr>
        <w:pBdr>
          <w:top w:val="nil"/>
          <w:left w:val="nil"/>
          <w:bottom w:val="nil"/>
          <w:right w:val="nil"/>
          <w:between w:val="nil"/>
        </w:pBdr>
        <w:tabs>
          <w:tab w:val="left" w:pos="1418"/>
        </w:tabs>
        <w:spacing w:before="40" w:after="40"/>
        <w:ind w:left="1418" w:hanging="851"/>
        <w:jc w:val="both"/>
        <w:rPr>
          <w:rFonts w:ascii="Times New Roman" w:eastAsia="Times New Roman" w:hAnsi="Times New Roman" w:cs="Times New Roman"/>
          <w:color w:val="000000"/>
        </w:rPr>
      </w:pPr>
      <w:r>
        <w:rPr>
          <w:color w:val="000000"/>
        </w:rPr>
        <w:t>zachovat důvěrnost všech informací, jež mu Poskytovatel v souvislosti s prováděním servisní podpory dle této Smlouvy sdělil. Povinnost mlčenlivosti trvá i po ukončení této Smlouvy.</w:t>
      </w:r>
    </w:p>
    <w:p w14:paraId="00000065" w14:textId="77777777" w:rsidR="009C309C" w:rsidRDefault="007F735B">
      <w:pPr>
        <w:keepNext/>
        <w:keepLines/>
        <w:numPr>
          <w:ilvl w:val="1"/>
          <w:numId w:val="5"/>
        </w:numPr>
        <w:pBdr>
          <w:top w:val="nil"/>
          <w:left w:val="nil"/>
          <w:bottom w:val="single" w:sz="4" w:space="1" w:color="CA005D"/>
          <w:right w:val="nil"/>
          <w:between w:val="nil"/>
        </w:pBdr>
        <w:spacing w:before="360" w:after="180"/>
        <w:jc w:val="center"/>
      </w:pPr>
      <w:r>
        <w:rPr>
          <w:b/>
          <w:smallCaps/>
          <w:color w:val="000000"/>
        </w:rPr>
        <w:t>Sankce</w:t>
      </w:r>
    </w:p>
    <w:p w14:paraId="00000066" w14:textId="77777777" w:rsidR="009C309C" w:rsidRDefault="007F735B">
      <w:pPr>
        <w:keepNext/>
        <w:keepLines/>
        <w:numPr>
          <w:ilvl w:val="2"/>
          <w:numId w:val="5"/>
        </w:numPr>
        <w:pBdr>
          <w:top w:val="nil"/>
          <w:left w:val="nil"/>
          <w:bottom w:val="nil"/>
          <w:right w:val="nil"/>
          <w:between w:val="nil"/>
        </w:pBdr>
        <w:spacing w:before="120" w:after="120"/>
        <w:jc w:val="both"/>
        <w:rPr>
          <w:color w:val="000000"/>
        </w:rPr>
      </w:pPr>
      <w:r>
        <w:rPr>
          <w:color w:val="000000"/>
        </w:rPr>
        <w:t xml:space="preserve">Poskytovatel se zavazuje při nedodržení termínů reakční doby a doby pro vyřešení incidentu typu Chyba (jak je tento výraz definován v Příloze č. 1 Smlouvy) stanovených v kapitole III., odst. 1 této Smlouvy uhradit Uživateli smluvní pokutu ve výši </w:t>
      </w:r>
      <w:proofErr w:type="gramStart"/>
      <w:r>
        <w:rPr>
          <w:color w:val="000000"/>
        </w:rPr>
        <w:t>0,05%</w:t>
      </w:r>
      <w:proofErr w:type="gramEnd"/>
      <w:r>
        <w:rPr>
          <w:color w:val="000000"/>
        </w:rPr>
        <w:t xml:space="preserve"> ze sjednané ceny dle kapitoly IV. odst. 1 této Smlouvy za každý den prodlení, pokud se Poskytovatel s Uživatelem nedohodne jinak.</w:t>
      </w:r>
    </w:p>
    <w:p w14:paraId="00000067"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Úhrady prováděné Uživatelem Poskytovateli dle této Smlouvy se považují za uhrazené okamžikem odepsání celé částky z účtu Uživatele na účet Poskytovatele specifikovaný v příslušné faktuře. Uživatel se zavazuje uhradit Poskytovateli úrok z prodlení v případě svého prodlení s úhradou dlužné částky v zákonné výši za každý den prodlení. Tím není dotčen nárok Poskytovatele na náhradu škody či její výše.</w:t>
      </w:r>
    </w:p>
    <w:p w14:paraId="00000068"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lastRenderedPageBreak/>
        <w:t>Splatnost sankce je 14 dní od doručení jejího písemného vyúčtování Uživateli nebo Poskytovateli.</w:t>
      </w:r>
    </w:p>
    <w:p w14:paraId="00000069" w14:textId="77777777" w:rsidR="009C309C" w:rsidRDefault="007F735B">
      <w:pPr>
        <w:numPr>
          <w:ilvl w:val="1"/>
          <w:numId w:val="5"/>
        </w:numPr>
        <w:pBdr>
          <w:top w:val="nil"/>
          <w:left w:val="nil"/>
          <w:bottom w:val="single" w:sz="4" w:space="1" w:color="CA005D"/>
          <w:right w:val="nil"/>
          <w:between w:val="nil"/>
        </w:pBdr>
        <w:spacing w:before="360" w:after="180"/>
        <w:jc w:val="center"/>
      </w:pPr>
      <w:bookmarkStart w:id="5" w:name="_heading=h.3dy6vkm" w:colFirst="0" w:colLast="0"/>
      <w:bookmarkEnd w:id="5"/>
      <w:r>
        <w:rPr>
          <w:b/>
          <w:smallCaps/>
          <w:color w:val="000000"/>
        </w:rPr>
        <w:t>Závěrečná ustanovení</w:t>
      </w:r>
    </w:p>
    <w:p w14:paraId="0000006A"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Závazkový vztah založený touto Smlouvou se řídí občanským zákoníkem, pokud není v této Smlouvě stanoveno jinak.</w:t>
      </w:r>
    </w:p>
    <w:p w14:paraId="0000006B"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Smlouva je vyhotovena ve třech stejnopisech, Uživatel obdrží dvě a Poskytovatel jedno vyhotovení.</w:t>
      </w:r>
    </w:p>
    <w:p w14:paraId="0000006C" w14:textId="77777777" w:rsidR="009C309C" w:rsidRDefault="007F735B">
      <w:pPr>
        <w:numPr>
          <w:ilvl w:val="2"/>
          <w:numId w:val="5"/>
        </w:numPr>
        <w:pBdr>
          <w:top w:val="nil"/>
          <w:left w:val="nil"/>
          <w:bottom w:val="nil"/>
          <w:right w:val="nil"/>
          <w:between w:val="nil"/>
        </w:pBdr>
        <w:spacing w:before="120" w:after="120"/>
        <w:jc w:val="both"/>
        <w:rPr>
          <w:color w:val="000000"/>
        </w:rPr>
      </w:pPr>
      <w:r>
        <w:rPr>
          <w:color w:val="000000"/>
        </w:rPr>
        <w:t xml:space="preserve">Nedílnou součástí této Smlouvy je její Příloha č. 1 – Servisní podmínky a Příloha č. 2 – Kalkulace ceny. Uživatel výslovně potvrzuje, že je seznámen se Servisními podmínkami i s Kalkulací ceny a podpisem této Smlouvy s nimi vyslovuje svůj souhlas. </w:t>
      </w:r>
    </w:p>
    <w:p w14:paraId="0000006D" w14:textId="77777777" w:rsidR="009C309C" w:rsidRDefault="007F735B">
      <w:pPr>
        <w:keepNext/>
        <w:keepLines/>
        <w:numPr>
          <w:ilvl w:val="2"/>
          <w:numId w:val="5"/>
        </w:numPr>
        <w:pBdr>
          <w:top w:val="nil"/>
          <w:left w:val="nil"/>
          <w:bottom w:val="nil"/>
          <w:right w:val="nil"/>
          <w:between w:val="nil"/>
        </w:pBdr>
        <w:spacing w:before="120" w:after="120"/>
        <w:jc w:val="both"/>
        <w:rPr>
          <w:color w:val="000000"/>
        </w:rPr>
      </w:pPr>
      <w:bookmarkStart w:id="6" w:name="_heading=h.1t3h5sf" w:colFirst="0" w:colLast="0"/>
      <w:bookmarkEnd w:id="6"/>
      <w:r>
        <w:rPr>
          <w:color w:val="000000"/>
        </w:rPr>
        <w:t>Smlouva nabývá platnosti dnem jejího uzavření smluvními stranami a účinnosti dnem zveřejnění v registru smluv.</w:t>
      </w:r>
    </w:p>
    <w:p w14:paraId="0000006F" w14:textId="38139FCA" w:rsidR="009C309C" w:rsidRDefault="007F735B" w:rsidP="004C728B">
      <w:pPr>
        <w:keepNext/>
        <w:keepLines/>
        <w:numPr>
          <w:ilvl w:val="2"/>
          <w:numId w:val="5"/>
        </w:numPr>
        <w:pBdr>
          <w:top w:val="nil"/>
          <w:left w:val="nil"/>
          <w:bottom w:val="nil"/>
          <w:right w:val="nil"/>
          <w:between w:val="nil"/>
        </w:pBdr>
        <w:spacing w:before="120" w:after="120"/>
        <w:jc w:val="both"/>
        <w:rPr>
          <w:color w:val="000000"/>
        </w:rPr>
      </w:pPr>
      <w:r>
        <w:rPr>
          <w:color w:val="000000"/>
        </w:rPr>
        <w:t>Smlouva může být měněna pouze písemnými dodatky uzavřenými mezi smluvními stranami.</w:t>
      </w:r>
    </w:p>
    <w:p w14:paraId="00000070" w14:textId="77777777" w:rsidR="009C309C" w:rsidRDefault="007F735B">
      <w:pPr>
        <w:keepNext/>
        <w:keepLines/>
        <w:numPr>
          <w:ilvl w:val="2"/>
          <w:numId w:val="5"/>
        </w:numPr>
        <w:pBdr>
          <w:top w:val="nil"/>
          <w:left w:val="nil"/>
          <w:bottom w:val="nil"/>
          <w:right w:val="nil"/>
          <w:between w:val="nil"/>
        </w:pBdr>
        <w:spacing w:before="120" w:after="120"/>
        <w:jc w:val="both"/>
        <w:rPr>
          <w:color w:val="000000"/>
        </w:rPr>
      </w:pPr>
      <w:r>
        <w:rPr>
          <w:color w:val="000000"/>
        </w:rPr>
        <w:t xml:space="preserve">Smlouvu lze ukončit dohodou nebo písemnou výpovědí jedné ze smluvních stran. Výpovědní lhůta činí 3 měsíce a začíná běžet 1. den kalendářního měsíce následujícího po doručení výpovědi druhé smluvní straně. Smluvní strany po ukončení smlouvy provedou vzájemné vypořádání závazků. Poskytovateli náleží poměrná část z ceny uvedené v kapitole IV. Smlouvy za měsíce, v nichž Smlouva skutečně trvala. Poskytovatel vystaví na poměrnou část odměny fakturu se </w:t>
      </w:r>
      <w:proofErr w:type="gramStart"/>
      <w:r>
        <w:rPr>
          <w:color w:val="000000"/>
        </w:rPr>
        <w:t>30 denní</w:t>
      </w:r>
      <w:proofErr w:type="gramEnd"/>
      <w:r>
        <w:rPr>
          <w:color w:val="000000"/>
        </w:rPr>
        <w:t xml:space="preserve"> splatností ode dne vystavení faktury. V případě, že cena dle kapitoly IV. Smlouvy byla již Uživatelem uhrazena, vystaví Poskytovatel Opravný daňový doklad se </w:t>
      </w:r>
      <w:proofErr w:type="gramStart"/>
      <w:r>
        <w:rPr>
          <w:color w:val="000000"/>
        </w:rPr>
        <w:t>14 denní</w:t>
      </w:r>
      <w:proofErr w:type="gramEnd"/>
      <w:r>
        <w:rPr>
          <w:color w:val="000000"/>
        </w:rPr>
        <w:t xml:space="preserve"> splatností ode dne vystavení dokladu, kterým Uživateli vrátí poměrnou část odměny za měsíce, v nichž nebyla Smlouva realizována.</w:t>
      </w:r>
    </w:p>
    <w:p w14:paraId="00000071" w14:textId="77777777" w:rsidR="009C309C" w:rsidRDefault="009C309C">
      <w:pPr>
        <w:pBdr>
          <w:top w:val="nil"/>
          <w:left w:val="nil"/>
          <w:bottom w:val="nil"/>
          <w:right w:val="nil"/>
          <w:between w:val="nil"/>
        </w:pBdr>
        <w:jc w:val="both"/>
        <w:rPr>
          <w:color w:val="000000"/>
        </w:rPr>
      </w:pPr>
    </w:p>
    <w:p w14:paraId="00000073" w14:textId="77777777" w:rsidR="009C309C" w:rsidRDefault="007F735B">
      <w:pPr>
        <w:pBdr>
          <w:top w:val="nil"/>
          <w:left w:val="nil"/>
          <w:bottom w:val="nil"/>
          <w:right w:val="nil"/>
          <w:between w:val="nil"/>
        </w:pBdr>
        <w:jc w:val="both"/>
        <w:rPr>
          <w:color w:val="000000"/>
        </w:rPr>
      </w:pPr>
      <w:r>
        <w:rPr>
          <w:color w:val="000000"/>
        </w:rPr>
        <w:t xml:space="preserve">V Praze dne . . . . . . . . . </w:t>
      </w:r>
      <w:proofErr w:type="gramStart"/>
      <w:r>
        <w:rPr>
          <w:color w:val="000000"/>
        </w:rPr>
        <w:t>. . . .</w:t>
      </w:r>
      <w:proofErr w:type="gramEnd"/>
      <w:r>
        <w:rPr>
          <w:color w:val="000000"/>
        </w:rPr>
        <w:t xml:space="preserve"> .</w:t>
      </w:r>
      <w:r>
        <w:rPr>
          <w:color w:val="000000"/>
        </w:rPr>
        <w:tab/>
      </w:r>
      <w:r>
        <w:rPr>
          <w:color w:val="000000"/>
        </w:rPr>
        <w:tab/>
      </w:r>
      <w:r>
        <w:rPr>
          <w:color w:val="000000"/>
        </w:rPr>
        <w:tab/>
      </w:r>
      <w:r>
        <w:rPr>
          <w:color w:val="000000"/>
        </w:rPr>
        <w:tab/>
        <w:t xml:space="preserve">V Praze dne . . . . . . . . . </w:t>
      </w:r>
      <w:proofErr w:type="gramStart"/>
      <w:r>
        <w:rPr>
          <w:color w:val="000000"/>
        </w:rPr>
        <w:t>. . . .</w:t>
      </w:r>
      <w:proofErr w:type="gramEnd"/>
      <w:r>
        <w:rPr>
          <w:color w:val="000000"/>
        </w:rPr>
        <w:t xml:space="preserve"> .</w:t>
      </w:r>
    </w:p>
    <w:p w14:paraId="00000075" w14:textId="77777777" w:rsidR="009C309C" w:rsidRDefault="009C309C">
      <w:pPr>
        <w:pBdr>
          <w:top w:val="nil"/>
          <w:left w:val="nil"/>
          <w:bottom w:val="nil"/>
          <w:right w:val="nil"/>
          <w:between w:val="nil"/>
        </w:pBdr>
        <w:jc w:val="both"/>
        <w:rPr>
          <w:color w:val="000000"/>
        </w:rPr>
      </w:pPr>
    </w:p>
    <w:p w14:paraId="00000076" w14:textId="77777777" w:rsidR="009C309C" w:rsidRDefault="009C309C">
      <w:pPr>
        <w:pBdr>
          <w:top w:val="nil"/>
          <w:left w:val="nil"/>
          <w:bottom w:val="nil"/>
          <w:right w:val="nil"/>
          <w:between w:val="nil"/>
        </w:pBdr>
        <w:jc w:val="both"/>
        <w:rPr>
          <w:color w:val="000000"/>
        </w:rPr>
      </w:pPr>
    </w:p>
    <w:p w14:paraId="00000077" w14:textId="77777777" w:rsidR="009C309C" w:rsidRDefault="007F735B">
      <w:pPr>
        <w:pBdr>
          <w:top w:val="nil"/>
          <w:left w:val="nil"/>
          <w:bottom w:val="nil"/>
          <w:right w:val="nil"/>
          <w:between w:val="nil"/>
        </w:pBdr>
        <w:jc w:val="both"/>
        <w:rPr>
          <w:color w:val="000000"/>
        </w:rPr>
      </w:pPr>
      <w:r>
        <w:rPr>
          <w:color w:val="000000"/>
        </w:rPr>
        <w:t>____________________________</w:t>
      </w:r>
      <w:r>
        <w:rPr>
          <w:color w:val="000000"/>
        </w:rPr>
        <w:tab/>
      </w:r>
      <w:r>
        <w:rPr>
          <w:color w:val="000000"/>
        </w:rPr>
        <w:tab/>
      </w:r>
      <w:r>
        <w:rPr>
          <w:color w:val="000000"/>
        </w:rPr>
        <w:tab/>
        <w:t>______________________________</w:t>
      </w:r>
    </w:p>
    <w:p w14:paraId="00000078" w14:textId="77777777" w:rsidR="009C309C" w:rsidRDefault="007F735B">
      <w:pPr>
        <w:pBdr>
          <w:top w:val="nil"/>
          <w:left w:val="nil"/>
          <w:bottom w:val="nil"/>
          <w:right w:val="nil"/>
          <w:between w:val="nil"/>
        </w:pBdr>
        <w:jc w:val="both"/>
        <w:rPr>
          <w:b/>
          <w:color w:val="000000"/>
        </w:rPr>
      </w:pPr>
      <w:r>
        <w:rPr>
          <w:b/>
          <w:color w:val="000000"/>
        </w:rPr>
        <w:t>Ing. Jan Mach, jednatel</w:t>
      </w:r>
      <w:r>
        <w:rPr>
          <w:b/>
          <w:color w:val="000000"/>
        </w:rPr>
        <w:tab/>
      </w:r>
      <w:r>
        <w:rPr>
          <w:b/>
          <w:color w:val="000000"/>
        </w:rPr>
        <w:tab/>
      </w:r>
      <w:r>
        <w:rPr>
          <w:b/>
          <w:color w:val="000000"/>
        </w:rPr>
        <w:tab/>
      </w:r>
      <w:r>
        <w:rPr>
          <w:b/>
          <w:color w:val="000000"/>
        </w:rPr>
        <w:tab/>
        <w:t xml:space="preserve">RNDr. Jiří Frank, Ph.D., </w:t>
      </w:r>
    </w:p>
    <w:p w14:paraId="00000079" w14:textId="77777777" w:rsidR="009C309C" w:rsidRDefault="007F735B">
      <w:pPr>
        <w:pBdr>
          <w:top w:val="nil"/>
          <w:left w:val="nil"/>
          <w:bottom w:val="nil"/>
          <w:right w:val="nil"/>
          <w:between w:val="nil"/>
        </w:pBdr>
        <w:jc w:val="both"/>
        <w:rPr>
          <w:color w:val="000000"/>
        </w:rPr>
      </w:pPr>
      <w:r>
        <w:rPr>
          <w:b/>
          <w:color w:val="000000"/>
        </w:rPr>
        <w:t>DERS Group s.r.o.</w:t>
      </w:r>
      <w:r>
        <w:rPr>
          <w:color w:val="000000"/>
        </w:rPr>
        <w:tab/>
      </w:r>
      <w:r>
        <w:rPr>
          <w:color w:val="000000"/>
        </w:rPr>
        <w:tab/>
      </w:r>
      <w:r>
        <w:rPr>
          <w:color w:val="000000"/>
        </w:rPr>
        <w:tab/>
      </w:r>
      <w:r>
        <w:rPr>
          <w:color w:val="000000"/>
        </w:rPr>
        <w:tab/>
      </w:r>
      <w:r>
        <w:rPr>
          <w:color w:val="000000"/>
        </w:rPr>
        <w:tab/>
        <w:t>vědecký tajemník</w:t>
      </w:r>
    </w:p>
    <w:p w14:paraId="0000007A" w14:textId="77777777" w:rsidR="009C309C" w:rsidRDefault="007F735B">
      <w:pPr>
        <w:pBdr>
          <w:top w:val="nil"/>
          <w:left w:val="nil"/>
          <w:bottom w:val="nil"/>
          <w:right w:val="nil"/>
          <w:between w:val="nil"/>
        </w:pBdr>
        <w:jc w:val="both"/>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Národní muzeum</w:t>
      </w:r>
    </w:p>
    <w:p w14:paraId="0000007B" w14:textId="77777777" w:rsidR="009C309C" w:rsidRDefault="009C309C">
      <w:pPr>
        <w:jc w:val="both"/>
        <w:rPr>
          <w:color w:val="000000"/>
          <w:sz w:val="22"/>
          <w:szCs w:val="22"/>
        </w:rPr>
      </w:pPr>
    </w:p>
    <w:p w14:paraId="0A7B7B92" w14:textId="77777777" w:rsidR="00B71A47" w:rsidRDefault="00B71A47">
      <w:pPr>
        <w:pBdr>
          <w:top w:val="nil"/>
          <w:left w:val="nil"/>
          <w:bottom w:val="single" w:sz="4" w:space="1" w:color="CA005D"/>
          <w:right w:val="nil"/>
          <w:between w:val="nil"/>
        </w:pBdr>
        <w:spacing w:after="240"/>
        <w:rPr>
          <w:b/>
          <w:color w:val="8A003E"/>
          <w:sz w:val="40"/>
          <w:szCs w:val="40"/>
        </w:rPr>
        <w:sectPr w:rsidR="00B71A47" w:rsidSect="00EE6947">
          <w:headerReference w:type="default" r:id="rId11"/>
          <w:footerReference w:type="default" r:id="rId12"/>
          <w:headerReference w:type="first" r:id="rId13"/>
          <w:pgSz w:w="11906" w:h="16838"/>
          <w:pgMar w:top="1843" w:right="1417" w:bottom="1560" w:left="1417" w:header="708" w:footer="708" w:gutter="0"/>
          <w:pgNumType w:start="1"/>
          <w:cols w:space="708"/>
          <w:titlePg/>
          <w:docGrid w:linePitch="326"/>
        </w:sectPr>
      </w:pPr>
      <w:bookmarkStart w:id="7" w:name="_heading=h.2s8eyo1" w:colFirst="0" w:colLast="0"/>
      <w:bookmarkEnd w:id="7"/>
    </w:p>
    <w:p w14:paraId="00000097" w14:textId="3937C7F7" w:rsidR="009C309C" w:rsidRDefault="007F735B">
      <w:pPr>
        <w:pBdr>
          <w:top w:val="nil"/>
          <w:left w:val="nil"/>
          <w:bottom w:val="single" w:sz="4" w:space="1" w:color="CA005D"/>
          <w:right w:val="nil"/>
          <w:between w:val="nil"/>
        </w:pBdr>
        <w:spacing w:after="240"/>
        <w:rPr>
          <w:b/>
          <w:color w:val="000000"/>
          <w:sz w:val="40"/>
          <w:szCs w:val="40"/>
        </w:rPr>
      </w:pPr>
      <w:r>
        <w:rPr>
          <w:b/>
          <w:color w:val="8A003E"/>
          <w:sz w:val="40"/>
          <w:szCs w:val="40"/>
        </w:rPr>
        <w:lastRenderedPageBreak/>
        <w:t>Příloha č. 1 Servisní smlouvy:</w:t>
      </w:r>
      <w:r>
        <w:rPr>
          <w:b/>
          <w:color w:val="000000"/>
          <w:sz w:val="40"/>
          <w:szCs w:val="40"/>
        </w:rPr>
        <w:t xml:space="preserve"> Servisní podmínky</w:t>
      </w:r>
    </w:p>
    <w:p w14:paraId="00000098" w14:textId="77777777" w:rsidR="009C309C" w:rsidRDefault="007F735B">
      <w:pPr>
        <w:keepNext/>
        <w:numPr>
          <w:ilvl w:val="1"/>
          <w:numId w:val="2"/>
        </w:numPr>
        <w:pBdr>
          <w:top w:val="nil"/>
          <w:left w:val="nil"/>
          <w:bottom w:val="single" w:sz="4" w:space="1" w:color="CA005D"/>
          <w:right w:val="nil"/>
          <w:between w:val="nil"/>
        </w:pBdr>
        <w:spacing w:before="360" w:after="180"/>
        <w:jc w:val="center"/>
      </w:pPr>
      <w:r>
        <w:rPr>
          <w:b/>
          <w:smallCaps/>
          <w:color w:val="000000"/>
          <w:sz w:val="28"/>
          <w:szCs w:val="28"/>
        </w:rPr>
        <w:t>Preambule</w:t>
      </w:r>
    </w:p>
    <w:p w14:paraId="00000099"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 xml:space="preserve">Reakční doby uvedení v čl. III odst. 3.1. Smlouvy jsou nejdelší možné. Poskytovatel se vždy snaží poskytovat služby v co nejkratším možném termínu a všechny svoje Produkty testuje s náležitou pečlivostí, aby nedocházelo k výskytu Incidentů a Chyb. Nicméně Chyby mohou vzniknout i vlivem změny prostředí Uživatele nebo změnou napojených informačních systémů třetích stran. </w:t>
      </w:r>
    </w:p>
    <w:p w14:paraId="0000009A"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 xml:space="preserve">Smlouva proto ošetřuje případy, kdy dojde k Incidentu (problémové události), který může být způsoben Chybou Produktu, neinformovaností Uživatele nebo změnou okolních podmínek. </w:t>
      </w:r>
    </w:p>
    <w:p w14:paraId="0000009B"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 xml:space="preserve">Protihodnotou ceny za servisní podporu Produktu ze strany Poskytovatele je mimo jiné připravenost Poskytovatele řešit Incidenty a zahrnuje řešení Chyb v dohodnutých lhůtách. </w:t>
      </w:r>
    </w:p>
    <w:p w14:paraId="0000009C"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 xml:space="preserve">Smlouva a cena předmětu smlouvy nepokrývá rozvoj Aplikace nebo Produktu. Standardně je rozvoj Informačního systému realizován na základě samostatné Objednávky nebo Smlouvy o dílo, případně Licenční smlouvy, ve které jsou požadavky Uživatele specifikovány a k nimž je vytvořena samostatná cenová kalkulace. </w:t>
      </w:r>
    </w:p>
    <w:p w14:paraId="0000009D"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 xml:space="preserve">Poskytovatel neodpovídá za dostupnost Aplikace provozované na technologiích Uživatele nebo třetí strany, pokud se na nich vyskytne technická závada nebo je na nich provedena neohlášená změna ovlivňující provoz Aplikace. </w:t>
      </w:r>
    </w:p>
    <w:p w14:paraId="0000009E" w14:textId="77777777" w:rsidR="009C309C" w:rsidRDefault="007F735B">
      <w:pPr>
        <w:keepNext/>
        <w:numPr>
          <w:ilvl w:val="1"/>
          <w:numId w:val="2"/>
        </w:numPr>
        <w:pBdr>
          <w:top w:val="nil"/>
          <w:left w:val="nil"/>
          <w:bottom w:val="single" w:sz="4" w:space="1" w:color="CA005D"/>
          <w:right w:val="nil"/>
          <w:between w:val="nil"/>
        </w:pBdr>
        <w:spacing w:before="360" w:after="180"/>
        <w:jc w:val="center"/>
      </w:pPr>
      <w:r>
        <w:rPr>
          <w:b/>
          <w:smallCaps/>
          <w:color w:val="000000"/>
          <w:sz w:val="28"/>
          <w:szCs w:val="28"/>
        </w:rPr>
        <w:t>Terminologie</w:t>
      </w:r>
    </w:p>
    <w:p w14:paraId="0000009F"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Smlouva</w:t>
      </w:r>
      <w:r>
        <w:rPr>
          <w:color w:val="000000"/>
          <w:sz w:val="20"/>
          <w:szCs w:val="20"/>
        </w:rPr>
        <w:t xml:space="preserve"> = Servisní smlouva.</w:t>
      </w:r>
    </w:p>
    <w:p w14:paraId="000000A0"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Aplikace = Produkt </w:t>
      </w:r>
      <w:r>
        <w:rPr>
          <w:color w:val="000000"/>
          <w:sz w:val="20"/>
          <w:szCs w:val="20"/>
        </w:rPr>
        <w:t xml:space="preserve">je výsledkem práce vývojového týmu Poskytovatele, který je následně předán Uživateli k užívání. Jde tedy o informační systém jako celek nebo jeho libovolnou část dodávanou samostatně (modul, agenda) – dle kontextu. Uživateli je dostupná 24 hodin denně 7 dnů v týdnu. </w:t>
      </w:r>
    </w:p>
    <w:p w14:paraId="000000A1"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Instance </w:t>
      </w:r>
      <w:r>
        <w:rPr>
          <w:color w:val="000000"/>
          <w:sz w:val="20"/>
          <w:szCs w:val="20"/>
        </w:rPr>
        <w:t>je samostatná instalace Produktu se specifickou konfigurací a účelem, za kterým je provozována. Synonymem pro Instanci je výraz "Prostředí", který je užíván také v HelpDesk Poskytovatele. Pokud Smlouva Instance nijak nespecifikuje, je předmětem Smlouvy Produkt ve významu Produkční Instance. </w:t>
      </w:r>
    </w:p>
    <w:p w14:paraId="000000A2"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Produkční instance</w:t>
      </w:r>
      <w:r>
        <w:rPr>
          <w:color w:val="000000"/>
          <w:sz w:val="20"/>
          <w:szCs w:val="20"/>
        </w:rPr>
        <w:t> Produktu slouží k reálnému provozu a účelu, za kterým byl Produkt zakoupen. Synonymem pro Produkční Instanci je výraz "Ostrá".</w:t>
      </w:r>
    </w:p>
    <w:p w14:paraId="000000A3"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Demonstrační instance</w:t>
      </w:r>
      <w:r>
        <w:rPr>
          <w:color w:val="000000"/>
          <w:sz w:val="20"/>
          <w:szCs w:val="20"/>
        </w:rPr>
        <w:t> Produktu slouží k prezentaci a ke školení koncových uživatelů Uživatele na verzi Produktu shodné s verzí na instanci produkční. Synonymem pro Demonstrační instanci je výraz "Demo".</w:t>
      </w:r>
    </w:p>
    <w:p w14:paraId="000000A4"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Akceptační instance</w:t>
      </w:r>
      <w:r>
        <w:rPr>
          <w:color w:val="000000"/>
          <w:sz w:val="20"/>
          <w:szCs w:val="20"/>
        </w:rPr>
        <w:t xml:space="preserve"> Produktu slouží k testování a akceptaci nových verzí Produktu (Upgrade, Update, </w:t>
      </w:r>
      <w:proofErr w:type="spellStart"/>
      <w:r>
        <w:rPr>
          <w:color w:val="000000"/>
          <w:sz w:val="20"/>
          <w:szCs w:val="20"/>
        </w:rPr>
        <w:t>Hotfix</w:t>
      </w:r>
      <w:proofErr w:type="spellEnd"/>
      <w:r>
        <w:rPr>
          <w:color w:val="000000"/>
          <w:sz w:val="20"/>
          <w:szCs w:val="20"/>
        </w:rPr>
        <w:t>) v prostředí a s daty Uživatele. Synonymem pro Akceptační instanci je výraz "Test" - z pohledu Uživatele, neboť jeho pověření koncoví uživatelé na této Instanci testují.</w:t>
      </w:r>
    </w:p>
    <w:p w14:paraId="000000A5"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Testovací instance</w:t>
      </w:r>
      <w:r>
        <w:rPr>
          <w:color w:val="000000"/>
          <w:sz w:val="20"/>
          <w:szCs w:val="20"/>
        </w:rPr>
        <w:t> Produktu slouží k vývoji a testování nových verzí, není předmětem Smlouvy, zpravidla existuje pouze v prostředí Poskytovatele a může být Uživateli přístupná dle pravidel sjednaných mimo Smlouvu.</w:t>
      </w:r>
    </w:p>
    <w:p w14:paraId="000000A6"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Vývojová instance</w:t>
      </w:r>
      <w:r>
        <w:rPr>
          <w:color w:val="000000"/>
          <w:sz w:val="20"/>
          <w:szCs w:val="20"/>
        </w:rPr>
        <w:t> Produktu slouží k vývoji nových verzí, není předmětem Smlouvy, zpravidla existuje pouze v prostředí Poskytovatele a je Uživateli nepřístupná.</w:t>
      </w:r>
    </w:p>
    <w:p w14:paraId="000000A7" w14:textId="442919E6"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HelpDesk</w:t>
      </w:r>
      <w:r>
        <w:rPr>
          <w:color w:val="000000"/>
          <w:sz w:val="20"/>
          <w:szCs w:val="20"/>
        </w:rPr>
        <w:t xml:space="preserve"> je aplikace Poskytovatele, která slouží pro evidenci a řešení Incidentů (hlášení chyb, dotazy, požadavky, …) vzniklých v rámci používání Produktu, jehož podpora je předmětem plnění Smlouvy. HelpDesk je hlavním oficiálním komunikačním kanálem mezi Poskytovatelem a Uživatelem. Poskytovatel si vyhrazuje právo nereagovat na Incidenty, které nejsou evidovány v HelpDesku. HelpDesk poskytovatele je provozován prostřednictvím </w:t>
      </w:r>
      <w:proofErr w:type="gramStart"/>
      <w:r>
        <w:rPr>
          <w:color w:val="000000"/>
          <w:sz w:val="20"/>
          <w:szCs w:val="20"/>
        </w:rPr>
        <w:t>JIRA  na</w:t>
      </w:r>
      <w:proofErr w:type="gramEnd"/>
      <w:r>
        <w:rPr>
          <w:color w:val="000000"/>
          <w:sz w:val="20"/>
          <w:szCs w:val="20"/>
        </w:rPr>
        <w:t xml:space="preserve"> </w:t>
      </w:r>
      <w:proofErr w:type="spellStart"/>
      <w:r w:rsidR="00852AC5" w:rsidRPr="008E4539">
        <w:rPr>
          <w:sz w:val="20"/>
          <w:szCs w:val="20"/>
        </w:rPr>
        <w:t>xxxxxxxxxxxxxxx</w:t>
      </w:r>
      <w:proofErr w:type="spellEnd"/>
      <w:r w:rsidRPr="008E4539">
        <w:rPr>
          <w:sz w:val="20"/>
          <w:szCs w:val="20"/>
        </w:rPr>
        <w:t xml:space="preserve"> </w:t>
      </w:r>
      <w:r>
        <w:rPr>
          <w:color w:val="000000"/>
          <w:sz w:val="20"/>
          <w:szCs w:val="20"/>
        </w:rPr>
        <w:t xml:space="preserve">a je Uživateli dostupný 24hodin denně 7 dnů </w:t>
      </w:r>
      <w:r>
        <w:rPr>
          <w:color w:val="000000"/>
          <w:sz w:val="20"/>
          <w:szCs w:val="20"/>
        </w:rPr>
        <w:lastRenderedPageBreak/>
        <w:t>v týdnu mimo oznámené výpadky na webových stránkách Poskytovatele nebo výpadky, které nemůže Poskytovatel ovlivnit.</w:t>
      </w:r>
    </w:p>
    <w:p w14:paraId="000000A8" w14:textId="7ACBEA6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Databáze znalostí</w:t>
      </w:r>
      <w:r>
        <w:rPr>
          <w:color w:val="000000"/>
          <w:sz w:val="20"/>
          <w:szCs w:val="20"/>
        </w:rPr>
        <w:t xml:space="preserve"> je aplikace Poskytovatele založená na principu WIKI, ve které jsou dostupné informace a dokumenty týkající se Produktu a spolupráce Uživatele a Poskytovatele. Databáze znalostí je Uživateli dostupná na </w:t>
      </w:r>
      <w:proofErr w:type="spellStart"/>
      <w:r w:rsidR="00C63367" w:rsidRPr="008E4539">
        <w:rPr>
          <w:sz w:val="20"/>
          <w:szCs w:val="20"/>
        </w:rPr>
        <w:t>xxxxxxxxxxxxxxx</w:t>
      </w:r>
      <w:proofErr w:type="spellEnd"/>
      <w:r w:rsidR="00C63367" w:rsidRPr="008E4539">
        <w:rPr>
          <w:sz w:val="20"/>
          <w:szCs w:val="20"/>
        </w:rPr>
        <w:t xml:space="preserve"> </w:t>
      </w:r>
      <w:r>
        <w:rPr>
          <w:color w:val="000000"/>
          <w:sz w:val="20"/>
          <w:szCs w:val="20"/>
        </w:rPr>
        <w:t>24 hodin denně 7 dnů v týdnu mimo oznámené výpadky na webových stránkách Poskytovatele nebo výpadky, které nemůže Poskytovatel ovlivnit.</w:t>
      </w:r>
    </w:p>
    <w:p w14:paraId="000000A9"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Záruční podpora </w:t>
      </w:r>
      <w:r>
        <w:rPr>
          <w:color w:val="000000"/>
          <w:sz w:val="20"/>
          <w:szCs w:val="20"/>
        </w:rPr>
        <w:t>je definována v rámci Smlouvy o dílo nebo Licenční smlouvy. Jedná se o dobu a rozsah podpory Záruky na vady díla.</w:t>
      </w:r>
    </w:p>
    <w:p w14:paraId="000000AA"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Mimozáruční servisní podporou</w:t>
      </w:r>
      <w:r>
        <w:rPr>
          <w:color w:val="000000"/>
          <w:sz w:val="20"/>
          <w:szCs w:val="20"/>
        </w:rPr>
        <w:t xml:space="preserve"> se rozumí veškeré služby, které časově nebo rozsahem/kvalitou překračují podporu v Záruční době.</w:t>
      </w:r>
    </w:p>
    <w:p w14:paraId="000000AB"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Incident </w:t>
      </w:r>
      <w:r>
        <w:rPr>
          <w:color w:val="000000"/>
          <w:sz w:val="20"/>
          <w:szCs w:val="20"/>
        </w:rPr>
        <w:t>je záznam v HelpDesku různého typu (viz dále) týkající se dodaného Produktu či souvisejících služeb. Primárně jej pořizuje odpovědný pracovník Uživatele, ve výjimečných případech také pracovníci Poskytovatele.</w:t>
      </w:r>
    </w:p>
    <w:p w14:paraId="000000AC"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Klasifikace Incidentu </w:t>
      </w:r>
      <w:r>
        <w:rPr>
          <w:color w:val="000000"/>
          <w:sz w:val="20"/>
          <w:szCs w:val="20"/>
        </w:rPr>
        <w:t xml:space="preserve">je ohodnocení Incidentu pořizujícím Uživatelem Produktu pomocí </w:t>
      </w:r>
      <w:r>
        <w:rPr>
          <w:b/>
          <w:color w:val="000000"/>
          <w:sz w:val="20"/>
          <w:szCs w:val="20"/>
        </w:rPr>
        <w:t>typu</w:t>
      </w:r>
      <w:r>
        <w:rPr>
          <w:color w:val="000000"/>
          <w:sz w:val="20"/>
          <w:szCs w:val="20"/>
        </w:rPr>
        <w:t xml:space="preserve"> a </w:t>
      </w:r>
      <w:r>
        <w:rPr>
          <w:b/>
          <w:color w:val="000000"/>
          <w:sz w:val="20"/>
          <w:szCs w:val="20"/>
        </w:rPr>
        <w:t>priority</w:t>
      </w:r>
      <w:r>
        <w:rPr>
          <w:color w:val="000000"/>
          <w:sz w:val="20"/>
          <w:szCs w:val="20"/>
        </w:rPr>
        <w:t>, v odůvodněných případech i následná změna této klasifikace Poskytovatelem. Detailní přehled a popis obou klasifikací je uveden níže.</w:t>
      </w:r>
    </w:p>
    <w:p w14:paraId="000000AD"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8" w:name="_heading=h.17dp8vu" w:colFirst="0" w:colLast="0"/>
      <w:bookmarkEnd w:id="8"/>
      <w:r>
        <w:rPr>
          <w:b/>
          <w:color w:val="000000"/>
          <w:sz w:val="20"/>
          <w:szCs w:val="20"/>
        </w:rPr>
        <w:t xml:space="preserve">Hlášení Incidentu </w:t>
      </w:r>
      <w:r>
        <w:rPr>
          <w:color w:val="000000"/>
          <w:sz w:val="20"/>
          <w:szCs w:val="20"/>
        </w:rPr>
        <w:t xml:space="preserve">je činnost, kterou Uživatel informuje Poskytovatele o výskytu Incidentu prostřednictvím HelpDesku v JIRA. </w:t>
      </w:r>
    </w:p>
    <w:p w14:paraId="000000AE"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9" w:name="_heading=h.3rdcrjn" w:colFirst="0" w:colLast="0"/>
      <w:bookmarkEnd w:id="9"/>
      <w:r>
        <w:rPr>
          <w:b/>
          <w:color w:val="000000"/>
          <w:sz w:val="20"/>
          <w:szCs w:val="20"/>
        </w:rPr>
        <w:t xml:space="preserve">Dostupnost </w:t>
      </w:r>
      <w:r>
        <w:rPr>
          <w:color w:val="000000"/>
          <w:sz w:val="20"/>
          <w:szCs w:val="20"/>
        </w:rPr>
        <w:t xml:space="preserve">vymezuje časové období, během kterého jsou k dispozici zaměstnanci Poskytovatele prostřednictvím HelpDesku nebo telefonicky. Aplikace HelpDesk je dostupná vždy nepřetržitě, stejně tak i webová Aplikace; dostupnost se týká konkrétních osob, nikoliv technologií. V době garantované dostupností se tedy Uživatel může spolehnout na to, že bude moci svůj problém řešit </w:t>
      </w:r>
      <w:proofErr w:type="gramStart"/>
      <w:r>
        <w:rPr>
          <w:color w:val="000000"/>
          <w:sz w:val="20"/>
          <w:szCs w:val="20"/>
        </w:rPr>
        <w:t>s  pracovníkem</w:t>
      </w:r>
      <w:proofErr w:type="gramEnd"/>
      <w:r>
        <w:rPr>
          <w:color w:val="000000"/>
          <w:sz w:val="20"/>
          <w:szCs w:val="20"/>
        </w:rPr>
        <w:t xml:space="preserve"> odpovědným za servisní podporu. Dostupnost je dána počtem dní v týdnu a počtem hodin v každém dni. Zapisuje se jako Počet hodin v každém dni x Počet dnů v týdnu. </w:t>
      </w:r>
      <w:r>
        <w:rPr>
          <w:b/>
          <w:color w:val="000000"/>
          <w:sz w:val="20"/>
          <w:szCs w:val="20"/>
        </w:rPr>
        <w:t>Například</w:t>
      </w:r>
      <w:r>
        <w:rPr>
          <w:color w:val="000000"/>
          <w:sz w:val="20"/>
          <w:szCs w:val="20"/>
        </w:rPr>
        <w:t xml:space="preserve"> dostupnost 8x5 znamená, že pracovníci Poskytovatele jsou Uživateli k dispozici každý pracovní den od 8:00 do 16:00 hodin.</w:t>
      </w:r>
    </w:p>
    <w:p w14:paraId="000000AF" w14:textId="77777777" w:rsidR="009C309C" w:rsidRDefault="007F735B">
      <w:pPr>
        <w:numPr>
          <w:ilvl w:val="2"/>
          <w:numId w:val="2"/>
        </w:numPr>
        <w:pBdr>
          <w:top w:val="nil"/>
          <w:left w:val="nil"/>
          <w:bottom w:val="nil"/>
          <w:right w:val="nil"/>
          <w:between w:val="nil"/>
        </w:pBdr>
        <w:spacing w:before="120" w:after="120"/>
        <w:jc w:val="both"/>
        <w:rPr>
          <w:b/>
          <w:color w:val="000000"/>
          <w:sz w:val="20"/>
          <w:szCs w:val="20"/>
        </w:rPr>
      </w:pPr>
      <w:r>
        <w:rPr>
          <w:b/>
          <w:color w:val="000000"/>
          <w:sz w:val="20"/>
          <w:szCs w:val="20"/>
        </w:rPr>
        <w:t xml:space="preserve">Chyba </w:t>
      </w:r>
      <w:r>
        <w:rPr>
          <w:color w:val="000000"/>
          <w:sz w:val="20"/>
          <w:szCs w:val="20"/>
        </w:rPr>
        <w:t xml:space="preserve">je typ Incidentu znamenající závadu nebo poruchu Produktu (viz Klasifikace Incidentu níže). </w:t>
      </w:r>
    </w:p>
    <w:p w14:paraId="000000B0"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Odstranění Chyby </w:t>
      </w:r>
      <w:r>
        <w:rPr>
          <w:color w:val="000000"/>
          <w:sz w:val="20"/>
          <w:szCs w:val="20"/>
        </w:rPr>
        <w:t>je její kompletní odstranění nebo vytvoření alternativního řešení, kterým bude Chyba překlenuta a nedojde k funkčnímu omezení systému.</w:t>
      </w:r>
    </w:p>
    <w:p w14:paraId="000000B1"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10" w:name="_heading=h.26in1rg" w:colFirst="0" w:colLast="0"/>
      <w:bookmarkEnd w:id="10"/>
      <w:r>
        <w:rPr>
          <w:b/>
          <w:color w:val="000000"/>
          <w:sz w:val="20"/>
          <w:szCs w:val="20"/>
        </w:rPr>
        <w:t xml:space="preserve">Reakční doba (také RD) </w:t>
      </w:r>
      <w:r>
        <w:rPr>
          <w:color w:val="000000"/>
          <w:sz w:val="20"/>
          <w:szCs w:val="20"/>
        </w:rPr>
        <w:t>je lhůta, do které bude Uživatel informován o zahájení jednání Poskytovatele směřujícího k vyřešení Incidentu typu Chyba. Reakční doba je odvislá od priority (závažnosti) Chyby. Pro RD jsou uvažovány dvě skupiny Chyb – Chyby s vysokou prioritou (</w:t>
      </w:r>
      <w:proofErr w:type="spellStart"/>
      <w:r>
        <w:rPr>
          <w:color w:val="000000"/>
          <w:sz w:val="20"/>
          <w:szCs w:val="20"/>
        </w:rPr>
        <w:t>blocker</w:t>
      </w:r>
      <w:proofErr w:type="spellEnd"/>
      <w:r>
        <w:rPr>
          <w:color w:val="000000"/>
          <w:sz w:val="20"/>
          <w:szCs w:val="20"/>
        </w:rPr>
        <w:t xml:space="preserve"> a </w:t>
      </w:r>
      <w:proofErr w:type="spellStart"/>
      <w:r>
        <w:rPr>
          <w:color w:val="000000"/>
          <w:sz w:val="20"/>
          <w:szCs w:val="20"/>
        </w:rPr>
        <w:t>critical</w:t>
      </w:r>
      <w:proofErr w:type="spellEnd"/>
      <w:r>
        <w:rPr>
          <w:color w:val="000000"/>
          <w:sz w:val="20"/>
          <w:szCs w:val="20"/>
        </w:rPr>
        <w:t xml:space="preserve">) a Chyby s nízkou prioritou (major, minor a </w:t>
      </w:r>
      <w:proofErr w:type="spellStart"/>
      <w:r>
        <w:rPr>
          <w:color w:val="000000"/>
          <w:sz w:val="20"/>
          <w:szCs w:val="20"/>
        </w:rPr>
        <w:t>trivial</w:t>
      </w:r>
      <w:proofErr w:type="spellEnd"/>
      <w:r>
        <w:rPr>
          <w:color w:val="000000"/>
          <w:sz w:val="20"/>
          <w:szCs w:val="20"/>
        </w:rPr>
        <w:t xml:space="preserve">), přičemž kategorie Chyby s vysokou prioritou mají v zásadě kratší RD. Začátek reakční doby je stanoven přijetím Hlášení Incidentu, které se v případě použití HelpDesku rovná automaticky zaznamenanému datu a času vzniku Incidentu (tyto údaje jsou snadno dostupné i pro Uživatele). Reakční doba se vztahuje k Dostupnosti, která je definována výše. </w:t>
      </w:r>
      <w:r>
        <w:rPr>
          <w:b/>
          <w:color w:val="000000"/>
          <w:sz w:val="20"/>
          <w:szCs w:val="20"/>
        </w:rPr>
        <w:t>Příklad výpočtu RD</w:t>
      </w:r>
      <w:r>
        <w:rPr>
          <w:color w:val="000000"/>
          <w:sz w:val="20"/>
          <w:szCs w:val="20"/>
        </w:rPr>
        <w:t>: Nahlášení Incidentu ve 14:00, smluvní Dostupnost je 8x5 (8:00 – 16:00), smluvní RD 8 hodin pro Chyby s vysokou prioritou, Poskytovatel musí reagovat nejpozději do 14:00 druhého pracovního dne.</w:t>
      </w:r>
    </w:p>
    <w:p w14:paraId="000000B2"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11" w:name="_heading=h.lnxbz9" w:colFirst="0" w:colLast="0"/>
      <w:bookmarkEnd w:id="11"/>
      <w:r>
        <w:rPr>
          <w:b/>
          <w:color w:val="000000"/>
          <w:sz w:val="20"/>
          <w:szCs w:val="20"/>
        </w:rPr>
        <w:t xml:space="preserve">Doba odstranění Závady (také DOZ) </w:t>
      </w:r>
      <w:r>
        <w:rPr>
          <w:color w:val="000000"/>
          <w:sz w:val="20"/>
          <w:szCs w:val="20"/>
        </w:rPr>
        <w:t xml:space="preserve">je doba, za kterou má být daná Chyba či jiná závada odstraněna. DOZ je specifikovaná vždy zvlášť pro každou prioritu (závažnost) Chyby. Chyba je odstraněna v nejkratším možném termínu. DOZ však definují maximální dobu, za kterou je Poskytovatel povinen Chybu odstranit. Doba odstranění Chyby se počítá od okamžiku nahlášení Chyby Poskytovateli ve vztahu k Dostupnosti. </w:t>
      </w:r>
      <w:r>
        <w:rPr>
          <w:b/>
          <w:color w:val="000000"/>
          <w:sz w:val="20"/>
          <w:szCs w:val="20"/>
        </w:rPr>
        <w:t>Příklad výpočtu DOZ</w:t>
      </w:r>
      <w:r>
        <w:rPr>
          <w:color w:val="000000"/>
          <w:sz w:val="20"/>
          <w:szCs w:val="20"/>
        </w:rPr>
        <w:t>: Nahlášení Incidentu v 14:00, smluvní Dostupnost je 5x8 (8:00 – 16:00), smluvní DOZ 32 hodin, Poskytovatel musí odstranit Chybu nejpozději do 14:00 pátého pracovního dne.</w:t>
      </w:r>
    </w:p>
    <w:p w14:paraId="000000B3"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Poučení Uživatele </w:t>
      </w:r>
      <w:r>
        <w:rPr>
          <w:color w:val="000000"/>
          <w:sz w:val="20"/>
          <w:szCs w:val="20"/>
        </w:rPr>
        <w:t>je informování Uživatele o funkcionalitě Produktu, která je popsána v dokumentaci, nebo opakované poučení Uživatele k témuž problému.</w:t>
      </w:r>
    </w:p>
    <w:p w14:paraId="000000B4"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12" w:name="_heading=h.35nkun2" w:colFirst="0" w:colLast="0"/>
      <w:bookmarkEnd w:id="12"/>
      <w:r>
        <w:rPr>
          <w:b/>
          <w:color w:val="000000"/>
          <w:sz w:val="20"/>
          <w:szCs w:val="20"/>
        </w:rPr>
        <w:t xml:space="preserve">Konzultace </w:t>
      </w:r>
      <w:r>
        <w:rPr>
          <w:color w:val="000000"/>
          <w:sz w:val="20"/>
          <w:szCs w:val="20"/>
        </w:rPr>
        <w:t>je poskytování znalostí o možných způsobech použití či vnitřním fungování Produktu a o informační podpoře procesů Uživatele, a to i nad rámec běžné dokumentace Produktu.</w:t>
      </w:r>
    </w:p>
    <w:p w14:paraId="000000B5"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13" w:name="_heading=h.1ksv4uv" w:colFirst="0" w:colLast="0"/>
      <w:bookmarkEnd w:id="13"/>
      <w:r>
        <w:rPr>
          <w:b/>
          <w:color w:val="000000"/>
          <w:sz w:val="20"/>
          <w:szCs w:val="20"/>
        </w:rPr>
        <w:lastRenderedPageBreak/>
        <w:t xml:space="preserve">Správce </w:t>
      </w:r>
      <w:r>
        <w:rPr>
          <w:color w:val="000000"/>
          <w:sz w:val="20"/>
          <w:szCs w:val="20"/>
        </w:rPr>
        <w:t xml:space="preserve">je pracovník Uživatele pověřený rutinním udržováním Produktu v chodu, a který je oprávněný zastupovat Uživatele v jednáních o úpravách Produktu ovlivňujících jeho činnost. </w:t>
      </w:r>
    </w:p>
    <w:p w14:paraId="000000B6"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Dokumentace Produktu</w:t>
      </w:r>
      <w:r>
        <w:rPr>
          <w:color w:val="000000"/>
          <w:sz w:val="20"/>
          <w:szCs w:val="20"/>
        </w:rPr>
        <w:t xml:space="preserve"> je souhrn veškerých dokumentů, textů a materiálů popisujících vzhled, funkcionalitu, vlastnosti a chování Produktu. Jedná se zejména o analytický model (procesní model, uživatelské scénáře), uživatelskou příručku, kontextovou nápovědu přímo v Produktu, slovníček pojmů atd.</w:t>
      </w:r>
    </w:p>
    <w:p w14:paraId="000000B7"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Aktualizace systému </w:t>
      </w:r>
      <w:r>
        <w:rPr>
          <w:color w:val="000000"/>
          <w:sz w:val="20"/>
          <w:szCs w:val="20"/>
        </w:rPr>
        <w:t xml:space="preserve">udává frekvenci, s jakou bude Produkt aktualizován formou Update. Aktualizace nemusí být předmětem Smlouvy a může být vždy dohodnuta v závislosti na potřebách Uživatele.  Ve Smlouvě však mohou být Poskytovatelem garantované aktualizace v intervalech 1x ročně, až 4 x ročně. Aktualizací se rozumí Update </w:t>
      </w:r>
      <w:proofErr w:type="gramStart"/>
      <w:r>
        <w:rPr>
          <w:color w:val="000000"/>
          <w:sz w:val="20"/>
          <w:szCs w:val="20"/>
        </w:rPr>
        <w:t>systému</w:t>
      </w:r>
      <w:proofErr w:type="gramEnd"/>
      <w:r>
        <w:rPr>
          <w:color w:val="000000"/>
          <w:sz w:val="20"/>
          <w:szCs w:val="20"/>
        </w:rPr>
        <w:t xml:space="preserve"> tj. změna verze na prvé pozici za desetinnou tečkou.</w:t>
      </w:r>
    </w:p>
    <w:p w14:paraId="000000B8"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Upgrade </w:t>
      </w:r>
      <w:r>
        <w:rPr>
          <w:color w:val="000000"/>
          <w:sz w:val="20"/>
          <w:szCs w:val="20"/>
        </w:rPr>
        <w:t xml:space="preserve">je změna verze Produktu na první číselné </w:t>
      </w:r>
      <w:proofErr w:type="gramStart"/>
      <w:r>
        <w:rPr>
          <w:color w:val="000000"/>
          <w:sz w:val="20"/>
          <w:szCs w:val="20"/>
        </w:rPr>
        <w:t>pozici</w:t>
      </w:r>
      <w:proofErr w:type="gramEnd"/>
      <w:r>
        <w:rPr>
          <w:color w:val="000000"/>
          <w:sz w:val="20"/>
          <w:szCs w:val="20"/>
        </w:rPr>
        <w:t xml:space="preserve"> tj. Upgrade z verze 1.8 na verzi 2.0. Upgrade není předmětem Mimozáruční servisní podpory a není obsažen v ceně Smlouvy. Upgrade obsahuje rozsahem významné nové funkce, anebo je zčásti či zcela přepracován funkčně či vizuálně, případně dojde ke změně architektury nebo technologie. Poskytovatel se zavazuje podporovat starší verzi Produktu po dobu 36 měsíců od oznámení vydání Upgrade Produktu.</w:t>
      </w:r>
    </w:p>
    <w:p w14:paraId="000000B9"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Update </w:t>
      </w:r>
      <w:r>
        <w:rPr>
          <w:color w:val="000000"/>
          <w:sz w:val="20"/>
          <w:szCs w:val="20"/>
        </w:rPr>
        <w:t xml:space="preserve">je změna verze Produktu na prvním místě za desetinnou tečkou. </w:t>
      </w:r>
      <w:r>
        <w:rPr>
          <w:i/>
          <w:color w:val="000000"/>
          <w:sz w:val="20"/>
          <w:szCs w:val="20"/>
        </w:rPr>
        <w:t xml:space="preserve">Například: update verze 1.4 na verzi 1.5. </w:t>
      </w:r>
      <w:r>
        <w:rPr>
          <w:color w:val="000000"/>
          <w:sz w:val="20"/>
          <w:szCs w:val="20"/>
        </w:rPr>
        <w:t>Update probíhá jednou ročně a je zahrnut v ceně smlouvy.</w:t>
      </w:r>
      <w:r>
        <w:rPr>
          <w:i/>
          <w:color w:val="000000"/>
          <w:sz w:val="20"/>
          <w:szCs w:val="20"/>
        </w:rPr>
        <w:t xml:space="preserve"> </w:t>
      </w:r>
      <w:r>
        <w:rPr>
          <w:color w:val="000000"/>
          <w:sz w:val="20"/>
          <w:szCs w:val="20"/>
        </w:rPr>
        <w:t xml:space="preserve">Update zahrnuje kumulativní opravy chyb (verze </w:t>
      </w:r>
      <w:proofErr w:type="spellStart"/>
      <w:r>
        <w:rPr>
          <w:color w:val="000000"/>
          <w:sz w:val="20"/>
          <w:szCs w:val="20"/>
        </w:rPr>
        <w:t>Hotfix</w:t>
      </w:r>
      <w:proofErr w:type="spellEnd"/>
      <w:r>
        <w:rPr>
          <w:color w:val="000000"/>
          <w:sz w:val="20"/>
          <w:szCs w:val="20"/>
        </w:rPr>
        <w:t xml:space="preserve">), legislativní změny, a zapracované nové požadavky Uživatele nebo jiných uživatelů v případě společného rozvoje Produktu. </w:t>
      </w:r>
    </w:p>
    <w:p w14:paraId="000000BA"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14" w:name="_heading=h.44sinio" w:colFirst="0" w:colLast="0"/>
      <w:bookmarkEnd w:id="14"/>
      <w:proofErr w:type="spellStart"/>
      <w:r>
        <w:rPr>
          <w:b/>
          <w:color w:val="000000"/>
          <w:sz w:val="20"/>
          <w:szCs w:val="20"/>
        </w:rPr>
        <w:t>Hotfix</w:t>
      </w:r>
      <w:proofErr w:type="spellEnd"/>
      <w:r>
        <w:rPr>
          <w:b/>
          <w:color w:val="000000"/>
          <w:sz w:val="20"/>
          <w:szCs w:val="20"/>
        </w:rPr>
        <w:t xml:space="preserve"> </w:t>
      </w:r>
      <w:r>
        <w:rPr>
          <w:color w:val="000000"/>
          <w:sz w:val="20"/>
          <w:szCs w:val="20"/>
        </w:rPr>
        <w:t xml:space="preserve">je změna verze na třetí a nižší číselné pozici. </w:t>
      </w:r>
      <w:proofErr w:type="spellStart"/>
      <w:r>
        <w:rPr>
          <w:color w:val="000000"/>
          <w:sz w:val="20"/>
          <w:szCs w:val="20"/>
        </w:rPr>
        <w:t>Hotfix</w:t>
      </w:r>
      <w:proofErr w:type="spellEnd"/>
      <w:r>
        <w:rPr>
          <w:color w:val="000000"/>
          <w:sz w:val="20"/>
          <w:szCs w:val="20"/>
        </w:rPr>
        <w:t xml:space="preserve"> je vydáván vždy po opravě Chyb a je vždy zahrnut v ceně Smlouvy (není tedy dán zvláštní ceníkovou položkou). Například </w:t>
      </w:r>
      <w:proofErr w:type="spellStart"/>
      <w:r>
        <w:rPr>
          <w:color w:val="000000"/>
          <w:sz w:val="20"/>
          <w:szCs w:val="20"/>
        </w:rPr>
        <w:t>hotfix</w:t>
      </w:r>
      <w:proofErr w:type="spellEnd"/>
      <w:r>
        <w:rPr>
          <w:color w:val="000000"/>
          <w:sz w:val="20"/>
          <w:szCs w:val="20"/>
        </w:rPr>
        <w:t xml:space="preserve"> verze 1.5.3 na verzi 1.5.4 znamená, že ve verzi 1.5.4 jsou zapracovány opravy Chyb, které se projevily ve verzi </w:t>
      </w:r>
      <w:proofErr w:type="gramStart"/>
      <w:r>
        <w:rPr>
          <w:color w:val="000000"/>
          <w:sz w:val="20"/>
          <w:szCs w:val="20"/>
        </w:rPr>
        <w:t>1.5.3.  Do</w:t>
      </w:r>
      <w:proofErr w:type="gramEnd"/>
      <w:r>
        <w:rPr>
          <w:color w:val="000000"/>
          <w:sz w:val="20"/>
          <w:szCs w:val="20"/>
        </w:rPr>
        <w:t xml:space="preserve"> </w:t>
      </w:r>
      <w:proofErr w:type="spellStart"/>
      <w:r>
        <w:rPr>
          <w:color w:val="000000"/>
          <w:sz w:val="20"/>
          <w:szCs w:val="20"/>
        </w:rPr>
        <w:t>Hotfix</w:t>
      </w:r>
      <w:proofErr w:type="spellEnd"/>
      <w:r>
        <w:rPr>
          <w:color w:val="000000"/>
          <w:sz w:val="20"/>
          <w:szCs w:val="20"/>
        </w:rPr>
        <w:t xml:space="preserve"> se zapracovávají obvykle Chyby s prioritou </w:t>
      </w:r>
      <w:proofErr w:type="spellStart"/>
      <w:r>
        <w:rPr>
          <w:color w:val="000000"/>
          <w:sz w:val="20"/>
          <w:szCs w:val="20"/>
        </w:rPr>
        <w:t>Blocker</w:t>
      </w:r>
      <w:proofErr w:type="spellEnd"/>
      <w:r>
        <w:rPr>
          <w:color w:val="000000"/>
          <w:sz w:val="20"/>
          <w:szCs w:val="20"/>
        </w:rPr>
        <w:t xml:space="preserve">, </w:t>
      </w:r>
      <w:proofErr w:type="spellStart"/>
      <w:r>
        <w:rPr>
          <w:color w:val="000000"/>
          <w:sz w:val="20"/>
          <w:szCs w:val="20"/>
        </w:rPr>
        <w:t>Critical</w:t>
      </w:r>
      <w:proofErr w:type="spellEnd"/>
      <w:r>
        <w:rPr>
          <w:color w:val="000000"/>
          <w:sz w:val="20"/>
          <w:szCs w:val="20"/>
        </w:rPr>
        <w:t xml:space="preserve"> a Major, pokud není jejich oprava objednána v další verzi. Potom jsou tyto opravy Chyb dodávány s další verzí podle objednané frekvence verzování. </w:t>
      </w:r>
    </w:p>
    <w:p w14:paraId="000000BB"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Paušální (předplacená) hodina </w:t>
      </w:r>
      <w:r>
        <w:rPr>
          <w:color w:val="000000"/>
          <w:sz w:val="20"/>
          <w:szCs w:val="20"/>
        </w:rPr>
        <w:t xml:space="preserve">je označení hodiny, která je předplacena v rámci servisní podpory. Je levnější, ale nevyčerpané hodiny nejsou převoditelné. Při automatickém prodloužení smlouvy vzniká nárok na čerpání paušálních hodin v původně sjednaném rozsahu.  </w:t>
      </w:r>
    </w:p>
    <w:p w14:paraId="000000BC"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Hodina nad rámec paušálu </w:t>
      </w:r>
      <w:r>
        <w:rPr>
          <w:color w:val="000000"/>
          <w:sz w:val="20"/>
          <w:szCs w:val="20"/>
        </w:rPr>
        <w:t xml:space="preserve">je každá hodina spotřebovaná Uživatelem na poskytování konzultační podpory nebo vylepšení Aplikace nad rámec předplacených Paušálních hodin. Ve Smlouvě se definuje cena této hodiny. </w:t>
      </w:r>
    </w:p>
    <w:p w14:paraId="000000BD"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Provoz Aplikace na technologiích Poskytovatele </w:t>
      </w:r>
      <w:r>
        <w:rPr>
          <w:color w:val="000000"/>
          <w:sz w:val="20"/>
          <w:szCs w:val="20"/>
        </w:rPr>
        <w:t xml:space="preserve">je služba, kterou si může v rámci Mimozáruční servisní podpory Uživatel objednat. Jedná se o provozování Aplikace na serverech Poskytovatele. Server má svoji technologickou konfiguraci danou garantovaným výpočetním výkonem (počet procesorů), garantovanou pamětí (RAM) a garantovanou velikostí datového úložiště (velikost Hard-disku). </w:t>
      </w:r>
    </w:p>
    <w:p w14:paraId="000000BE"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Technologie poskytovatele </w:t>
      </w:r>
      <w:r>
        <w:rPr>
          <w:color w:val="000000"/>
          <w:sz w:val="20"/>
          <w:szCs w:val="20"/>
        </w:rPr>
        <w:t xml:space="preserve">jsou servery a síťové prvky Poskytovatele zajišťující chod, dohled a zálohování Aplikace. </w:t>
      </w:r>
    </w:p>
    <w:p w14:paraId="000000BF"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Garantovaný výpočetní výkon </w:t>
      </w:r>
      <w:proofErr w:type="gramStart"/>
      <w:r>
        <w:rPr>
          <w:color w:val="000000"/>
          <w:sz w:val="20"/>
          <w:szCs w:val="20"/>
        </w:rPr>
        <w:t>udává</w:t>
      </w:r>
      <w:proofErr w:type="gramEnd"/>
      <w:r>
        <w:rPr>
          <w:color w:val="000000"/>
          <w:sz w:val="20"/>
          <w:szCs w:val="20"/>
        </w:rPr>
        <w:t xml:space="preserve"> kolik procesorů je pro danou Aplikaci vyhrazeno. Čím více procesorů tím je vyšší výpočetní výkon. </w:t>
      </w:r>
    </w:p>
    <w:p w14:paraId="000000C0"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Vyhrazená RAM </w:t>
      </w:r>
      <w:r>
        <w:rPr>
          <w:color w:val="000000"/>
          <w:sz w:val="20"/>
          <w:szCs w:val="20"/>
        </w:rPr>
        <w:t xml:space="preserve">definuje velikost paměti RAM vyhrazeného pro běh Aplikace.  </w:t>
      </w:r>
    </w:p>
    <w:p w14:paraId="000000C1"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 xml:space="preserve">Vyhrazená kapacita úložiště </w:t>
      </w:r>
      <w:r>
        <w:rPr>
          <w:color w:val="000000"/>
          <w:sz w:val="20"/>
          <w:szCs w:val="20"/>
        </w:rPr>
        <w:t>udává velikost diskového prostoru určeného pro Aplikaci a/nebo databázi Aplikace.</w:t>
      </w:r>
    </w:p>
    <w:p w14:paraId="000000C2" w14:textId="77777777" w:rsidR="009C309C" w:rsidRDefault="007F735B">
      <w:pPr>
        <w:numPr>
          <w:ilvl w:val="2"/>
          <w:numId w:val="2"/>
        </w:numPr>
        <w:pBdr>
          <w:top w:val="nil"/>
          <w:left w:val="nil"/>
          <w:bottom w:val="nil"/>
          <w:right w:val="nil"/>
          <w:between w:val="nil"/>
        </w:pBdr>
        <w:spacing w:before="120" w:after="120"/>
        <w:jc w:val="both"/>
        <w:rPr>
          <w:b/>
          <w:color w:val="000000"/>
          <w:sz w:val="20"/>
          <w:szCs w:val="20"/>
        </w:rPr>
      </w:pPr>
      <w:r>
        <w:rPr>
          <w:b/>
          <w:color w:val="000000"/>
          <w:sz w:val="20"/>
          <w:szCs w:val="20"/>
        </w:rPr>
        <w:t xml:space="preserve">Správa serveru je </w:t>
      </w:r>
      <w:r>
        <w:rPr>
          <w:color w:val="000000"/>
          <w:sz w:val="20"/>
          <w:szCs w:val="20"/>
        </w:rPr>
        <w:t>služba, kterou poskytuje Poskytovatel Uživateli za ceníkovou cenu v rozsahu Základního dohledu (aktualizace OS a DB), pokud je sjednáno v rámci Smlouvy. Poskytovatel nezodpovídá za provoz hardwarových prostředků, na kterých je instalovaná Aplikace, pokud není umístěno na technologiích Poskytovatele. Jestliže je umožněn přístup na server třetím osobám a/nebo zaměstnancům Uživatele, nenese Poskytovatel odpovědnost za škody/újmy jimi způsobené.</w:t>
      </w:r>
    </w:p>
    <w:p w14:paraId="000000C3"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b/>
          <w:color w:val="000000"/>
          <w:sz w:val="20"/>
          <w:szCs w:val="20"/>
        </w:rPr>
        <w:t>Základní dohled</w:t>
      </w:r>
      <w:r>
        <w:rPr>
          <w:color w:val="000000"/>
          <w:sz w:val="20"/>
          <w:szCs w:val="20"/>
        </w:rPr>
        <w:t xml:space="preserve"> je prováděn Poskytovatelem v rámci Správy serveru a představuje kontrolu dostupných prostředků serveru a kontrolu dostupnosti serveru. Uživatel je povinen poskytnout Poskytovateli </w:t>
      </w:r>
      <w:r>
        <w:rPr>
          <w:color w:val="000000"/>
          <w:sz w:val="20"/>
          <w:szCs w:val="20"/>
        </w:rPr>
        <w:lastRenderedPageBreak/>
        <w:t xml:space="preserve">potřebnou součinnost pro plnění povinností vyplývajících z definice Základního </w:t>
      </w:r>
      <w:proofErr w:type="gramStart"/>
      <w:r>
        <w:rPr>
          <w:color w:val="000000"/>
          <w:sz w:val="20"/>
          <w:szCs w:val="20"/>
        </w:rPr>
        <w:t>dohledu</w:t>
      </w:r>
      <w:proofErr w:type="gramEnd"/>
      <w:r>
        <w:rPr>
          <w:color w:val="000000"/>
          <w:sz w:val="20"/>
          <w:szCs w:val="20"/>
        </w:rPr>
        <w:t xml:space="preserve"> resp. Správy serveru.</w:t>
      </w:r>
    </w:p>
    <w:p w14:paraId="000000C4"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15" w:name="_heading=h.2jxsxqh" w:colFirst="0" w:colLast="0"/>
      <w:bookmarkEnd w:id="15"/>
      <w:r>
        <w:rPr>
          <w:b/>
          <w:color w:val="000000"/>
          <w:sz w:val="20"/>
          <w:szCs w:val="20"/>
        </w:rPr>
        <w:t>Zálohování</w:t>
      </w:r>
      <w:r>
        <w:rPr>
          <w:color w:val="000000"/>
          <w:sz w:val="20"/>
          <w:szCs w:val="20"/>
        </w:rPr>
        <w:t xml:space="preserve"> je provádění záložních kopií Aplikace a dat.  Frekvence provádění zálohování je závislá na podmínkách stanovených Smlouvou a touto přílohou.  Zálohování je vždy nastaveno tak, aby probíhalo v časech, kdy je Aplikace minimálně zatížena. </w:t>
      </w:r>
    </w:p>
    <w:p w14:paraId="000000C5" w14:textId="77777777" w:rsidR="009C309C" w:rsidRDefault="007F735B">
      <w:pPr>
        <w:numPr>
          <w:ilvl w:val="2"/>
          <w:numId w:val="2"/>
        </w:numPr>
        <w:pBdr>
          <w:top w:val="nil"/>
          <w:left w:val="nil"/>
          <w:bottom w:val="nil"/>
          <w:right w:val="nil"/>
          <w:between w:val="nil"/>
        </w:pBdr>
        <w:spacing w:before="120" w:after="120"/>
        <w:jc w:val="both"/>
        <w:rPr>
          <w:b/>
          <w:color w:val="000000"/>
          <w:sz w:val="20"/>
          <w:szCs w:val="20"/>
        </w:rPr>
      </w:pPr>
      <w:r>
        <w:rPr>
          <w:b/>
          <w:color w:val="000000"/>
          <w:sz w:val="20"/>
          <w:szCs w:val="20"/>
        </w:rPr>
        <w:t xml:space="preserve">Smluvní pokuta za prodlení. </w:t>
      </w:r>
      <w:r>
        <w:rPr>
          <w:color w:val="000000"/>
          <w:sz w:val="20"/>
          <w:szCs w:val="20"/>
        </w:rPr>
        <w:t xml:space="preserve"> Standardně je v rámci vyvážených smluvních podmínek stanovena pro Poskytovatele </w:t>
      </w:r>
      <w:r>
        <w:rPr>
          <w:b/>
          <w:color w:val="000000"/>
          <w:sz w:val="20"/>
          <w:szCs w:val="20"/>
        </w:rPr>
        <w:t>smluvní pokuta za den prodlení</w:t>
      </w:r>
      <w:r>
        <w:rPr>
          <w:color w:val="000000"/>
          <w:sz w:val="20"/>
          <w:szCs w:val="20"/>
        </w:rPr>
        <w:t xml:space="preserve"> v plnění podmínek servisní smlouvy ve výši 0,05 % z ceny servisní smlouvy. Recipročně je zpravidla stanovena stejná smluvní pokuta Uživateli při prodlení v dohodnutých platbách.  Uživatel však může zvolit vyšší penalizaci. Specificky je vhodné tuto možnost využít u aplikací životně důležitých, kde je jejich provoz pro Uživatele klíčový a výpadky aplikace mají velké důsledky. V případě, že bude Uživatel požadovat penalizaci vyšší než </w:t>
      </w:r>
      <w:proofErr w:type="gramStart"/>
      <w:r>
        <w:rPr>
          <w:color w:val="000000"/>
          <w:sz w:val="20"/>
          <w:szCs w:val="20"/>
        </w:rPr>
        <w:t>0,05%</w:t>
      </w:r>
      <w:proofErr w:type="gramEnd"/>
      <w:r>
        <w:rPr>
          <w:color w:val="000000"/>
          <w:sz w:val="20"/>
          <w:szCs w:val="20"/>
        </w:rPr>
        <w:t xml:space="preserve"> z ceny servisní smlouvy, je toto navýšení penalizace zpoplatněno a navyšuje cenu servisní smlouvy.</w:t>
      </w:r>
    </w:p>
    <w:p w14:paraId="000000C6" w14:textId="77777777" w:rsidR="009C309C" w:rsidRDefault="007F735B">
      <w:pPr>
        <w:keepNext/>
        <w:numPr>
          <w:ilvl w:val="1"/>
          <w:numId w:val="2"/>
        </w:numPr>
        <w:pBdr>
          <w:top w:val="nil"/>
          <w:left w:val="nil"/>
          <w:bottom w:val="single" w:sz="4" w:space="1" w:color="CA005D"/>
          <w:right w:val="nil"/>
          <w:between w:val="nil"/>
        </w:pBdr>
        <w:spacing w:before="360" w:after="180"/>
        <w:jc w:val="center"/>
      </w:pPr>
      <w:bookmarkStart w:id="16" w:name="_heading=h.z337ya" w:colFirst="0" w:colLast="0"/>
      <w:bookmarkEnd w:id="16"/>
      <w:r>
        <w:rPr>
          <w:b/>
          <w:smallCaps/>
          <w:color w:val="000000"/>
          <w:sz w:val="28"/>
          <w:szCs w:val="28"/>
        </w:rPr>
        <w:t>Klasifikace incidentu</w:t>
      </w:r>
    </w:p>
    <w:p w14:paraId="000000C7" w14:textId="77777777" w:rsidR="009C309C" w:rsidRDefault="007F735B">
      <w:pPr>
        <w:pBdr>
          <w:top w:val="nil"/>
          <w:left w:val="nil"/>
          <w:bottom w:val="nil"/>
          <w:right w:val="nil"/>
          <w:between w:val="nil"/>
        </w:pBdr>
        <w:spacing w:before="120" w:after="120"/>
        <w:jc w:val="both"/>
        <w:rPr>
          <w:color w:val="000000"/>
          <w:sz w:val="20"/>
          <w:szCs w:val="20"/>
        </w:rPr>
      </w:pPr>
      <w:r>
        <w:rPr>
          <w:color w:val="000000"/>
          <w:sz w:val="20"/>
          <w:szCs w:val="20"/>
        </w:rPr>
        <w:t>Základní Klasifikace Incidentu je provedena ihned při jeho vzniku, a to odpovědným pracovníkem Uživatele, který Incident hlásí prostřednictvím HelpDesku JIRA. Klasifikace může být následně oponována a změněna zástupcem Poskytovatele. O této změně musí být Uživatel informován, a to minimálně formou komentáře přímo u záznamu Incidentu v HelpDesku s patřičnou notifikací (automatickým e-mailem z HelpDesku).</w:t>
      </w:r>
    </w:p>
    <w:p w14:paraId="000000C8" w14:textId="77777777" w:rsidR="009C309C" w:rsidRDefault="007F735B">
      <w:pPr>
        <w:pBdr>
          <w:top w:val="nil"/>
          <w:left w:val="nil"/>
          <w:bottom w:val="nil"/>
          <w:right w:val="nil"/>
          <w:between w:val="nil"/>
        </w:pBdr>
        <w:spacing w:before="120" w:after="120"/>
        <w:jc w:val="both"/>
        <w:rPr>
          <w:color w:val="000000"/>
          <w:sz w:val="20"/>
          <w:szCs w:val="20"/>
        </w:rPr>
      </w:pPr>
      <w:r>
        <w:rPr>
          <w:color w:val="000000"/>
          <w:sz w:val="20"/>
          <w:szCs w:val="20"/>
        </w:rPr>
        <w:t xml:space="preserve">Uživatel provede primární klasifikaci </w:t>
      </w:r>
      <w:r>
        <w:rPr>
          <w:b/>
          <w:color w:val="000000"/>
          <w:sz w:val="20"/>
          <w:szCs w:val="20"/>
        </w:rPr>
        <w:t xml:space="preserve">typem </w:t>
      </w:r>
      <w:r>
        <w:rPr>
          <w:color w:val="000000"/>
          <w:sz w:val="20"/>
          <w:szCs w:val="20"/>
        </w:rPr>
        <w:t xml:space="preserve">Incidentu a jeho </w:t>
      </w:r>
      <w:r>
        <w:rPr>
          <w:b/>
          <w:color w:val="000000"/>
          <w:sz w:val="20"/>
          <w:szCs w:val="20"/>
        </w:rPr>
        <w:t>prioritou</w:t>
      </w:r>
      <w:r>
        <w:rPr>
          <w:color w:val="000000"/>
          <w:sz w:val="20"/>
          <w:szCs w:val="20"/>
        </w:rPr>
        <w:t xml:space="preserve"> (viz dále).</w:t>
      </w:r>
    </w:p>
    <w:p w14:paraId="000000C9" w14:textId="77777777" w:rsidR="009C309C" w:rsidRDefault="007F735B">
      <w:pPr>
        <w:numPr>
          <w:ilvl w:val="0"/>
          <w:numId w:val="1"/>
        </w:numPr>
        <w:pBdr>
          <w:top w:val="nil"/>
          <w:left w:val="nil"/>
          <w:bottom w:val="nil"/>
          <w:right w:val="nil"/>
          <w:between w:val="nil"/>
        </w:pBdr>
        <w:spacing w:before="60"/>
        <w:jc w:val="both"/>
        <w:rPr>
          <w:color w:val="000000"/>
          <w:sz w:val="20"/>
          <w:szCs w:val="20"/>
        </w:rPr>
      </w:pPr>
      <w:bookmarkStart w:id="17" w:name="_heading=h.3j2qqm3" w:colFirst="0" w:colLast="0"/>
      <w:bookmarkEnd w:id="17"/>
      <w:r>
        <w:rPr>
          <w:color w:val="000000"/>
          <w:sz w:val="20"/>
          <w:szCs w:val="20"/>
        </w:rPr>
        <w:t>Změnu typu Incidentu je Poskytovatel povinen zdůvodnit.</w:t>
      </w:r>
    </w:p>
    <w:p w14:paraId="000000CA" w14:textId="77777777" w:rsidR="009C309C" w:rsidRDefault="007F735B">
      <w:pPr>
        <w:numPr>
          <w:ilvl w:val="0"/>
          <w:numId w:val="1"/>
        </w:numPr>
        <w:pBdr>
          <w:top w:val="nil"/>
          <w:left w:val="nil"/>
          <w:bottom w:val="nil"/>
          <w:right w:val="nil"/>
          <w:between w:val="nil"/>
        </w:pBdr>
        <w:jc w:val="both"/>
        <w:rPr>
          <w:color w:val="000000"/>
          <w:sz w:val="20"/>
          <w:szCs w:val="20"/>
        </w:rPr>
      </w:pPr>
      <w:r>
        <w:rPr>
          <w:color w:val="000000"/>
          <w:sz w:val="20"/>
          <w:szCs w:val="20"/>
        </w:rPr>
        <w:t xml:space="preserve">Pro přeřazení Incidentu z kategorie Chyby s vysokou prioritou do kategorie Chyby s nízkou prioritou Poskytovatel popíše postup práce, kterým lze Produkt použít tak, aby bylo možno překlenout hlášenou Chybu. </w:t>
      </w:r>
    </w:p>
    <w:p w14:paraId="000000CB" w14:textId="77777777" w:rsidR="009C309C" w:rsidRDefault="007F735B">
      <w:pPr>
        <w:numPr>
          <w:ilvl w:val="0"/>
          <w:numId w:val="1"/>
        </w:numPr>
        <w:pBdr>
          <w:top w:val="nil"/>
          <w:left w:val="nil"/>
          <w:bottom w:val="nil"/>
          <w:right w:val="nil"/>
          <w:between w:val="nil"/>
        </w:pBdr>
        <w:spacing w:after="120"/>
        <w:jc w:val="both"/>
        <w:rPr>
          <w:color w:val="000000"/>
          <w:sz w:val="20"/>
          <w:szCs w:val="20"/>
        </w:rPr>
      </w:pPr>
      <w:r>
        <w:rPr>
          <w:color w:val="000000"/>
          <w:sz w:val="20"/>
          <w:szCs w:val="20"/>
        </w:rPr>
        <w:t>Uživatel má právo změnu Klasifikace Incidentu zpochybnit a objednat nezávislou expertízu složitosti Chyby a tuto zaslat Poskytovateli k vyjádření. Expertíza musí být provedena písemně a její součástí musí být zdůvodnění jiné náročnosti na opravu Chyby a doporučený postup při řešení opravy.</w:t>
      </w:r>
    </w:p>
    <w:p w14:paraId="000000CC" w14:textId="77777777" w:rsidR="009C309C" w:rsidRDefault="007F735B">
      <w:pPr>
        <w:numPr>
          <w:ilvl w:val="2"/>
          <w:numId w:val="2"/>
        </w:numPr>
        <w:pBdr>
          <w:top w:val="nil"/>
          <w:left w:val="nil"/>
          <w:bottom w:val="nil"/>
          <w:right w:val="nil"/>
          <w:between w:val="nil"/>
        </w:pBdr>
        <w:spacing w:before="120" w:after="120"/>
        <w:jc w:val="both"/>
        <w:rPr>
          <w:b/>
          <w:color w:val="000000"/>
          <w:sz w:val="20"/>
          <w:szCs w:val="20"/>
        </w:rPr>
      </w:pPr>
      <w:r>
        <w:rPr>
          <w:b/>
          <w:color w:val="000000"/>
          <w:sz w:val="20"/>
          <w:szCs w:val="20"/>
        </w:rPr>
        <w:t>Typy Incidentů</w:t>
      </w:r>
    </w:p>
    <w:p w14:paraId="000000CD" w14:textId="77777777" w:rsidR="009C309C" w:rsidRDefault="007F735B">
      <w:pPr>
        <w:pBdr>
          <w:top w:val="nil"/>
          <w:left w:val="nil"/>
          <w:bottom w:val="nil"/>
          <w:right w:val="nil"/>
          <w:between w:val="nil"/>
        </w:pBdr>
        <w:spacing w:before="120" w:after="120"/>
        <w:jc w:val="both"/>
        <w:rPr>
          <w:color w:val="000000"/>
          <w:sz w:val="20"/>
          <w:szCs w:val="20"/>
        </w:rPr>
      </w:pPr>
      <w:r>
        <w:rPr>
          <w:color w:val="000000"/>
          <w:sz w:val="20"/>
          <w:szCs w:val="20"/>
        </w:rPr>
        <w:t>Typ Incidentu je základní Klasifikací Incidentu. Jedná se o hlášení Chyb, požadavky na vylepšení či přidání nové funkcionality a často kladené dotazy (FAQ). V ceně Smlouvy je zahrnuto pouze řešení Incidentu typu Chyba.</w:t>
      </w:r>
    </w:p>
    <w:tbl>
      <w:tblPr>
        <w:tblStyle w:val="a9"/>
        <w:tblW w:w="9180" w:type="dxa"/>
        <w:tblInd w:w="-6" w:type="dxa"/>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Layout w:type="fixed"/>
        <w:tblLook w:val="0400" w:firstRow="0" w:lastRow="0" w:firstColumn="0" w:lastColumn="0" w:noHBand="0" w:noVBand="1"/>
      </w:tblPr>
      <w:tblGrid>
        <w:gridCol w:w="1418"/>
        <w:gridCol w:w="7762"/>
      </w:tblGrid>
      <w:tr w:rsidR="009C309C" w14:paraId="1755F5ED" w14:textId="77777777">
        <w:tc>
          <w:tcPr>
            <w:tcW w:w="1418" w:type="dxa"/>
            <w:shd w:val="clear" w:color="auto" w:fill="D9D9D9"/>
            <w:vAlign w:val="center"/>
          </w:tcPr>
          <w:p w14:paraId="000000CE" w14:textId="77777777" w:rsidR="009C309C" w:rsidRDefault="007F735B">
            <w:pPr>
              <w:pBdr>
                <w:top w:val="nil"/>
                <w:left w:val="nil"/>
                <w:bottom w:val="nil"/>
                <w:right w:val="nil"/>
                <w:between w:val="nil"/>
              </w:pBdr>
              <w:jc w:val="center"/>
              <w:rPr>
                <w:b/>
                <w:color w:val="740034"/>
                <w:sz w:val="20"/>
                <w:szCs w:val="20"/>
              </w:rPr>
            </w:pPr>
            <w:r>
              <w:rPr>
                <w:b/>
                <w:color w:val="740034"/>
                <w:sz w:val="20"/>
                <w:szCs w:val="20"/>
              </w:rPr>
              <w:t>Typ Incidentu</w:t>
            </w:r>
          </w:p>
        </w:tc>
        <w:tc>
          <w:tcPr>
            <w:tcW w:w="7762" w:type="dxa"/>
            <w:shd w:val="clear" w:color="auto" w:fill="D9D9D9"/>
            <w:vAlign w:val="center"/>
          </w:tcPr>
          <w:p w14:paraId="000000CF" w14:textId="77777777" w:rsidR="009C309C" w:rsidRDefault="007F735B">
            <w:pPr>
              <w:pBdr>
                <w:top w:val="nil"/>
                <w:left w:val="nil"/>
                <w:bottom w:val="nil"/>
                <w:right w:val="nil"/>
                <w:between w:val="nil"/>
              </w:pBdr>
              <w:jc w:val="center"/>
              <w:rPr>
                <w:b/>
                <w:color w:val="740034"/>
                <w:sz w:val="20"/>
                <w:szCs w:val="20"/>
              </w:rPr>
            </w:pPr>
            <w:r>
              <w:rPr>
                <w:b/>
                <w:color w:val="740034"/>
                <w:sz w:val="20"/>
                <w:szCs w:val="20"/>
              </w:rPr>
              <w:t>Popis</w:t>
            </w:r>
          </w:p>
        </w:tc>
      </w:tr>
      <w:tr w:rsidR="009C309C" w14:paraId="57C853C5" w14:textId="77777777">
        <w:tc>
          <w:tcPr>
            <w:tcW w:w="1418" w:type="dxa"/>
            <w:shd w:val="clear" w:color="auto" w:fill="D9D9D9"/>
            <w:vAlign w:val="center"/>
          </w:tcPr>
          <w:p w14:paraId="000000D0" w14:textId="77777777" w:rsidR="009C309C" w:rsidRDefault="007F735B">
            <w:pPr>
              <w:pBdr>
                <w:top w:val="nil"/>
                <w:left w:val="nil"/>
                <w:bottom w:val="nil"/>
                <w:right w:val="nil"/>
                <w:between w:val="nil"/>
              </w:pBdr>
              <w:jc w:val="center"/>
              <w:rPr>
                <w:b/>
                <w:color w:val="740034"/>
                <w:sz w:val="20"/>
                <w:szCs w:val="20"/>
              </w:rPr>
            </w:pPr>
            <w:r>
              <w:rPr>
                <w:b/>
                <w:color w:val="740034"/>
                <w:sz w:val="20"/>
                <w:szCs w:val="20"/>
              </w:rPr>
              <w:t>Chyba</w:t>
            </w:r>
          </w:p>
        </w:tc>
        <w:tc>
          <w:tcPr>
            <w:tcW w:w="7762" w:type="dxa"/>
            <w:vAlign w:val="center"/>
          </w:tcPr>
          <w:p w14:paraId="000000D1" w14:textId="77777777" w:rsidR="009C309C" w:rsidRDefault="007F735B">
            <w:pPr>
              <w:pBdr>
                <w:top w:val="nil"/>
                <w:left w:val="nil"/>
                <w:bottom w:val="nil"/>
                <w:right w:val="nil"/>
                <w:between w:val="nil"/>
              </w:pBdr>
              <w:rPr>
                <w:color w:val="000000"/>
                <w:sz w:val="20"/>
                <w:szCs w:val="20"/>
              </w:rPr>
            </w:pPr>
            <w:r>
              <w:rPr>
                <w:color w:val="000000"/>
                <w:sz w:val="20"/>
                <w:szCs w:val="20"/>
              </w:rPr>
              <w:t xml:space="preserve">Nesprávné provádění nebo ztráta již existující funkcionality Produktu. Za správné se považuje pouze takové chování, které je v souladu s popisem uvedeným v Dokumentaci </w:t>
            </w:r>
            <w:proofErr w:type="gramStart"/>
            <w:r>
              <w:rPr>
                <w:color w:val="000000"/>
                <w:sz w:val="20"/>
                <w:szCs w:val="20"/>
              </w:rPr>
              <w:t>Produktu</w:t>
            </w:r>
            <w:proofErr w:type="gramEnd"/>
            <w:r>
              <w:rPr>
                <w:color w:val="000000"/>
                <w:sz w:val="20"/>
                <w:szCs w:val="20"/>
              </w:rPr>
              <w:t xml:space="preserve"> resp. takové, které je uvedeno ve Smlouvě o dílo jako závazný požadavek. </w:t>
            </w:r>
          </w:p>
          <w:p w14:paraId="000000D2" w14:textId="77777777" w:rsidR="009C309C" w:rsidRDefault="007F735B">
            <w:pPr>
              <w:pBdr>
                <w:top w:val="nil"/>
                <w:left w:val="nil"/>
                <w:bottom w:val="nil"/>
                <w:right w:val="nil"/>
                <w:between w:val="nil"/>
              </w:pBdr>
              <w:rPr>
                <w:color w:val="000000"/>
                <w:sz w:val="20"/>
                <w:szCs w:val="20"/>
              </w:rPr>
            </w:pPr>
            <w:r>
              <w:rPr>
                <w:color w:val="000000"/>
                <w:sz w:val="20"/>
                <w:szCs w:val="20"/>
              </w:rPr>
              <w:t>Chybou není neznalost Uživatele týkající se funkcionality popsané v Dokumentaci Produktu.</w:t>
            </w:r>
          </w:p>
          <w:p w14:paraId="000000D3" w14:textId="77777777" w:rsidR="009C309C" w:rsidRDefault="007F735B">
            <w:pPr>
              <w:pBdr>
                <w:top w:val="nil"/>
                <w:left w:val="nil"/>
                <w:bottom w:val="nil"/>
                <w:right w:val="nil"/>
                <w:between w:val="nil"/>
              </w:pBdr>
              <w:rPr>
                <w:color w:val="000000"/>
                <w:sz w:val="20"/>
                <w:szCs w:val="20"/>
              </w:rPr>
            </w:pPr>
            <w:r>
              <w:rPr>
                <w:color w:val="000000"/>
                <w:sz w:val="20"/>
                <w:szCs w:val="20"/>
              </w:rPr>
              <w:t xml:space="preserve">Poskytovatel neodpovídá za Chyby způsobené třetí stranou s výjimkou třetích osob na straně Poskytovatele. </w:t>
            </w:r>
          </w:p>
        </w:tc>
      </w:tr>
      <w:tr w:rsidR="009C309C" w14:paraId="3B42A221" w14:textId="77777777">
        <w:tc>
          <w:tcPr>
            <w:tcW w:w="1418" w:type="dxa"/>
            <w:shd w:val="clear" w:color="auto" w:fill="D9D9D9"/>
            <w:vAlign w:val="center"/>
          </w:tcPr>
          <w:p w14:paraId="000000D4" w14:textId="77777777" w:rsidR="009C309C" w:rsidRDefault="007F735B">
            <w:pPr>
              <w:pBdr>
                <w:top w:val="nil"/>
                <w:left w:val="nil"/>
                <w:bottom w:val="nil"/>
                <w:right w:val="nil"/>
                <w:between w:val="nil"/>
              </w:pBdr>
              <w:jc w:val="center"/>
              <w:rPr>
                <w:b/>
                <w:color w:val="740034"/>
                <w:sz w:val="20"/>
                <w:szCs w:val="20"/>
              </w:rPr>
            </w:pPr>
            <w:r>
              <w:rPr>
                <w:b/>
                <w:color w:val="740034"/>
                <w:sz w:val="20"/>
                <w:szCs w:val="20"/>
              </w:rPr>
              <w:t>Vylepšení</w:t>
            </w:r>
          </w:p>
        </w:tc>
        <w:tc>
          <w:tcPr>
            <w:tcW w:w="7762" w:type="dxa"/>
            <w:vAlign w:val="center"/>
          </w:tcPr>
          <w:p w14:paraId="000000D5" w14:textId="77777777" w:rsidR="009C309C" w:rsidRDefault="007F735B">
            <w:pPr>
              <w:pBdr>
                <w:top w:val="nil"/>
                <w:left w:val="nil"/>
                <w:bottom w:val="nil"/>
                <w:right w:val="nil"/>
                <w:between w:val="nil"/>
              </w:pBdr>
              <w:rPr>
                <w:color w:val="000000"/>
                <w:sz w:val="20"/>
                <w:szCs w:val="20"/>
              </w:rPr>
            </w:pPr>
            <w:r>
              <w:rPr>
                <w:color w:val="000000"/>
                <w:sz w:val="20"/>
                <w:szCs w:val="20"/>
              </w:rPr>
              <w:t>Požadavek na dílčí změnu existující funkcionality Produktu.*.</w:t>
            </w:r>
          </w:p>
        </w:tc>
      </w:tr>
      <w:tr w:rsidR="009C309C" w14:paraId="0652A59B" w14:textId="77777777">
        <w:tc>
          <w:tcPr>
            <w:tcW w:w="1418" w:type="dxa"/>
            <w:shd w:val="clear" w:color="auto" w:fill="D9D9D9"/>
            <w:vAlign w:val="center"/>
          </w:tcPr>
          <w:p w14:paraId="000000D6" w14:textId="77777777" w:rsidR="009C309C" w:rsidRDefault="007F735B">
            <w:pPr>
              <w:pBdr>
                <w:top w:val="nil"/>
                <w:left w:val="nil"/>
                <w:bottom w:val="nil"/>
                <w:right w:val="nil"/>
                <w:between w:val="nil"/>
              </w:pBdr>
              <w:jc w:val="center"/>
              <w:rPr>
                <w:b/>
                <w:color w:val="740034"/>
                <w:sz w:val="20"/>
                <w:szCs w:val="20"/>
              </w:rPr>
            </w:pPr>
            <w:r>
              <w:rPr>
                <w:b/>
                <w:color w:val="740034"/>
                <w:sz w:val="20"/>
                <w:szCs w:val="20"/>
              </w:rPr>
              <w:t>Nová funkce</w:t>
            </w:r>
          </w:p>
        </w:tc>
        <w:tc>
          <w:tcPr>
            <w:tcW w:w="7762" w:type="dxa"/>
            <w:vAlign w:val="center"/>
          </w:tcPr>
          <w:p w14:paraId="000000D7" w14:textId="77777777" w:rsidR="009C309C" w:rsidRDefault="007F735B">
            <w:pPr>
              <w:pBdr>
                <w:top w:val="nil"/>
                <w:left w:val="nil"/>
                <w:bottom w:val="nil"/>
                <w:right w:val="nil"/>
                <w:between w:val="nil"/>
              </w:pBdr>
              <w:rPr>
                <w:color w:val="000000"/>
                <w:sz w:val="20"/>
                <w:szCs w:val="20"/>
              </w:rPr>
            </w:pPr>
            <w:r>
              <w:rPr>
                <w:color w:val="000000"/>
                <w:sz w:val="20"/>
                <w:szCs w:val="20"/>
              </w:rPr>
              <w:t xml:space="preserve">Požadavek na přidání dosud neexistující funkcionality </w:t>
            </w:r>
            <w:proofErr w:type="gramStart"/>
            <w:r>
              <w:rPr>
                <w:color w:val="000000"/>
                <w:sz w:val="20"/>
                <w:szCs w:val="20"/>
              </w:rPr>
              <w:t>Produktu.*</w:t>
            </w:r>
            <w:proofErr w:type="gramEnd"/>
            <w:r>
              <w:rPr>
                <w:color w:val="000000"/>
                <w:sz w:val="20"/>
                <w:szCs w:val="20"/>
              </w:rPr>
              <w:t xml:space="preserve"> Zachováno kvůli zpětné kompatibilitě, v současnosti je používán spíše typ Incidentu Příběh, viz dále.</w:t>
            </w:r>
          </w:p>
        </w:tc>
      </w:tr>
      <w:tr w:rsidR="009C309C" w14:paraId="2BA7E814" w14:textId="77777777">
        <w:tc>
          <w:tcPr>
            <w:tcW w:w="1418" w:type="dxa"/>
            <w:shd w:val="clear" w:color="auto" w:fill="D9D9D9"/>
            <w:vAlign w:val="center"/>
          </w:tcPr>
          <w:p w14:paraId="000000D8" w14:textId="77777777" w:rsidR="009C309C" w:rsidRDefault="007F735B">
            <w:pPr>
              <w:pBdr>
                <w:top w:val="nil"/>
                <w:left w:val="nil"/>
                <w:bottom w:val="nil"/>
                <w:right w:val="nil"/>
                <w:between w:val="nil"/>
              </w:pBdr>
              <w:jc w:val="center"/>
              <w:rPr>
                <w:b/>
                <w:color w:val="740034"/>
                <w:sz w:val="20"/>
                <w:szCs w:val="20"/>
              </w:rPr>
            </w:pPr>
            <w:r>
              <w:rPr>
                <w:b/>
                <w:color w:val="740034"/>
                <w:sz w:val="20"/>
                <w:szCs w:val="20"/>
              </w:rPr>
              <w:t>Příběh</w:t>
            </w:r>
          </w:p>
        </w:tc>
        <w:tc>
          <w:tcPr>
            <w:tcW w:w="7762" w:type="dxa"/>
            <w:vAlign w:val="center"/>
          </w:tcPr>
          <w:p w14:paraId="000000D9" w14:textId="77777777" w:rsidR="009C309C" w:rsidRDefault="007F735B">
            <w:pPr>
              <w:pBdr>
                <w:top w:val="nil"/>
                <w:left w:val="nil"/>
                <w:bottom w:val="nil"/>
                <w:right w:val="nil"/>
                <w:between w:val="nil"/>
              </w:pBdr>
              <w:rPr>
                <w:color w:val="000000"/>
                <w:sz w:val="20"/>
                <w:szCs w:val="20"/>
              </w:rPr>
            </w:pPr>
            <w:r>
              <w:rPr>
                <w:color w:val="000000"/>
                <w:sz w:val="20"/>
                <w:szCs w:val="20"/>
              </w:rPr>
              <w:t>Definice nové funkcionality Produktu z pohledu použití Uživatelem (scénáře a způsoby použití</w:t>
            </w:r>
            <w:proofErr w:type="gramStart"/>
            <w:r>
              <w:rPr>
                <w:color w:val="000000"/>
                <w:sz w:val="20"/>
                <w:szCs w:val="20"/>
              </w:rPr>
              <w:t>).*</w:t>
            </w:r>
            <w:proofErr w:type="gramEnd"/>
          </w:p>
        </w:tc>
      </w:tr>
      <w:tr w:rsidR="009C309C" w14:paraId="637F06A7" w14:textId="77777777">
        <w:tc>
          <w:tcPr>
            <w:tcW w:w="1418" w:type="dxa"/>
            <w:shd w:val="clear" w:color="auto" w:fill="D9D9D9"/>
            <w:vAlign w:val="center"/>
          </w:tcPr>
          <w:p w14:paraId="000000DA" w14:textId="77777777" w:rsidR="009C309C" w:rsidRDefault="007F735B">
            <w:pPr>
              <w:pBdr>
                <w:top w:val="nil"/>
                <w:left w:val="nil"/>
                <w:bottom w:val="nil"/>
                <w:right w:val="nil"/>
                <w:between w:val="nil"/>
              </w:pBdr>
              <w:jc w:val="center"/>
              <w:rPr>
                <w:b/>
                <w:color w:val="740034"/>
                <w:sz w:val="20"/>
                <w:szCs w:val="20"/>
              </w:rPr>
            </w:pPr>
            <w:r>
              <w:rPr>
                <w:b/>
                <w:color w:val="740034"/>
                <w:sz w:val="20"/>
                <w:szCs w:val="20"/>
              </w:rPr>
              <w:t>FAQ</w:t>
            </w:r>
          </w:p>
          <w:p w14:paraId="000000DB" w14:textId="77777777" w:rsidR="009C309C" w:rsidRDefault="007F735B">
            <w:pPr>
              <w:pBdr>
                <w:top w:val="nil"/>
                <w:left w:val="nil"/>
                <w:bottom w:val="nil"/>
                <w:right w:val="nil"/>
                <w:between w:val="nil"/>
              </w:pBdr>
              <w:jc w:val="center"/>
              <w:rPr>
                <w:b/>
                <w:color w:val="740034"/>
                <w:sz w:val="20"/>
                <w:szCs w:val="20"/>
              </w:rPr>
            </w:pPr>
            <w:r>
              <w:rPr>
                <w:b/>
                <w:color w:val="740034"/>
                <w:sz w:val="20"/>
                <w:szCs w:val="20"/>
              </w:rPr>
              <w:t>(častý dotaz)</w:t>
            </w:r>
          </w:p>
        </w:tc>
        <w:tc>
          <w:tcPr>
            <w:tcW w:w="7762" w:type="dxa"/>
            <w:vAlign w:val="center"/>
          </w:tcPr>
          <w:p w14:paraId="000000DC" w14:textId="77777777" w:rsidR="009C309C" w:rsidRDefault="007F735B">
            <w:pPr>
              <w:pBdr>
                <w:top w:val="nil"/>
                <w:left w:val="nil"/>
                <w:bottom w:val="nil"/>
                <w:right w:val="nil"/>
                <w:between w:val="nil"/>
              </w:pBdr>
              <w:rPr>
                <w:color w:val="000000"/>
                <w:sz w:val="20"/>
                <w:szCs w:val="20"/>
              </w:rPr>
            </w:pPr>
            <w:r>
              <w:rPr>
                <w:color w:val="000000"/>
                <w:sz w:val="20"/>
                <w:szCs w:val="20"/>
              </w:rPr>
              <w:t xml:space="preserve">Incident nevyžadující žádný opravný zásah do Produktu tzn. jedná se o vlastnost Produktu nebo je Incident způsoben jinými důvody než na straně Poskytovatele / dodaného Produktu. Nejčastěji vzniká z existujících Incidentů opravou klasifikace typu, má tedy charakter dotazu (opakovaného). Jeho řešení je známé a bývá poskytnuto formou komentáře, odkazu nebo </w:t>
            </w:r>
            <w:proofErr w:type="gramStart"/>
            <w:r>
              <w:rPr>
                <w:color w:val="000000"/>
                <w:sz w:val="20"/>
                <w:szCs w:val="20"/>
              </w:rPr>
              <w:t>Konzultace.*</w:t>
            </w:r>
            <w:proofErr w:type="gramEnd"/>
          </w:p>
        </w:tc>
      </w:tr>
    </w:tbl>
    <w:p w14:paraId="000000DD" w14:textId="77777777" w:rsidR="009C309C" w:rsidRDefault="007F735B">
      <w:pPr>
        <w:pBdr>
          <w:top w:val="nil"/>
          <w:left w:val="nil"/>
          <w:bottom w:val="nil"/>
          <w:right w:val="nil"/>
          <w:between w:val="nil"/>
        </w:pBdr>
        <w:spacing w:before="120" w:after="120"/>
        <w:jc w:val="both"/>
        <w:rPr>
          <w:color w:val="000000"/>
          <w:sz w:val="22"/>
          <w:szCs w:val="22"/>
        </w:rPr>
      </w:pPr>
      <w:r>
        <w:rPr>
          <w:color w:val="000000"/>
          <w:sz w:val="22"/>
          <w:szCs w:val="22"/>
        </w:rPr>
        <w:lastRenderedPageBreak/>
        <w:t xml:space="preserve">* </w:t>
      </w:r>
      <w:r>
        <w:rPr>
          <w:color w:val="000000"/>
          <w:sz w:val="18"/>
          <w:szCs w:val="18"/>
        </w:rPr>
        <w:t>Není zahrnuto v ceně základní Smlouvy, ale může být odbaveno v rámci předplacených Paušálních hodin, pokud je má Uživatel sjednány.</w:t>
      </w:r>
    </w:p>
    <w:p w14:paraId="000000DE" w14:textId="77777777" w:rsidR="009C309C" w:rsidRDefault="007F735B">
      <w:pPr>
        <w:pBdr>
          <w:top w:val="nil"/>
          <w:left w:val="nil"/>
          <w:bottom w:val="nil"/>
          <w:right w:val="nil"/>
          <w:between w:val="nil"/>
        </w:pBdr>
        <w:spacing w:before="120" w:after="120"/>
        <w:jc w:val="both"/>
        <w:rPr>
          <w:color w:val="000000"/>
          <w:sz w:val="20"/>
          <w:szCs w:val="20"/>
        </w:rPr>
      </w:pPr>
      <w:r>
        <w:rPr>
          <w:color w:val="000000"/>
          <w:sz w:val="20"/>
          <w:szCs w:val="20"/>
        </w:rPr>
        <w:t>Kromě výše uvedených typů se v HelpDesku mohou vyskytovat i jiné typy Incidentů (LOG, Úkol, Zápis, Testování, Nákup), které nejsou předmětem plnění Smlouvy a slouží pouze pro podporu řídících procesů Poskytovatele při implementaci a servisu dodaného Produktu.</w:t>
      </w:r>
    </w:p>
    <w:p w14:paraId="000000DF" w14:textId="77777777" w:rsidR="009C309C" w:rsidRDefault="007F735B">
      <w:pPr>
        <w:numPr>
          <w:ilvl w:val="2"/>
          <w:numId w:val="2"/>
        </w:numPr>
        <w:pBdr>
          <w:top w:val="nil"/>
          <w:left w:val="nil"/>
          <w:bottom w:val="nil"/>
          <w:right w:val="nil"/>
          <w:between w:val="nil"/>
        </w:pBdr>
        <w:spacing w:before="120" w:after="120"/>
        <w:jc w:val="both"/>
        <w:rPr>
          <w:b/>
          <w:color w:val="000000"/>
          <w:sz w:val="20"/>
          <w:szCs w:val="20"/>
        </w:rPr>
      </w:pPr>
      <w:r>
        <w:rPr>
          <w:b/>
          <w:color w:val="000000"/>
          <w:sz w:val="20"/>
          <w:szCs w:val="20"/>
        </w:rPr>
        <w:t>Priority Incidentů</w:t>
      </w:r>
    </w:p>
    <w:p w14:paraId="000000E0" w14:textId="77777777" w:rsidR="009C309C" w:rsidRDefault="007F735B">
      <w:pPr>
        <w:pBdr>
          <w:top w:val="nil"/>
          <w:left w:val="nil"/>
          <w:bottom w:val="nil"/>
          <w:right w:val="nil"/>
          <w:between w:val="nil"/>
        </w:pBdr>
        <w:spacing w:before="120" w:after="120"/>
        <w:jc w:val="both"/>
        <w:rPr>
          <w:color w:val="000000"/>
          <w:sz w:val="20"/>
          <w:szCs w:val="20"/>
        </w:rPr>
      </w:pPr>
      <w:r>
        <w:rPr>
          <w:color w:val="000000"/>
          <w:sz w:val="20"/>
          <w:szCs w:val="20"/>
        </w:rPr>
        <w:t>Priorita Incidentu je klasifikací Incidentu, od které je odvislá Reakční doba a Doba odstranění chyby.</w:t>
      </w:r>
    </w:p>
    <w:tbl>
      <w:tblPr>
        <w:tblStyle w:val="aa"/>
        <w:tblW w:w="8944" w:type="dxa"/>
        <w:tblInd w:w="-20" w:type="dxa"/>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Layout w:type="fixed"/>
        <w:tblLook w:val="0000" w:firstRow="0" w:lastRow="0" w:firstColumn="0" w:lastColumn="0" w:noHBand="0" w:noVBand="0"/>
      </w:tblPr>
      <w:tblGrid>
        <w:gridCol w:w="1574"/>
        <w:gridCol w:w="1558"/>
        <w:gridCol w:w="5812"/>
      </w:tblGrid>
      <w:tr w:rsidR="009C309C" w14:paraId="1B2F2823" w14:textId="77777777">
        <w:trPr>
          <w:trHeight w:val="315"/>
          <w:tblHeader/>
        </w:trPr>
        <w:tc>
          <w:tcPr>
            <w:tcW w:w="1574" w:type="dxa"/>
            <w:shd w:val="clear" w:color="auto" w:fill="D9D9D9"/>
          </w:tcPr>
          <w:p w14:paraId="000000E1" w14:textId="77777777" w:rsidR="009C309C" w:rsidRDefault="007F735B">
            <w:pPr>
              <w:pBdr>
                <w:top w:val="nil"/>
                <w:left w:val="nil"/>
                <w:bottom w:val="nil"/>
                <w:right w:val="nil"/>
                <w:between w:val="nil"/>
              </w:pBdr>
              <w:shd w:val="clear" w:color="auto" w:fill="D9D9D9"/>
              <w:jc w:val="center"/>
              <w:rPr>
                <w:b/>
                <w:color w:val="8A003E"/>
                <w:sz w:val="20"/>
                <w:szCs w:val="20"/>
              </w:rPr>
            </w:pPr>
            <w:r>
              <w:rPr>
                <w:b/>
                <w:color w:val="8A003E"/>
                <w:sz w:val="20"/>
                <w:szCs w:val="20"/>
              </w:rPr>
              <w:t>Kategorie Chyby pro RD</w:t>
            </w:r>
          </w:p>
        </w:tc>
        <w:tc>
          <w:tcPr>
            <w:tcW w:w="1558" w:type="dxa"/>
            <w:shd w:val="clear" w:color="auto" w:fill="D9D9D9"/>
            <w:vAlign w:val="bottom"/>
          </w:tcPr>
          <w:p w14:paraId="000000E2" w14:textId="77777777" w:rsidR="009C309C" w:rsidRDefault="007F735B">
            <w:pPr>
              <w:pBdr>
                <w:top w:val="nil"/>
                <w:left w:val="nil"/>
                <w:bottom w:val="nil"/>
                <w:right w:val="nil"/>
                <w:between w:val="nil"/>
              </w:pBdr>
              <w:shd w:val="clear" w:color="auto" w:fill="D9D9D9"/>
              <w:jc w:val="center"/>
              <w:rPr>
                <w:b/>
                <w:color w:val="8A003E"/>
                <w:sz w:val="20"/>
                <w:szCs w:val="20"/>
              </w:rPr>
            </w:pPr>
            <w:r>
              <w:rPr>
                <w:b/>
                <w:color w:val="8A003E"/>
                <w:sz w:val="20"/>
                <w:szCs w:val="20"/>
              </w:rPr>
              <w:t>Priorita Incidentu pro DOZ</w:t>
            </w:r>
          </w:p>
        </w:tc>
        <w:tc>
          <w:tcPr>
            <w:tcW w:w="5812" w:type="dxa"/>
            <w:shd w:val="clear" w:color="auto" w:fill="D9D9D9"/>
            <w:vAlign w:val="bottom"/>
          </w:tcPr>
          <w:p w14:paraId="000000E3" w14:textId="77777777" w:rsidR="009C309C" w:rsidRDefault="007F735B">
            <w:pPr>
              <w:pBdr>
                <w:top w:val="nil"/>
                <w:left w:val="nil"/>
                <w:bottom w:val="nil"/>
                <w:right w:val="nil"/>
                <w:between w:val="nil"/>
              </w:pBdr>
              <w:shd w:val="clear" w:color="auto" w:fill="D9D9D9"/>
              <w:jc w:val="center"/>
              <w:rPr>
                <w:b/>
                <w:color w:val="8A003E"/>
                <w:sz w:val="20"/>
                <w:szCs w:val="20"/>
              </w:rPr>
            </w:pPr>
            <w:r>
              <w:rPr>
                <w:b/>
                <w:color w:val="8A003E"/>
                <w:sz w:val="20"/>
                <w:szCs w:val="20"/>
              </w:rPr>
              <w:t>Popis</w:t>
            </w:r>
          </w:p>
        </w:tc>
      </w:tr>
      <w:tr w:rsidR="009C309C" w14:paraId="7B2376AA" w14:textId="77777777">
        <w:trPr>
          <w:trHeight w:val="57"/>
        </w:trPr>
        <w:tc>
          <w:tcPr>
            <w:tcW w:w="1574" w:type="dxa"/>
            <w:vMerge w:val="restart"/>
            <w:shd w:val="clear" w:color="auto" w:fill="D9D9D9"/>
            <w:vAlign w:val="center"/>
          </w:tcPr>
          <w:p w14:paraId="000000E4" w14:textId="77777777" w:rsidR="009C309C" w:rsidRDefault="007F735B">
            <w:pPr>
              <w:pBdr>
                <w:top w:val="nil"/>
                <w:left w:val="nil"/>
                <w:bottom w:val="nil"/>
                <w:right w:val="nil"/>
                <w:between w:val="nil"/>
              </w:pBdr>
              <w:jc w:val="center"/>
              <w:rPr>
                <w:b/>
                <w:color w:val="8A003E"/>
                <w:sz w:val="20"/>
                <w:szCs w:val="20"/>
              </w:rPr>
            </w:pPr>
            <w:r>
              <w:rPr>
                <w:b/>
                <w:color w:val="8A003E"/>
                <w:sz w:val="20"/>
                <w:szCs w:val="20"/>
              </w:rPr>
              <w:t>Chyby s vysokou prioritou</w:t>
            </w:r>
          </w:p>
        </w:tc>
        <w:tc>
          <w:tcPr>
            <w:tcW w:w="1558" w:type="dxa"/>
            <w:shd w:val="clear" w:color="auto" w:fill="D9D9D9"/>
            <w:vAlign w:val="bottom"/>
          </w:tcPr>
          <w:p w14:paraId="000000E5" w14:textId="77777777" w:rsidR="009C309C" w:rsidRDefault="007F735B">
            <w:pPr>
              <w:pBdr>
                <w:top w:val="nil"/>
                <w:left w:val="nil"/>
                <w:bottom w:val="nil"/>
                <w:right w:val="nil"/>
                <w:between w:val="nil"/>
              </w:pBdr>
              <w:jc w:val="center"/>
              <w:rPr>
                <w:b/>
                <w:color w:val="8A003E"/>
                <w:sz w:val="20"/>
                <w:szCs w:val="20"/>
              </w:rPr>
            </w:pPr>
            <w:proofErr w:type="spellStart"/>
            <w:r>
              <w:rPr>
                <w:b/>
                <w:color w:val="8A003E"/>
                <w:sz w:val="20"/>
                <w:szCs w:val="20"/>
              </w:rPr>
              <w:t>Blocker</w:t>
            </w:r>
            <w:proofErr w:type="spellEnd"/>
          </w:p>
        </w:tc>
        <w:tc>
          <w:tcPr>
            <w:tcW w:w="5812" w:type="dxa"/>
            <w:vAlign w:val="bottom"/>
          </w:tcPr>
          <w:p w14:paraId="000000E6" w14:textId="77777777" w:rsidR="009C309C" w:rsidRDefault="007F735B">
            <w:pPr>
              <w:pBdr>
                <w:top w:val="nil"/>
                <w:left w:val="nil"/>
                <w:bottom w:val="nil"/>
                <w:right w:val="nil"/>
                <w:between w:val="nil"/>
              </w:pBdr>
              <w:rPr>
                <w:color w:val="000000"/>
                <w:sz w:val="20"/>
                <w:szCs w:val="20"/>
              </w:rPr>
            </w:pPr>
            <w:r>
              <w:rPr>
                <w:color w:val="000000"/>
                <w:sz w:val="20"/>
                <w:szCs w:val="20"/>
              </w:rPr>
              <w:t xml:space="preserve">Blokuje práci (Produkt nelze spustit nebo nefunguje jeho klíčová </w:t>
            </w:r>
            <w:proofErr w:type="gramStart"/>
            <w:r>
              <w:rPr>
                <w:color w:val="000000"/>
                <w:sz w:val="20"/>
                <w:szCs w:val="20"/>
              </w:rPr>
              <w:t>funkcionalita - nelze</w:t>
            </w:r>
            <w:proofErr w:type="gramEnd"/>
            <w:r>
              <w:rPr>
                <w:color w:val="000000"/>
                <w:sz w:val="20"/>
                <w:szCs w:val="20"/>
              </w:rPr>
              <w:t xml:space="preserve"> úspěšně projít celým procesem). Chyba neumožňuje ani omezený provoz programových prostředků.</w:t>
            </w:r>
          </w:p>
        </w:tc>
      </w:tr>
      <w:tr w:rsidR="009C309C" w14:paraId="1A8C618E" w14:textId="77777777">
        <w:trPr>
          <w:trHeight w:val="57"/>
        </w:trPr>
        <w:tc>
          <w:tcPr>
            <w:tcW w:w="1574" w:type="dxa"/>
            <w:vMerge/>
            <w:shd w:val="clear" w:color="auto" w:fill="D9D9D9"/>
            <w:vAlign w:val="center"/>
          </w:tcPr>
          <w:p w14:paraId="000000E7" w14:textId="77777777" w:rsidR="009C309C" w:rsidRDefault="009C309C">
            <w:pPr>
              <w:widowControl w:val="0"/>
              <w:pBdr>
                <w:top w:val="nil"/>
                <w:left w:val="nil"/>
                <w:bottom w:val="nil"/>
                <w:right w:val="nil"/>
                <w:between w:val="nil"/>
              </w:pBdr>
              <w:spacing w:line="276" w:lineRule="auto"/>
              <w:rPr>
                <w:color w:val="000000"/>
                <w:sz w:val="20"/>
                <w:szCs w:val="20"/>
              </w:rPr>
            </w:pPr>
          </w:p>
        </w:tc>
        <w:tc>
          <w:tcPr>
            <w:tcW w:w="1558" w:type="dxa"/>
            <w:shd w:val="clear" w:color="auto" w:fill="D9D9D9"/>
            <w:vAlign w:val="bottom"/>
          </w:tcPr>
          <w:p w14:paraId="000000E8" w14:textId="77777777" w:rsidR="009C309C" w:rsidRDefault="007F735B">
            <w:pPr>
              <w:pBdr>
                <w:top w:val="nil"/>
                <w:left w:val="nil"/>
                <w:bottom w:val="nil"/>
                <w:right w:val="nil"/>
                <w:between w:val="nil"/>
              </w:pBdr>
              <w:jc w:val="center"/>
              <w:rPr>
                <w:b/>
                <w:color w:val="8A003E"/>
                <w:sz w:val="20"/>
                <w:szCs w:val="20"/>
              </w:rPr>
            </w:pPr>
            <w:proofErr w:type="spellStart"/>
            <w:r>
              <w:rPr>
                <w:b/>
                <w:color w:val="8A003E"/>
                <w:sz w:val="20"/>
                <w:szCs w:val="20"/>
              </w:rPr>
              <w:t>Critical</w:t>
            </w:r>
            <w:proofErr w:type="spellEnd"/>
          </w:p>
        </w:tc>
        <w:tc>
          <w:tcPr>
            <w:tcW w:w="5812" w:type="dxa"/>
            <w:vAlign w:val="bottom"/>
          </w:tcPr>
          <w:p w14:paraId="000000E9" w14:textId="77777777" w:rsidR="009C309C" w:rsidRDefault="007F735B">
            <w:pPr>
              <w:pBdr>
                <w:top w:val="nil"/>
                <w:left w:val="nil"/>
                <w:bottom w:val="nil"/>
                <w:right w:val="nil"/>
                <w:between w:val="nil"/>
              </w:pBdr>
              <w:rPr>
                <w:color w:val="000000"/>
                <w:sz w:val="20"/>
                <w:szCs w:val="20"/>
              </w:rPr>
            </w:pPr>
            <w:r>
              <w:rPr>
                <w:color w:val="000000"/>
                <w:sz w:val="20"/>
                <w:szCs w:val="20"/>
              </w:rPr>
              <w:t>Znemožňuje informační podporu hlavních procesů Uživatele. Chyba znemožňuje běžný provoz, ale umožňuje provoz v omezené míře.</w:t>
            </w:r>
          </w:p>
        </w:tc>
      </w:tr>
      <w:tr w:rsidR="009C309C" w14:paraId="16873990" w14:textId="77777777">
        <w:trPr>
          <w:trHeight w:val="57"/>
        </w:trPr>
        <w:tc>
          <w:tcPr>
            <w:tcW w:w="1574" w:type="dxa"/>
            <w:vMerge w:val="restart"/>
            <w:shd w:val="clear" w:color="auto" w:fill="D9D9D9"/>
            <w:vAlign w:val="center"/>
          </w:tcPr>
          <w:p w14:paraId="000000EA" w14:textId="77777777" w:rsidR="009C309C" w:rsidRDefault="007F735B">
            <w:pPr>
              <w:pBdr>
                <w:top w:val="nil"/>
                <w:left w:val="nil"/>
                <w:bottom w:val="nil"/>
                <w:right w:val="nil"/>
                <w:between w:val="nil"/>
              </w:pBdr>
              <w:jc w:val="center"/>
              <w:rPr>
                <w:b/>
                <w:color w:val="8A003E"/>
                <w:sz w:val="20"/>
                <w:szCs w:val="20"/>
              </w:rPr>
            </w:pPr>
            <w:r>
              <w:rPr>
                <w:b/>
                <w:color w:val="8A003E"/>
                <w:sz w:val="20"/>
                <w:szCs w:val="20"/>
              </w:rPr>
              <w:t>s nízkou prioritou</w:t>
            </w:r>
          </w:p>
        </w:tc>
        <w:tc>
          <w:tcPr>
            <w:tcW w:w="1558" w:type="dxa"/>
            <w:shd w:val="clear" w:color="auto" w:fill="D9D9D9"/>
            <w:vAlign w:val="bottom"/>
          </w:tcPr>
          <w:p w14:paraId="000000EB" w14:textId="77777777" w:rsidR="009C309C" w:rsidRDefault="007F735B">
            <w:pPr>
              <w:pBdr>
                <w:top w:val="nil"/>
                <w:left w:val="nil"/>
                <w:bottom w:val="nil"/>
                <w:right w:val="nil"/>
                <w:between w:val="nil"/>
              </w:pBdr>
              <w:jc w:val="center"/>
              <w:rPr>
                <w:b/>
                <w:color w:val="8A003E"/>
                <w:sz w:val="20"/>
                <w:szCs w:val="20"/>
              </w:rPr>
            </w:pPr>
            <w:r>
              <w:rPr>
                <w:b/>
                <w:color w:val="8A003E"/>
                <w:sz w:val="20"/>
                <w:szCs w:val="20"/>
              </w:rPr>
              <w:t>Major</w:t>
            </w:r>
          </w:p>
        </w:tc>
        <w:tc>
          <w:tcPr>
            <w:tcW w:w="5812" w:type="dxa"/>
            <w:vAlign w:val="bottom"/>
          </w:tcPr>
          <w:p w14:paraId="000000EC" w14:textId="77777777" w:rsidR="009C309C" w:rsidRDefault="007F735B">
            <w:pPr>
              <w:pBdr>
                <w:top w:val="nil"/>
                <w:left w:val="nil"/>
                <w:bottom w:val="nil"/>
                <w:right w:val="nil"/>
                <w:between w:val="nil"/>
              </w:pBdr>
              <w:rPr>
                <w:color w:val="000000"/>
                <w:sz w:val="20"/>
                <w:szCs w:val="20"/>
              </w:rPr>
            </w:pPr>
            <w:r>
              <w:rPr>
                <w:color w:val="000000"/>
                <w:sz w:val="20"/>
                <w:szCs w:val="20"/>
              </w:rPr>
              <w:t xml:space="preserve">Znesnadňuje práci, lze však obejít za cenu přiměřených nároků na Uživatele poté, co Poskytovatel doporučí nebo aplikuje náhradní řešení. </w:t>
            </w:r>
          </w:p>
        </w:tc>
      </w:tr>
      <w:tr w:rsidR="009C309C" w14:paraId="5CB80CE5" w14:textId="77777777">
        <w:trPr>
          <w:trHeight w:val="57"/>
        </w:trPr>
        <w:tc>
          <w:tcPr>
            <w:tcW w:w="1574" w:type="dxa"/>
            <w:vMerge/>
            <w:shd w:val="clear" w:color="auto" w:fill="D9D9D9"/>
            <w:vAlign w:val="center"/>
          </w:tcPr>
          <w:p w14:paraId="000000ED" w14:textId="77777777" w:rsidR="009C309C" w:rsidRDefault="009C309C">
            <w:pPr>
              <w:widowControl w:val="0"/>
              <w:pBdr>
                <w:top w:val="nil"/>
                <w:left w:val="nil"/>
                <w:bottom w:val="nil"/>
                <w:right w:val="nil"/>
                <w:between w:val="nil"/>
              </w:pBdr>
              <w:spacing w:line="276" w:lineRule="auto"/>
              <w:rPr>
                <w:color w:val="000000"/>
                <w:sz w:val="20"/>
                <w:szCs w:val="20"/>
              </w:rPr>
            </w:pPr>
          </w:p>
        </w:tc>
        <w:tc>
          <w:tcPr>
            <w:tcW w:w="1558" w:type="dxa"/>
            <w:shd w:val="clear" w:color="auto" w:fill="D9D9D9"/>
            <w:vAlign w:val="bottom"/>
          </w:tcPr>
          <w:p w14:paraId="000000EE" w14:textId="77777777" w:rsidR="009C309C" w:rsidRDefault="007F735B">
            <w:pPr>
              <w:pBdr>
                <w:top w:val="nil"/>
                <w:left w:val="nil"/>
                <w:bottom w:val="nil"/>
                <w:right w:val="nil"/>
                <w:between w:val="nil"/>
              </w:pBdr>
              <w:jc w:val="center"/>
              <w:rPr>
                <w:b/>
                <w:color w:val="8A003E"/>
                <w:sz w:val="20"/>
                <w:szCs w:val="20"/>
              </w:rPr>
            </w:pPr>
            <w:r>
              <w:rPr>
                <w:b/>
                <w:color w:val="8A003E"/>
                <w:sz w:val="20"/>
                <w:szCs w:val="20"/>
              </w:rPr>
              <w:t>Minor</w:t>
            </w:r>
          </w:p>
        </w:tc>
        <w:tc>
          <w:tcPr>
            <w:tcW w:w="5812" w:type="dxa"/>
            <w:vAlign w:val="bottom"/>
          </w:tcPr>
          <w:p w14:paraId="000000EF" w14:textId="77777777" w:rsidR="009C309C" w:rsidRDefault="007F735B">
            <w:pPr>
              <w:pBdr>
                <w:top w:val="nil"/>
                <w:left w:val="nil"/>
                <w:bottom w:val="nil"/>
                <w:right w:val="nil"/>
                <w:between w:val="nil"/>
              </w:pBdr>
              <w:rPr>
                <w:color w:val="000000"/>
                <w:sz w:val="20"/>
                <w:szCs w:val="20"/>
              </w:rPr>
            </w:pPr>
            <w:r>
              <w:rPr>
                <w:color w:val="000000"/>
                <w:sz w:val="20"/>
                <w:szCs w:val="20"/>
              </w:rPr>
              <w:t>Znepříjemňuje práci, ale lze snadno obejít.</w:t>
            </w:r>
          </w:p>
        </w:tc>
      </w:tr>
      <w:tr w:rsidR="009C309C" w14:paraId="1BD3A741" w14:textId="77777777">
        <w:trPr>
          <w:trHeight w:val="57"/>
        </w:trPr>
        <w:tc>
          <w:tcPr>
            <w:tcW w:w="1574" w:type="dxa"/>
            <w:vMerge/>
            <w:shd w:val="clear" w:color="auto" w:fill="D9D9D9"/>
            <w:vAlign w:val="center"/>
          </w:tcPr>
          <w:p w14:paraId="000000F0" w14:textId="77777777" w:rsidR="009C309C" w:rsidRDefault="009C309C">
            <w:pPr>
              <w:widowControl w:val="0"/>
              <w:pBdr>
                <w:top w:val="nil"/>
                <w:left w:val="nil"/>
                <w:bottom w:val="nil"/>
                <w:right w:val="nil"/>
                <w:between w:val="nil"/>
              </w:pBdr>
              <w:spacing w:line="276" w:lineRule="auto"/>
              <w:rPr>
                <w:color w:val="000000"/>
                <w:sz w:val="20"/>
                <w:szCs w:val="20"/>
              </w:rPr>
            </w:pPr>
          </w:p>
        </w:tc>
        <w:tc>
          <w:tcPr>
            <w:tcW w:w="1558" w:type="dxa"/>
            <w:shd w:val="clear" w:color="auto" w:fill="D9D9D9"/>
            <w:vAlign w:val="bottom"/>
          </w:tcPr>
          <w:p w14:paraId="000000F1" w14:textId="77777777" w:rsidR="009C309C" w:rsidRDefault="007F735B">
            <w:pPr>
              <w:pBdr>
                <w:top w:val="nil"/>
                <w:left w:val="nil"/>
                <w:bottom w:val="nil"/>
                <w:right w:val="nil"/>
                <w:between w:val="nil"/>
              </w:pBdr>
              <w:jc w:val="center"/>
              <w:rPr>
                <w:b/>
                <w:color w:val="8A003E"/>
                <w:sz w:val="20"/>
                <w:szCs w:val="20"/>
              </w:rPr>
            </w:pPr>
            <w:proofErr w:type="spellStart"/>
            <w:r>
              <w:rPr>
                <w:b/>
                <w:color w:val="8A003E"/>
                <w:sz w:val="20"/>
                <w:szCs w:val="20"/>
              </w:rPr>
              <w:t>Trivial</w:t>
            </w:r>
            <w:proofErr w:type="spellEnd"/>
          </w:p>
        </w:tc>
        <w:tc>
          <w:tcPr>
            <w:tcW w:w="5812" w:type="dxa"/>
            <w:vAlign w:val="bottom"/>
          </w:tcPr>
          <w:p w14:paraId="000000F2" w14:textId="77777777" w:rsidR="009C309C" w:rsidRDefault="007F735B">
            <w:pPr>
              <w:pBdr>
                <w:top w:val="nil"/>
                <w:left w:val="nil"/>
                <w:bottom w:val="nil"/>
                <w:right w:val="nil"/>
                <w:between w:val="nil"/>
              </w:pBdr>
              <w:rPr>
                <w:color w:val="000000"/>
                <w:sz w:val="20"/>
                <w:szCs w:val="20"/>
              </w:rPr>
            </w:pPr>
            <w:r>
              <w:rPr>
                <w:color w:val="000000"/>
                <w:sz w:val="20"/>
                <w:szCs w:val="20"/>
              </w:rPr>
              <w:t>Ostatní drobné vady kosmetického charakteru, např. přejmenování položek apod.</w:t>
            </w:r>
          </w:p>
        </w:tc>
      </w:tr>
    </w:tbl>
    <w:p w14:paraId="000000F3" w14:textId="77777777" w:rsidR="009C309C" w:rsidRDefault="007F735B">
      <w:pPr>
        <w:keepNext/>
        <w:numPr>
          <w:ilvl w:val="1"/>
          <w:numId w:val="2"/>
        </w:numPr>
        <w:pBdr>
          <w:top w:val="nil"/>
          <w:left w:val="nil"/>
          <w:bottom w:val="single" w:sz="4" w:space="1" w:color="CA005D"/>
          <w:right w:val="nil"/>
          <w:between w:val="nil"/>
        </w:pBdr>
        <w:spacing w:before="360" w:after="180"/>
        <w:jc w:val="center"/>
      </w:pPr>
      <w:bookmarkStart w:id="18" w:name="_heading=h.1y810tw" w:colFirst="0" w:colLast="0"/>
      <w:bookmarkEnd w:id="18"/>
      <w:r>
        <w:rPr>
          <w:b/>
          <w:smallCaps/>
          <w:color w:val="000000"/>
          <w:sz w:val="28"/>
          <w:szCs w:val="28"/>
        </w:rPr>
        <w:t>Zálohování</w:t>
      </w:r>
    </w:p>
    <w:p w14:paraId="000000F4"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Poskytování služby Zálohování Uživateli je závislé na rozsahu služeb sjednaných ve Smlouvě. Poskytovatel standardně zálohování dat a Aplikací neprovádí, vyjma:</w:t>
      </w:r>
    </w:p>
    <w:p w14:paraId="000000F5"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rPr>
          <w:color w:val="000000"/>
          <w:sz w:val="20"/>
          <w:szCs w:val="20"/>
        </w:rPr>
      </w:pPr>
      <w:r>
        <w:rPr>
          <w:color w:val="000000"/>
          <w:sz w:val="20"/>
          <w:szCs w:val="20"/>
        </w:rPr>
        <w:t xml:space="preserve">Poskytovatel provádí zálohování dat a Aplikací 1x denně v případě, že jsou umístěny na Technologiích Poskytovatele a Zálohování je sjednáno ve Smlouvě. Zálohy jsou uchovávány po dobu jednoho týdne na jiném odděleném serveru, než na kterém je umístěna Aplikace a data. Zálohy jsou Uživateli k dispozici na vyžádání. Poskytovatel předá zálohy Uživateli do 3 pracovních dnů od přijetí žádosti. </w:t>
      </w:r>
    </w:p>
    <w:p w14:paraId="000000F6"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rPr>
          <w:color w:val="000000"/>
          <w:sz w:val="20"/>
          <w:szCs w:val="20"/>
        </w:rPr>
      </w:pPr>
      <w:r>
        <w:rPr>
          <w:color w:val="000000"/>
          <w:sz w:val="20"/>
          <w:szCs w:val="20"/>
        </w:rPr>
        <w:t>Poskytovatel provádí Základní zálohování v rámci Správy serveru, pokud je sjednána ve Smlouvě. Poskytovatel zálohuje data a Aplikace 1x denně a záloha je ukládána na stejný server, na kterém běží Produkt a uchovávána po dobu jednoho týdne. Poskytovatel doporučuje Uživateli vyhradit zvláštní prostor na jiném serveru pro ukládání záloh. Zálohy jsou Uživateli volně dostupné.</w:t>
      </w:r>
    </w:p>
    <w:p w14:paraId="000000F7"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 xml:space="preserve">Pokud není zálohování zajišťováno Poskytovatelem je Uživatel povinen zajistit Zálohování dat a Aplikací </w:t>
      </w:r>
      <w:proofErr w:type="gramStart"/>
      <w:r>
        <w:rPr>
          <w:color w:val="000000"/>
          <w:sz w:val="20"/>
          <w:szCs w:val="20"/>
        </w:rPr>
        <w:t>svépomocí</w:t>
      </w:r>
      <w:proofErr w:type="gramEnd"/>
      <w:r>
        <w:rPr>
          <w:color w:val="000000"/>
          <w:sz w:val="20"/>
          <w:szCs w:val="20"/>
        </w:rPr>
        <w:t xml:space="preserve"> popř. třetí stranou tak, aby v případě havárie a/nebo výpadku jakékoliv části Produktu a/nebo hardware byl Poskytovatel na základě žádosti Uživatele schopen obnovit provoz Produktu. Zároveň se Uživatel zavazuje poskytnout potřebnou součinnost při obnově.</w:t>
      </w:r>
    </w:p>
    <w:p w14:paraId="000000F8" w14:textId="77777777" w:rsidR="009C309C" w:rsidRDefault="007F735B">
      <w:pPr>
        <w:keepNext/>
        <w:numPr>
          <w:ilvl w:val="1"/>
          <w:numId w:val="2"/>
        </w:numPr>
        <w:pBdr>
          <w:top w:val="nil"/>
          <w:left w:val="nil"/>
          <w:bottom w:val="single" w:sz="4" w:space="1" w:color="CA005D"/>
          <w:right w:val="nil"/>
          <w:between w:val="nil"/>
        </w:pBdr>
        <w:spacing w:before="360" w:after="180"/>
        <w:jc w:val="center"/>
      </w:pPr>
      <w:r>
        <w:rPr>
          <w:b/>
          <w:smallCaps/>
          <w:color w:val="000000"/>
          <w:sz w:val="28"/>
          <w:szCs w:val="28"/>
        </w:rPr>
        <w:t xml:space="preserve">Konzultační služby </w:t>
      </w:r>
    </w:p>
    <w:p w14:paraId="000000F9"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Poskytovatel se zavazuje Uživateli poskytovat Konzultace v telefonické, písemné formě nebo při osobní návštěvě, a to na základě požadavku (záznam v HelpDesku). Požadavek musí obsahovat (obojí zajistí standardní mechanismy HelpDesku):</w:t>
      </w:r>
    </w:p>
    <w:p w14:paraId="000000FA"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jméno a pracoviště žadatele o Konzultaci</w:t>
      </w:r>
    </w:p>
    <w:p w14:paraId="000000FB"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téma (předmět) Konzultace</w:t>
      </w:r>
    </w:p>
    <w:p w14:paraId="000000FC"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lastRenderedPageBreak/>
        <w:t xml:space="preserve">Konzultační služby jsou účtovány dle ceny sjednané ve Smlouvě (mohou být hrazeny z Paušálních hodin, pokud jsou objednány). </w:t>
      </w:r>
    </w:p>
    <w:p w14:paraId="000000FD"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Mezi konzultační služby jsou počítány Konzultace s uživateli v osobní, telefonické nebo elektronické formě. Do konzultačních služeb patří také řešení Incidentu primárně označeného jako Chyba, jehož příčina není v nefunkčnosti Aplikace, ale v neznalosti obsluhy nebo ve změně konfigurace technologického prostředí Uživatele nebo Informačních systémů třetích stran.  Z hlediska dodržení smluvních lhůt bude Poskytovatel vždy jednat s cílem odstranit závadu bez ohledu na to, kde je předpokládána příčina. V případě, že příčina bude mimo Produkt, bude čas účtován jako konzultační služby a příslušný Incident v HelpDesku překlasifikován dle zásad uvedených výše (viz kapitola III. této přílohy).</w:t>
      </w:r>
    </w:p>
    <w:p w14:paraId="000000FE" w14:textId="77777777" w:rsidR="009C309C" w:rsidRDefault="007F735B">
      <w:pPr>
        <w:keepNext/>
        <w:numPr>
          <w:ilvl w:val="1"/>
          <w:numId w:val="2"/>
        </w:numPr>
        <w:pBdr>
          <w:top w:val="nil"/>
          <w:left w:val="nil"/>
          <w:bottom w:val="single" w:sz="4" w:space="1" w:color="CA005D"/>
          <w:right w:val="nil"/>
          <w:between w:val="nil"/>
        </w:pBdr>
        <w:spacing w:before="360" w:after="180"/>
        <w:jc w:val="center"/>
      </w:pPr>
      <w:bookmarkStart w:id="19" w:name="_heading=h.4i7ojhp" w:colFirst="0" w:colLast="0"/>
      <w:bookmarkEnd w:id="19"/>
      <w:r>
        <w:rPr>
          <w:b/>
          <w:smallCaps/>
          <w:color w:val="000000"/>
          <w:sz w:val="28"/>
          <w:szCs w:val="28"/>
        </w:rPr>
        <w:t>Přístup na HelpDesk</w:t>
      </w:r>
    </w:p>
    <w:p w14:paraId="000000FF" w14:textId="363F503C"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 xml:space="preserve">Poskytovatel se zavazuje umožnit vybraným zaměstnancům Uživatele přístup do aplikace HelpDesk na </w:t>
      </w:r>
      <w:proofErr w:type="spellStart"/>
      <w:r w:rsidR="00C63367" w:rsidRPr="00C03574">
        <w:rPr>
          <w:sz w:val="20"/>
          <w:szCs w:val="20"/>
        </w:rPr>
        <w:t>xxxxxxxxxxxxxxx</w:t>
      </w:r>
      <w:proofErr w:type="spellEnd"/>
      <w:r w:rsidR="00C63367" w:rsidRPr="00C03574">
        <w:rPr>
          <w:sz w:val="20"/>
          <w:szCs w:val="20"/>
        </w:rPr>
        <w:t xml:space="preserve"> </w:t>
      </w:r>
      <w:r>
        <w:rPr>
          <w:color w:val="000000"/>
          <w:sz w:val="20"/>
          <w:szCs w:val="20"/>
        </w:rPr>
        <w:t>s dostupností 24x7 (zahrnuto v ceně Smlouvy). Uživatel získává následující přidanou hodnotu:</w:t>
      </w:r>
    </w:p>
    <w:p w14:paraId="00000100"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detailní Klasifikace Incidentu při založení významně urychluje jeho řešení (typ, priorita),</w:t>
      </w:r>
    </w:p>
    <w:p w14:paraId="00000101"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kompletní historie Incidentu včetně kontroly Reakční doby a Doby odstranění Chyby,</w:t>
      </w:r>
    </w:p>
    <w:p w14:paraId="00000102"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možnost sledování průběhu řešení (stav, termín, zbývá odpracovat),</w:t>
      </w:r>
    </w:p>
    <w:p w14:paraId="00000103"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komfortní komentování Incidentů, přikládání souborů,</w:t>
      </w:r>
    </w:p>
    <w:p w14:paraId="00000104"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 xml:space="preserve">možnost komentování přes běžného poštovního klienta (funkce </w:t>
      </w:r>
      <w:proofErr w:type="spellStart"/>
      <w:r>
        <w:rPr>
          <w:color w:val="000000"/>
          <w:sz w:val="18"/>
          <w:szCs w:val="18"/>
        </w:rPr>
        <w:t>reply</w:t>
      </w:r>
      <w:proofErr w:type="spellEnd"/>
      <w:r>
        <w:rPr>
          <w:color w:val="000000"/>
          <w:sz w:val="18"/>
          <w:szCs w:val="18"/>
        </w:rPr>
        <w:t>),</w:t>
      </w:r>
    </w:p>
    <w:p w14:paraId="00000105"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automatické notifikace při všech akcích s Incidentem,</w:t>
      </w:r>
    </w:p>
    <w:p w14:paraId="00000106"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online dokumentace k HelpDesku,</w:t>
      </w:r>
    </w:p>
    <w:p w14:paraId="00000107"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Přístup bude zřízen na základě žádosti Uživatele zaslané Poskytovateli do tří dnů od přijetí žádosti.</w:t>
      </w:r>
    </w:p>
    <w:p w14:paraId="00000108"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Postup zadání Incidentu je definován v Příručce pro uživatele HelpDesku, která je viditelně umístěna po přihlášení do HelpDesku.</w:t>
      </w:r>
    </w:p>
    <w:p w14:paraId="00000109" w14:textId="77777777" w:rsidR="009C309C" w:rsidRDefault="007F735B">
      <w:pPr>
        <w:keepNext/>
        <w:numPr>
          <w:ilvl w:val="1"/>
          <w:numId w:val="2"/>
        </w:numPr>
        <w:pBdr>
          <w:top w:val="nil"/>
          <w:left w:val="nil"/>
          <w:bottom w:val="single" w:sz="4" w:space="1" w:color="CA005D"/>
          <w:right w:val="nil"/>
          <w:between w:val="nil"/>
        </w:pBdr>
        <w:spacing w:before="360" w:after="180"/>
        <w:jc w:val="center"/>
      </w:pPr>
      <w:bookmarkStart w:id="20" w:name="_heading=h.2xcytpi" w:colFirst="0" w:colLast="0"/>
      <w:bookmarkEnd w:id="20"/>
      <w:r>
        <w:rPr>
          <w:b/>
          <w:smallCaps/>
          <w:color w:val="000000"/>
          <w:sz w:val="28"/>
          <w:szCs w:val="28"/>
        </w:rPr>
        <w:t>Přístup do Databáze znalostí</w:t>
      </w:r>
    </w:p>
    <w:p w14:paraId="0000010A"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 xml:space="preserve">Poskytovatel se zavazuje umožnit zaměstnancům Uživatele přístup do své Databáze znalostí na </w:t>
      </w:r>
      <w:proofErr w:type="spellStart"/>
      <w:r>
        <w:rPr>
          <w:color w:val="000000"/>
          <w:sz w:val="20"/>
          <w:szCs w:val="20"/>
        </w:rPr>
        <w:t>xxxxxxx</w:t>
      </w:r>
      <w:proofErr w:type="spellEnd"/>
      <w:r>
        <w:rPr>
          <w:color w:val="000000"/>
          <w:sz w:val="20"/>
          <w:szCs w:val="20"/>
        </w:rPr>
        <w:t xml:space="preserve"> s dostupností 24x7 (zahrnuto v ceně Smlouvy). Uživatel získává následující přidanou hodnotu:</w:t>
      </w:r>
    </w:p>
    <w:p w14:paraId="0000010B"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databáze znalostí je dostupná neomezeně pro všechny pracovníky Uživatele,</w:t>
      </w:r>
    </w:p>
    <w:p w14:paraId="0000010C"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databáze znalostí je přímo propojena s HelpDeskem;</w:t>
      </w:r>
    </w:p>
    <w:p w14:paraId="0000010D"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 xml:space="preserve">dokumentace Produktu je online s možností exportu do běžných formátů (doc, </w:t>
      </w:r>
      <w:proofErr w:type="spellStart"/>
      <w:r>
        <w:rPr>
          <w:color w:val="000000"/>
          <w:sz w:val="18"/>
          <w:szCs w:val="18"/>
        </w:rPr>
        <w:t>pdf</w:t>
      </w:r>
      <w:proofErr w:type="spellEnd"/>
      <w:r>
        <w:rPr>
          <w:color w:val="000000"/>
          <w:sz w:val="18"/>
          <w:szCs w:val="18"/>
        </w:rPr>
        <w:t>);</w:t>
      </w:r>
    </w:p>
    <w:p w14:paraId="0000010E"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 xml:space="preserve">možnost komentování článků s využitím vláknové technologie – spojení výhod </w:t>
      </w:r>
      <w:proofErr w:type="gramStart"/>
      <w:r>
        <w:rPr>
          <w:color w:val="000000"/>
          <w:sz w:val="18"/>
          <w:szCs w:val="18"/>
        </w:rPr>
        <w:t>diskuzního</w:t>
      </w:r>
      <w:proofErr w:type="gramEnd"/>
      <w:r>
        <w:rPr>
          <w:color w:val="000000"/>
          <w:sz w:val="18"/>
          <w:szCs w:val="18"/>
        </w:rPr>
        <w:t xml:space="preserve"> fóra a publikačního systému.</w:t>
      </w:r>
    </w:p>
    <w:p w14:paraId="0000010F" w14:textId="77777777" w:rsidR="009C309C" w:rsidRDefault="007F735B">
      <w:pPr>
        <w:numPr>
          <w:ilvl w:val="2"/>
          <w:numId w:val="2"/>
        </w:numPr>
        <w:pBdr>
          <w:top w:val="nil"/>
          <w:left w:val="nil"/>
          <w:bottom w:val="nil"/>
          <w:right w:val="nil"/>
          <w:between w:val="nil"/>
        </w:pBdr>
        <w:spacing w:before="120" w:after="120"/>
        <w:jc w:val="both"/>
      </w:pPr>
      <w:r>
        <w:rPr>
          <w:color w:val="000000"/>
          <w:sz w:val="20"/>
          <w:szCs w:val="20"/>
        </w:rPr>
        <w:t>Přístup bude zřízen na základě žádosti Uživatele zaslané Poskytovateli do tří dnů od přijetí žádosti.</w:t>
      </w:r>
    </w:p>
    <w:p w14:paraId="00000110" w14:textId="77777777" w:rsidR="009C309C" w:rsidRDefault="007F735B">
      <w:pPr>
        <w:keepNext/>
        <w:numPr>
          <w:ilvl w:val="1"/>
          <w:numId w:val="2"/>
        </w:numPr>
        <w:pBdr>
          <w:top w:val="nil"/>
          <w:left w:val="nil"/>
          <w:bottom w:val="single" w:sz="4" w:space="1" w:color="CA005D"/>
          <w:right w:val="nil"/>
          <w:between w:val="nil"/>
        </w:pBdr>
        <w:spacing w:before="360" w:after="180"/>
        <w:jc w:val="center"/>
      </w:pPr>
      <w:bookmarkStart w:id="21" w:name="_heading=h.1ci93xb" w:colFirst="0" w:colLast="0"/>
      <w:bookmarkEnd w:id="21"/>
      <w:r>
        <w:rPr>
          <w:b/>
          <w:smallCaps/>
          <w:color w:val="000000"/>
          <w:sz w:val="28"/>
          <w:szCs w:val="28"/>
        </w:rPr>
        <w:t>Školení uživatelů</w:t>
      </w:r>
    </w:p>
    <w:p w14:paraId="00000111"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Školení zaměstnanců Uživatele na místě:</w:t>
      </w:r>
    </w:p>
    <w:p w14:paraId="00000112"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bookmarkStart w:id="22" w:name="_heading=h.3whwml4" w:colFirst="0" w:colLast="0"/>
      <w:bookmarkEnd w:id="22"/>
      <w:r>
        <w:rPr>
          <w:color w:val="000000"/>
          <w:sz w:val="18"/>
          <w:szCs w:val="18"/>
        </w:rPr>
        <w:t>školení zaměstnanců Uživatele je výuka základních principů a vlastností Produktu. Výuka probíhá hromadně (jsou školeni více než 3 zaměstnanci Uživatele současně);</w:t>
      </w:r>
    </w:p>
    <w:p w14:paraId="00000113"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 xml:space="preserve">školení je uskutečněno na základě požadavku Uživatele vzneseného písemně nejméně tři týdny před zahájením školení. Uživatel zajistí školící prostory, výpočetní techniku a školence; </w:t>
      </w:r>
    </w:p>
    <w:p w14:paraId="00000114"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 xml:space="preserve">školící den se skládá z 6 vyučovacích hodin (tzn. 6 x 45 min), přípravy lektora na školení a cesty na místo konání školení; </w:t>
      </w:r>
    </w:p>
    <w:p w14:paraId="00000115"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cena školícího dne je stanovena Ceníkem (na vyžádání u Poskytovatele). Školení si Uživatel může sjednat a předplatit již ve Smlouvě.</w:t>
      </w:r>
    </w:p>
    <w:p w14:paraId="00000116"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bookmarkStart w:id="23" w:name="_heading=h.2bn6wsx" w:colFirst="0" w:colLast="0"/>
      <w:bookmarkEnd w:id="23"/>
      <w:r>
        <w:rPr>
          <w:color w:val="000000"/>
          <w:sz w:val="20"/>
          <w:szCs w:val="20"/>
        </w:rPr>
        <w:lastRenderedPageBreak/>
        <w:t>Výjezdní školení správců systému</w:t>
      </w:r>
    </w:p>
    <w:p w14:paraId="00000117"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bookmarkStart w:id="24" w:name="_heading=h.qsh70q" w:colFirst="0" w:colLast="0"/>
      <w:bookmarkEnd w:id="24"/>
      <w:r>
        <w:rPr>
          <w:color w:val="000000"/>
          <w:sz w:val="18"/>
          <w:szCs w:val="18"/>
        </w:rPr>
        <w:t>Poskytovatel pořádá 1x ročně třídenní školení pro správce Uživatele, které se uskuteční na místě a v termínu předem stanoveném Poskytovatelem. Toto školení je organizováno pro zástupce všech zákazníků využívajících systém.</w:t>
      </w:r>
    </w:p>
    <w:p w14:paraId="00000118"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Třídenní školení pro správce si Uživatel může sjednat a předplatit ve Smlouvě. Cena školení je dána Ceníkem (na vyžádání u Poskytovatele).</w:t>
      </w:r>
    </w:p>
    <w:p w14:paraId="00000119" w14:textId="77777777" w:rsidR="009C309C" w:rsidRDefault="007F735B">
      <w:pPr>
        <w:keepNext/>
        <w:numPr>
          <w:ilvl w:val="1"/>
          <w:numId w:val="2"/>
        </w:numPr>
        <w:pBdr>
          <w:top w:val="nil"/>
          <w:left w:val="nil"/>
          <w:bottom w:val="single" w:sz="4" w:space="1" w:color="CA005D"/>
          <w:right w:val="nil"/>
          <w:between w:val="nil"/>
        </w:pBdr>
        <w:spacing w:before="360" w:after="180"/>
        <w:jc w:val="center"/>
      </w:pPr>
      <w:r>
        <w:rPr>
          <w:b/>
          <w:smallCaps/>
          <w:color w:val="000000"/>
          <w:sz w:val="28"/>
          <w:szCs w:val="28"/>
        </w:rPr>
        <w:t>Doplňkové služby pro klienty systému</w:t>
      </w:r>
    </w:p>
    <w:p w14:paraId="0000011A" w14:textId="77777777" w:rsidR="009C309C" w:rsidRDefault="007F735B">
      <w:pPr>
        <w:numPr>
          <w:ilvl w:val="2"/>
          <w:numId w:val="2"/>
        </w:numPr>
        <w:pBdr>
          <w:top w:val="nil"/>
          <w:left w:val="nil"/>
          <w:bottom w:val="nil"/>
          <w:right w:val="nil"/>
          <w:between w:val="nil"/>
        </w:pBdr>
        <w:spacing w:before="120" w:after="120"/>
        <w:jc w:val="both"/>
        <w:rPr>
          <w:color w:val="000000"/>
          <w:sz w:val="20"/>
          <w:szCs w:val="20"/>
        </w:rPr>
      </w:pPr>
      <w:r>
        <w:rPr>
          <w:color w:val="000000"/>
          <w:sz w:val="20"/>
          <w:szCs w:val="20"/>
        </w:rPr>
        <w:t>Níže uvedené služby si může Uživatel sjednat ve Smlouvě, cena jednotlivých služeb je dána Ceníkem (na vyžádání u Poskytovatele):</w:t>
      </w:r>
    </w:p>
    <w:p w14:paraId="0000011B"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 xml:space="preserve">Výjezdní školení správců systému: Poskytovatel pořádá 1x ročně třídenní setkání pro správce Uživatele, které se uskuteční na místě a v termínu předem stanoveném. Mj. je diskutována problematika vykazování do RIV. Školení může být spojeno s konferencí pro odbornou veřejnost zaměřenou na problematiku vykazování a hodnocení výstupů vědy a výzkumu.  </w:t>
      </w:r>
    </w:p>
    <w:p w14:paraId="0000011C"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Číselníky RIV: Správa centrálních číselníků RIV vč. aktualizace.</w:t>
      </w:r>
    </w:p>
    <w:p w14:paraId="0000011D"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Správa číselníků forem RIV, správa literárních forem: Správa a kontrola literárních forem odevzdávaných do RIV.</w:t>
      </w:r>
    </w:p>
    <w:p w14:paraId="0000011E"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 xml:space="preserve">Správa a načítání impakt faktorů: Lze dodat pouze v případě, že klient má přístup do Web </w:t>
      </w:r>
      <w:proofErr w:type="spellStart"/>
      <w:r>
        <w:rPr>
          <w:color w:val="000000"/>
          <w:sz w:val="18"/>
          <w:szCs w:val="18"/>
        </w:rPr>
        <w:t>of</w:t>
      </w:r>
      <w:proofErr w:type="spellEnd"/>
      <w:r>
        <w:rPr>
          <w:color w:val="000000"/>
          <w:sz w:val="18"/>
          <w:szCs w:val="18"/>
        </w:rPr>
        <w:t xml:space="preserve"> Science, z důvodů dodržení licenčních podmínek.</w:t>
      </w:r>
    </w:p>
    <w:p w14:paraId="0000011F"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Poradenství k metodice RIV: Deset konzultačních hodin poskytnutých správci systému na straně Uživatele k metodice RIV elektronickou nebo telefonickou formou ve vztahu k smluvní Dostupnosti.</w:t>
      </w:r>
    </w:p>
    <w:p w14:paraId="00000120" w14:textId="77777777" w:rsidR="009C309C" w:rsidRDefault="007F735B">
      <w:pPr>
        <w:numPr>
          <w:ilvl w:val="3"/>
          <w:numId w:val="2"/>
        </w:numPr>
        <w:pBdr>
          <w:top w:val="nil"/>
          <w:left w:val="nil"/>
          <w:bottom w:val="nil"/>
          <w:right w:val="nil"/>
          <w:between w:val="nil"/>
        </w:pBdr>
        <w:tabs>
          <w:tab w:val="left" w:pos="1418"/>
        </w:tabs>
        <w:spacing w:before="40" w:after="40"/>
        <w:ind w:left="1418" w:hanging="851"/>
        <w:jc w:val="both"/>
      </w:pPr>
      <w:r>
        <w:rPr>
          <w:color w:val="000000"/>
          <w:sz w:val="18"/>
          <w:szCs w:val="18"/>
        </w:rPr>
        <w:t>Podpora při komunikaci s RVVI: Podpora při řešení rozporů a vyřazených výsledků z hodnocení RVVI.</w:t>
      </w:r>
    </w:p>
    <w:p w14:paraId="00000121" w14:textId="77777777" w:rsidR="009C309C" w:rsidRDefault="009C309C">
      <w:pPr>
        <w:pBdr>
          <w:top w:val="nil"/>
          <w:left w:val="nil"/>
          <w:bottom w:val="nil"/>
          <w:right w:val="nil"/>
          <w:between w:val="nil"/>
        </w:pBdr>
        <w:tabs>
          <w:tab w:val="left" w:pos="1418"/>
        </w:tabs>
        <w:spacing w:before="40" w:after="40"/>
        <w:ind w:left="360" w:hanging="360"/>
        <w:jc w:val="both"/>
        <w:rPr>
          <w:color w:val="000000"/>
          <w:sz w:val="18"/>
          <w:szCs w:val="18"/>
        </w:rPr>
      </w:pPr>
    </w:p>
    <w:p w14:paraId="00000122" w14:textId="77777777" w:rsidR="009C309C" w:rsidRDefault="009C309C"/>
    <w:p w14:paraId="00000123" w14:textId="77777777" w:rsidR="009C309C" w:rsidRDefault="009C309C"/>
    <w:p w14:paraId="00000124" w14:textId="77777777" w:rsidR="009C309C" w:rsidRDefault="009C309C"/>
    <w:p w14:paraId="00000125" w14:textId="77777777" w:rsidR="009C309C" w:rsidRDefault="009C309C"/>
    <w:p w14:paraId="62CAEDB5" w14:textId="1E0E25A1" w:rsidR="00B71A47" w:rsidRDefault="00B71A47">
      <w:pPr>
        <w:sectPr w:rsidR="00B71A47">
          <w:headerReference w:type="default" r:id="rId14"/>
          <w:pgSz w:w="11906" w:h="16838"/>
          <w:pgMar w:top="1843" w:right="1417" w:bottom="1560" w:left="1417" w:header="708" w:footer="708" w:gutter="0"/>
          <w:pgNumType w:start="1"/>
          <w:cols w:space="708"/>
        </w:sectPr>
      </w:pPr>
    </w:p>
    <w:p w14:paraId="00000127" w14:textId="77777777" w:rsidR="009C309C" w:rsidRDefault="007F735B">
      <w:pPr>
        <w:pBdr>
          <w:top w:val="nil"/>
          <w:left w:val="nil"/>
          <w:bottom w:val="single" w:sz="4" w:space="1" w:color="CA005D"/>
          <w:right w:val="nil"/>
          <w:between w:val="nil"/>
        </w:pBdr>
        <w:spacing w:after="240"/>
        <w:jc w:val="both"/>
        <w:rPr>
          <w:b/>
          <w:color w:val="000000"/>
          <w:sz w:val="40"/>
          <w:szCs w:val="40"/>
        </w:rPr>
      </w:pPr>
      <w:r>
        <w:rPr>
          <w:b/>
          <w:color w:val="8A003E"/>
          <w:sz w:val="40"/>
          <w:szCs w:val="40"/>
        </w:rPr>
        <w:lastRenderedPageBreak/>
        <w:t>Příloha č. 2 Servisní smlouvy:</w:t>
      </w:r>
      <w:r>
        <w:rPr>
          <w:b/>
          <w:color w:val="000000"/>
          <w:sz w:val="40"/>
          <w:szCs w:val="40"/>
        </w:rPr>
        <w:t xml:space="preserve"> Kalkulace ceny</w:t>
      </w:r>
    </w:p>
    <w:p w14:paraId="00000128" w14:textId="77777777" w:rsidR="009C309C" w:rsidRDefault="007F735B">
      <w:pPr>
        <w:tabs>
          <w:tab w:val="left" w:pos="0"/>
        </w:tabs>
        <w:jc w:val="both"/>
      </w:pPr>
      <w:r>
        <w:tab/>
      </w:r>
    </w:p>
    <w:p w14:paraId="00000129" w14:textId="77777777" w:rsidR="009C309C" w:rsidRDefault="007F735B">
      <w:r>
        <w:rPr>
          <w:noProof/>
        </w:rPr>
        <w:drawing>
          <wp:inline distT="114300" distB="114300" distL="114300" distR="114300" wp14:anchorId="5321E1C0" wp14:editId="55DE61AF">
            <wp:extent cx="5595049" cy="5983466"/>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595049" cy="5983466"/>
                    </a:xfrm>
                    <a:prstGeom prst="rect">
                      <a:avLst/>
                    </a:prstGeom>
                    <a:ln/>
                  </pic:spPr>
                </pic:pic>
              </a:graphicData>
            </a:graphic>
          </wp:inline>
        </w:drawing>
      </w:r>
    </w:p>
    <w:sectPr w:rsidR="009C309C">
      <w:headerReference w:type="default" r:id="rId16"/>
      <w:pgSz w:w="11906" w:h="16838"/>
      <w:pgMar w:top="1843" w:right="1417" w:bottom="156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E3CC4" w14:textId="77777777" w:rsidR="001653CC" w:rsidRDefault="001653CC">
      <w:r>
        <w:separator/>
      </w:r>
    </w:p>
  </w:endnote>
  <w:endnote w:type="continuationSeparator" w:id="0">
    <w:p w14:paraId="4252D9AF" w14:textId="77777777" w:rsidR="001653CC" w:rsidRDefault="0016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45715AE4-212B-4134-8909-B727251798A2}"/>
    <w:embedBold r:id="rId2" w:fontKey="{83E7FBE4-A0F1-41AB-A9F5-1C8C36CC9FB9}"/>
    <w:embedItalic r:id="rId3" w:fontKey="{7287468C-B371-473E-9667-B6BB52AE5BD9}"/>
    <w:embedBoldItalic r:id="rId4" w:fontKey="{42F2240A-5E48-49C7-B6D1-9FEE6B59EB2F}"/>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5" w:fontKey="{3842BB40-7413-4B99-A55C-ED571D22B854}"/>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D41789CE-1280-42DE-A7FA-222B64C2D495}"/>
    <w:embedBold r:id="rId7" w:fontKey="{27327109-4753-4A96-8346-67AB4E952173}"/>
    <w:embedItalic r:id="rId8" w:fontKey="{48D5E55C-9E5F-4298-90CC-AFA486F23B69}"/>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9" w:fontKey="{2A085AA9-AC26-4662-A186-99EEFB961CF2}"/>
    <w:embedBold r:id="rId10" w:fontKey="{5754A9A3-21CD-46AF-9D5A-C92C606845EF}"/>
    <w:embedBoldItalic r:id="rId11" w:fontKey="{B21E9D5B-FC9B-43E7-9673-FAAFE5BBC9D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2" w:fontKey="{FF7E383F-0CAF-467D-ACEA-3EBF5BBA8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B" w14:textId="77777777" w:rsidR="009C309C" w:rsidRDefault="009C309C">
    <w:pPr>
      <w:pBdr>
        <w:top w:val="single" w:sz="4" w:space="1" w:color="CA005D"/>
        <w:left w:val="nil"/>
        <w:bottom w:val="nil"/>
        <w:right w:val="nil"/>
        <w:between w:val="nil"/>
      </w:pBdr>
      <w:tabs>
        <w:tab w:val="center" w:pos="4536"/>
        <w:tab w:val="right" w:pos="9072"/>
      </w:tabs>
      <w:spacing w:before="120" w:after="120"/>
      <w:jc w:val="both"/>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0BF8D" w14:textId="77777777" w:rsidR="001653CC" w:rsidRDefault="001653CC">
      <w:r>
        <w:separator/>
      </w:r>
    </w:p>
  </w:footnote>
  <w:footnote w:type="continuationSeparator" w:id="0">
    <w:p w14:paraId="38B68B4F" w14:textId="77777777" w:rsidR="001653CC" w:rsidRDefault="00165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A" w14:textId="4399907F" w:rsidR="009C309C" w:rsidRDefault="007F735B">
    <w:pPr>
      <w:pBdr>
        <w:top w:val="nil"/>
        <w:left w:val="nil"/>
        <w:bottom w:val="nil"/>
        <w:right w:val="nil"/>
        <w:between w:val="nil"/>
      </w:pBdr>
      <w:tabs>
        <w:tab w:val="center" w:pos="4536"/>
        <w:tab w:val="right" w:pos="9072"/>
      </w:tabs>
      <w:rPr>
        <w:color w:val="7A0037"/>
        <w:sz w:val="18"/>
        <w:szCs w:val="18"/>
      </w:rPr>
    </w:pPr>
    <w:r>
      <w:rPr>
        <w:color w:val="7A0037"/>
        <w:sz w:val="18"/>
        <w:szCs w:val="18"/>
      </w:rPr>
      <w:t>Servisní smlouv</w:t>
    </w:r>
    <w:r>
      <w:rPr>
        <w:noProof/>
      </w:rPr>
      <w:drawing>
        <wp:anchor distT="0" distB="0" distL="0" distR="0" simplePos="0" relativeHeight="251658240" behindDoc="1" locked="0" layoutInCell="1" hidden="0" allowOverlap="1" wp14:anchorId="4F5655BC" wp14:editId="3E23DAFF">
          <wp:simplePos x="0" y="0"/>
          <wp:positionH relativeFrom="column">
            <wp:posOffset>5024755</wp:posOffset>
          </wp:positionH>
          <wp:positionV relativeFrom="paragraph">
            <wp:posOffset>-249551</wp:posOffset>
          </wp:positionV>
          <wp:extent cx="762000" cy="762000"/>
          <wp:effectExtent l="0" t="0" r="0" b="0"/>
          <wp:wrapNone/>
          <wp:docPr id="2105932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2000" cy="762000"/>
                  </a:xfrm>
                  <a:prstGeom prst="rect">
                    <a:avLst/>
                  </a:prstGeom>
                  <a:ln/>
                </pic:spPr>
              </pic:pic>
            </a:graphicData>
          </a:graphic>
        </wp:anchor>
      </w:drawing>
    </w:r>
    <w:r w:rsidR="00B81F84">
      <w:rPr>
        <w:color w:val="7A0037"/>
        <w:sz w:val="18"/>
        <w:szCs w:val="18"/>
      </w:rPr>
      <w:t>a</w:t>
    </w:r>
    <w:r w:rsidR="00EE6947">
      <w:rPr>
        <w:color w:val="7A0037"/>
        <w:sz w:val="18"/>
        <w:szCs w:val="18"/>
      </w:rPr>
      <w:t>:</w:t>
    </w:r>
    <w:r w:rsidR="00EE6947" w:rsidRPr="00EE6947">
      <w:rPr>
        <w:color w:val="7A0037"/>
        <w:sz w:val="18"/>
        <w:szCs w:val="18"/>
      </w:rPr>
      <w:t xml:space="preserve"> Technická podpora sw OBD v období od 01. 01. 2025 až 31. 12. 2028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0B039" w14:textId="31B80BCA" w:rsidR="00EE6947" w:rsidRDefault="00EE6947">
    <w:pPr>
      <w:pStyle w:val="Zhlav"/>
    </w:pPr>
    <w:r>
      <w:t>Č.j. 2024/</w:t>
    </w:r>
    <w:r w:rsidR="00670B2C">
      <w:t>5582/NM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1E17A" w14:textId="34092C2C" w:rsidR="00B71A47" w:rsidRDefault="00B71A47">
    <w:pPr>
      <w:pBdr>
        <w:top w:val="nil"/>
        <w:left w:val="nil"/>
        <w:bottom w:val="nil"/>
        <w:right w:val="nil"/>
        <w:between w:val="nil"/>
      </w:pBdr>
      <w:tabs>
        <w:tab w:val="center" w:pos="4536"/>
        <w:tab w:val="right" w:pos="9072"/>
      </w:tabs>
      <w:rPr>
        <w:color w:val="7A0037"/>
        <w:sz w:val="18"/>
        <w:szCs w:val="18"/>
      </w:rPr>
    </w:pPr>
    <w:r>
      <w:rPr>
        <w:color w:val="7A0037"/>
        <w:sz w:val="18"/>
        <w:szCs w:val="18"/>
      </w:rPr>
      <w:t xml:space="preserve">Příloha č. 1 Servisní smlouvy: </w:t>
    </w:r>
    <w:r>
      <w:rPr>
        <w:noProof/>
      </w:rPr>
      <w:drawing>
        <wp:anchor distT="0" distB="0" distL="0" distR="0" simplePos="0" relativeHeight="251662336" behindDoc="1" locked="0" layoutInCell="1" hidden="0" allowOverlap="1" wp14:anchorId="5123E4B4" wp14:editId="6909AFFE">
          <wp:simplePos x="0" y="0"/>
          <wp:positionH relativeFrom="column">
            <wp:posOffset>5024755</wp:posOffset>
          </wp:positionH>
          <wp:positionV relativeFrom="paragraph">
            <wp:posOffset>-249551</wp:posOffset>
          </wp:positionV>
          <wp:extent cx="762000" cy="762000"/>
          <wp:effectExtent l="0" t="0" r="0" b="0"/>
          <wp:wrapNone/>
          <wp:docPr id="2390803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2000" cy="762000"/>
                  </a:xfrm>
                  <a:prstGeom prst="rect">
                    <a:avLst/>
                  </a:prstGeom>
                  <a:ln/>
                </pic:spPr>
              </pic:pic>
            </a:graphicData>
          </a:graphic>
        </wp:anchor>
      </w:drawing>
    </w:r>
    <w:r>
      <w:rPr>
        <w:color w:val="7A0037"/>
        <w:sz w:val="18"/>
        <w:szCs w:val="18"/>
      </w:rPr>
      <w:t>Servisní podmínky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FBB9E" w14:textId="77777777" w:rsidR="00B71A47" w:rsidRDefault="00B71A47">
    <w:pPr>
      <w:pBdr>
        <w:top w:val="nil"/>
        <w:left w:val="nil"/>
        <w:bottom w:val="nil"/>
        <w:right w:val="nil"/>
        <w:between w:val="nil"/>
      </w:pBdr>
      <w:tabs>
        <w:tab w:val="center" w:pos="4536"/>
        <w:tab w:val="right" w:pos="9072"/>
      </w:tabs>
      <w:rPr>
        <w:color w:val="7A0037"/>
        <w:sz w:val="18"/>
        <w:szCs w:val="18"/>
      </w:rPr>
    </w:pPr>
    <w:r>
      <w:rPr>
        <w:color w:val="7A0037"/>
        <w:sz w:val="18"/>
        <w:szCs w:val="18"/>
      </w:rPr>
      <w:t>Příloha č. 2 Servisní smlouvy: Kalkulace ceny</w:t>
    </w:r>
    <w:r>
      <w:rPr>
        <w:noProof/>
      </w:rPr>
      <w:drawing>
        <wp:anchor distT="0" distB="0" distL="0" distR="0" simplePos="0" relativeHeight="251660288" behindDoc="1" locked="0" layoutInCell="1" hidden="0" allowOverlap="1" wp14:anchorId="235D55DF" wp14:editId="4EB40BB3">
          <wp:simplePos x="0" y="0"/>
          <wp:positionH relativeFrom="column">
            <wp:posOffset>5024755</wp:posOffset>
          </wp:positionH>
          <wp:positionV relativeFrom="paragraph">
            <wp:posOffset>-249551</wp:posOffset>
          </wp:positionV>
          <wp:extent cx="762000" cy="762000"/>
          <wp:effectExtent l="0" t="0" r="0" b="0"/>
          <wp:wrapNone/>
          <wp:docPr id="130395716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2000" cy="762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3C5D98"/>
    <w:multiLevelType w:val="multilevel"/>
    <w:tmpl w:val="904C4EE2"/>
    <w:lvl w:ilvl="0">
      <w:start w:val="1"/>
      <w:numFmt w:val="bullet"/>
      <w:pStyle w:val="Seznamsodrkami2"/>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53616F70"/>
    <w:multiLevelType w:val="multilevel"/>
    <w:tmpl w:val="DD3035F6"/>
    <w:lvl w:ilvl="0">
      <w:start w:val="1"/>
      <w:numFmt w:val="decimal"/>
      <w:pStyle w:val="Odrky"/>
      <w:lvlText w:val=""/>
      <w:lvlJc w:val="left"/>
      <w:pPr>
        <w:ind w:left="360" w:hanging="360"/>
      </w:pPr>
    </w:lvl>
    <w:lvl w:ilvl="1">
      <w:start w:val="1"/>
      <w:numFmt w:val="upperRoman"/>
      <w:lvlText w:val="%2."/>
      <w:lvlJc w:val="left"/>
      <w:pPr>
        <w:ind w:left="720" w:hanging="720"/>
      </w:pPr>
      <w:rPr>
        <w:b/>
        <w:i w:val="0"/>
        <w:color w:val="8A003E"/>
      </w:rPr>
    </w:lvl>
    <w:lvl w:ilvl="2">
      <w:start w:val="1"/>
      <w:numFmt w:val="decimal"/>
      <w:lvlText w:val="%2.%3"/>
      <w:lvlJc w:val="left"/>
      <w:pPr>
        <w:ind w:left="567" w:hanging="567"/>
      </w:pPr>
    </w:lvl>
    <w:lvl w:ilvl="3">
      <w:start w:val="1"/>
      <w:numFmt w:val="lowerLetter"/>
      <w:lvlText w:val="%2.%3.%4"/>
      <w:lvlJc w:val="left"/>
      <w:pPr>
        <w:ind w:left="851" w:hanging="284"/>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DB36A57"/>
    <w:multiLevelType w:val="multilevel"/>
    <w:tmpl w:val="0122EBB2"/>
    <w:lvl w:ilvl="0">
      <w:start w:val="1"/>
      <w:numFmt w:val="decimal"/>
      <w:pStyle w:val="Seznamsodrkami"/>
      <w:lvlText w:val=""/>
      <w:lvlJc w:val="left"/>
      <w:pPr>
        <w:ind w:left="360" w:hanging="360"/>
      </w:pPr>
    </w:lvl>
    <w:lvl w:ilvl="1">
      <w:start w:val="1"/>
      <w:numFmt w:val="upperRoman"/>
      <w:lvlText w:val="%2."/>
      <w:lvlJc w:val="left"/>
      <w:pPr>
        <w:ind w:left="720" w:hanging="720"/>
      </w:pPr>
      <w:rPr>
        <w:b/>
        <w:i w:val="0"/>
        <w:color w:val="8A003E"/>
      </w:rPr>
    </w:lvl>
    <w:lvl w:ilvl="2">
      <w:start w:val="1"/>
      <w:numFmt w:val="decimal"/>
      <w:lvlText w:val="%2.%3"/>
      <w:lvlJc w:val="left"/>
      <w:pPr>
        <w:ind w:left="567" w:hanging="567"/>
      </w:pPr>
      <w:rPr>
        <w:b w:val="0"/>
      </w:rPr>
    </w:lvl>
    <w:lvl w:ilvl="3">
      <w:start w:val="1"/>
      <w:numFmt w:val="lowerLetter"/>
      <w:lvlText w:val="%2.%3.%4"/>
      <w:lvlJc w:val="left"/>
      <w:pPr>
        <w:ind w:left="851" w:hanging="284"/>
      </w:pPr>
      <w:rPr>
        <w:sz w:val="20"/>
        <w:szCs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ED000F1"/>
    <w:multiLevelType w:val="multilevel"/>
    <w:tmpl w:val="95402374"/>
    <w:lvl w:ilvl="0">
      <w:start w:val="1"/>
      <w:numFmt w:val="bullet"/>
      <w:pStyle w:val="Nadpis1"/>
      <w:lvlText w:val="●"/>
      <w:lvlJc w:val="left"/>
      <w:pPr>
        <w:ind w:left="1512" w:hanging="360"/>
      </w:pPr>
      <w:rPr>
        <w:rFonts w:ascii="Noto Sans Symbols" w:eastAsia="Noto Sans Symbols" w:hAnsi="Noto Sans Symbols" w:cs="Noto Sans Symbols"/>
      </w:rPr>
    </w:lvl>
    <w:lvl w:ilvl="1">
      <w:start w:val="1"/>
      <w:numFmt w:val="bullet"/>
      <w:pStyle w:val="Nadpis2"/>
      <w:lvlText w:val="o"/>
      <w:lvlJc w:val="left"/>
      <w:pPr>
        <w:ind w:left="2232" w:hanging="360"/>
      </w:pPr>
      <w:rPr>
        <w:rFonts w:ascii="Courier New" w:eastAsia="Courier New" w:hAnsi="Courier New" w:cs="Courier New"/>
      </w:rPr>
    </w:lvl>
    <w:lvl w:ilvl="2">
      <w:start w:val="1"/>
      <w:numFmt w:val="bullet"/>
      <w:pStyle w:val="Nadpis3"/>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4" w15:restartNumberingAfterBreak="0">
    <w:nsid w:val="6FB65CBD"/>
    <w:multiLevelType w:val="multilevel"/>
    <w:tmpl w:val="0DEEC112"/>
    <w:lvl w:ilvl="0">
      <w:start w:val="1"/>
      <w:numFmt w:val="decimal"/>
      <w:pStyle w:val="Zakladnitextcislovany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Zakladnitextnecislovany"/>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AAC5F66"/>
    <w:multiLevelType w:val="multilevel"/>
    <w:tmpl w:val="37005206"/>
    <w:lvl w:ilvl="0">
      <w:start w:val="1"/>
      <w:numFmt w:val="decimal"/>
      <w:lvlText w:val="%1."/>
      <w:lvlJc w:val="left"/>
      <w:pPr>
        <w:ind w:left="397" w:hanging="397"/>
      </w:pPr>
      <w:rPr>
        <w:color w:val="8A003E"/>
      </w:rPr>
    </w:lvl>
    <w:lvl w:ilvl="1">
      <w:start w:val="1"/>
      <w:numFmt w:val="lowerLetter"/>
      <w:pStyle w:val="lneksmlouvy"/>
      <w:lvlText w:val="%2."/>
      <w:lvlJc w:val="left"/>
      <w:pPr>
        <w:ind w:left="794" w:hanging="397"/>
      </w:pPr>
      <w:rPr>
        <w:color w:val="8A003E"/>
      </w:rPr>
    </w:lvl>
    <w:lvl w:ilvl="2">
      <w:start w:val="1"/>
      <w:numFmt w:val="lowerRoman"/>
      <w:pStyle w:val="Odstavecsmlouvy"/>
      <w:lvlText w:val="%3."/>
      <w:lvlJc w:val="right"/>
      <w:pPr>
        <w:ind w:left="1191" w:hanging="114"/>
      </w:pPr>
      <w:rPr>
        <w:color w:val="8A003E"/>
      </w:rPr>
    </w:lvl>
    <w:lvl w:ilvl="3">
      <w:start w:val="1"/>
      <w:numFmt w:val="decimal"/>
      <w:pStyle w:val="Odrazkysmlouva"/>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7119283">
    <w:abstractNumId w:val="5"/>
  </w:num>
  <w:num w:numId="2" w16cid:durableId="999893843">
    <w:abstractNumId w:val="2"/>
  </w:num>
  <w:num w:numId="3" w16cid:durableId="2092508382">
    <w:abstractNumId w:val="0"/>
  </w:num>
  <w:num w:numId="4" w16cid:durableId="266885902">
    <w:abstractNumId w:val="3"/>
  </w:num>
  <w:num w:numId="5" w16cid:durableId="128981252">
    <w:abstractNumId w:val="1"/>
  </w:num>
  <w:num w:numId="6" w16cid:durableId="734819300">
    <w:abstractNumId w:val="4"/>
  </w:num>
  <w:num w:numId="7" w16cid:durableId="14286994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09C"/>
    <w:rsid w:val="00017C13"/>
    <w:rsid w:val="00032729"/>
    <w:rsid w:val="000930F0"/>
    <w:rsid w:val="0015424A"/>
    <w:rsid w:val="001653CC"/>
    <w:rsid w:val="001F59BB"/>
    <w:rsid w:val="00274643"/>
    <w:rsid w:val="00281DF5"/>
    <w:rsid w:val="002B71FE"/>
    <w:rsid w:val="00346E69"/>
    <w:rsid w:val="00353D8B"/>
    <w:rsid w:val="004133F3"/>
    <w:rsid w:val="004C728B"/>
    <w:rsid w:val="004D261B"/>
    <w:rsid w:val="00545682"/>
    <w:rsid w:val="00546105"/>
    <w:rsid w:val="005A0BF8"/>
    <w:rsid w:val="005D63EE"/>
    <w:rsid w:val="00670B2C"/>
    <w:rsid w:val="00707D7B"/>
    <w:rsid w:val="007F735B"/>
    <w:rsid w:val="00852AC5"/>
    <w:rsid w:val="008C1CF1"/>
    <w:rsid w:val="008E4539"/>
    <w:rsid w:val="00932651"/>
    <w:rsid w:val="009C309C"/>
    <w:rsid w:val="00A8631A"/>
    <w:rsid w:val="00B71A47"/>
    <w:rsid w:val="00B81F84"/>
    <w:rsid w:val="00B96EF7"/>
    <w:rsid w:val="00BB7C97"/>
    <w:rsid w:val="00C03574"/>
    <w:rsid w:val="00C63367"/>
    <w:rsid w:val="00CB566F"/>
    <w:rsid w:val="00D01713"/>
    <w:rsid w:val="00D164E8"/>
    <w:rsid w:val="00DD5363"/>
    <w:rsid w:val="00E517CD"/>
    <w:rsid w:val="00EE095B"/>
    <w:rsid w:val="00EE6947"/>
    <w:rsid w:val="00FA5B6D"/>
    <w:rsid w:val="00FB04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5F640"/>
  <w15:docId w15:val="{FE07505A-76AC-43A4-BB97-834D0163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E20A0"/>
  </w:style>
  <w:style w:type="paragraph" w:styleId="Nadpis1">
    <w:name w:val="heading 1"/>
    <w:basedOn w:val="Zkladntext"/>
    <w:next w:val="Zkladntext"/>
    <w:link w:val="Nadpis1Char"/>
    <w:uiPriority w:val="9"/>
    <w:qFormat/>
    <w:rsid w:val="000E20A0"/>
    <w:pPr>
      <w:keepNext/>
      <w:pageBreakBefore/>
      <w:numPr>
        <w:numId w:val="4"/>
      </w:numPr>
      <w:pBdr>
        <w:bottom w:val="single" w:sz="4" w:space="1" w:color="CA005D"/>
      </w:pBdr>
      <w:spacing w:before="0" w:after="360"/>
      <w:jc w:val="left"/>
      <w:outlineLvl w:val="0"/>
    </w:pPr>
    <w:rPr>
      <w:b/>
      <w:bCs/>
      <w:color w:val="8A003E"/>
      <w:kern w:val="32"/>
      <w:sz w:val="44"/>
      <w:szCs w:val="44"/>
    </w:rPr>
  </w:style>
  <w:style w:type="paragraph" w:styleId="Nadpis2">
    <w:name w:val="heading 2"/>
    <w:basedOn w:val="Nadpis1"/>
    <w:next w:val="Zkladntext"/>
    <w:link w:val="Nadpis2Char"/>
    <w:uiPriority w:val="9"/>
    <w:semiHidden/>
    <w:unhideWhenUsed/>
    <w:qFormat/>
    <w:rsid w:val="000E20A0"/>
    <w:pPr>
      <w:pageBreakBefore w:val="0"/>
      <w:numPr>
        <w:ilvl w:val="1"/>
      </w:numPr>
      <w:pBdr>
        <w:bottom w:val="none" w:sz="0" w:space="0" w:color="auto"/>
      </w:pBdr>
      <w:tabs>
        <w:tab w:val="num" w:pos="643"/>
      </w:tabs>
      <w:spacing w:before="600" w:after="240"/>
      <w:ind w:left="360"/>
      <w:outlineLvl w:val="1"/>
    </w:pPr>
    <w:rPr>
      <w:sz w:val="36"/>
      <w:szCs w:val="36"/>
    </w:rPr>
  </w:style>
  <w:style w:type="paragraph" w:styleId="Nadpis3">
    <w:name w:val="heading 3"/>
    <w:basedOn w:val="Nadpis1"/>
    <w:next w:val="Zkladntext"/>
    <w:link w:val="Nadpis3Char"/>
    <w:uiPriority w:val="9"/>
    <w:semiHidden/>
    <w:unhideWhenUsed/>
    <w:qFormat/>
    <w:rsid w:val="000E20A0"/>
    <w:pPr>
      <w:pageBreakBefore w:val="0"/>
      <w:numPr>
        <w:ilvl w:val="2"/>
      </w:numPr>
      <w:pBdr>
        <w:bottom w:val="none" w:sz="0" w:space="0" w:color="auto"/>
      </w:pBdr>
      <w:tabs>
        <w:tab w:val="num" w:pos="643"/>
      </w:tabs>
      <w:spacing w:before="600" w:after="240"/>
      <w:ind w:left="360"/>
      <w:outlineLvl w:val="2"/>
    </w:pPr>
    <w:rPr>
      <w:sz w:val="32"/>
      <w:szCs w:val="32"/>
    </w:rPr>
  </w:style>
  <w:style w:type="paragraph" w:styleId="Nadpis4">
    <w:name w:val="heading 4"/>
    <w:basedOn w:val="Zkladntext"/>
    <w:next w:val="Zkladntext"/>
    <w:link w:val="Nadpis4Char"/>
    <w:uiPriority w:val="9"/>
    <w:semiHidden/>
    <w:unhideWhenUsed/>
    <w:qFormat/>
    <w:rsid w:val="000E20A0"/>
    <w:pPr>
      <w:keepNext/>
      <w:spacing w:before="480"/>
      <w:jc w:val="left"/>
      <w:outlineLvl w:val="3"/>
    </w:pPr>
    <w:rPr>
      <w:b/>
      <w:bCs/>
      <w:color w:val="404040"/>
      <w:sz w:val="32"/>
      <w:szCs w:val="32"/>
    </w:rPr>
  </w:style>
  <w:style w:type="paragraph" w:styleId="Nadpis5">
    <w:name w:val="heading 5"/>
    <w:basedOn w:val="Zkladntext"/>
    <w:next w:val="Zkladntext"/>
    <w:link w:val="Nadpis5Char"/>
    <w:uiPriority w:val="9"/>
    <w:semiHidden/>
    <w:unhideWhenUsed/>
    <w:qFormat/>
    <w:rsid w:val="000E20A0"/>
    <w:pPr>
      <w:spacing w:before="480"/>
      <w:jc w:val="left"/>
      <w:outlineLvl w:val="4"/>
    </w:pPr>
    <w:rPr>
      <w:b/>
      <w:bCs/>
      <w:color w:val="404040"/>
      <w:sz w:val="28"/>
      <w:szCs w:val="28"/>
    </w:rPr>
  </w:style>
  <w:style w:type="paragraph" w:styleId="Nadpis6">
    <w:name w:val="heading 6"/>
    <w:basedOn w:val="Normln"/>
    <w:next w:val="Normln"/>
    <w:link w:val="Nadpis6Char"/>
    <w:uiPriority w:val="9"/>
    <w:semiHidden/>
    <w:unhideWhenUsed/>
    <w:qFormat/>
    <w:rsid w:val="000E20A0"/>
    <w:pPr>
      <w:keepNext/>
      <w:keepLines/>
      <w:spacing w:before="200"/>
      <w:outlineLvl w:val="5"/>
    </w:pPr>
    <w:rPr>
      <w:rFonts w:ascii="Cambria" w:eastAsia="MS Gothic" w:hAnsi="Cambria" w:cs="Cambria"/>
      <w:i/>
      <w:iCs/>
      <w:color w:val="243F60"/>
      <w:sz w:val="20"/>
      <w:szCs w:val="20"/>
      <w:lang w:val="en-US" w:eastAsia="en-US"/>
    </w:rPr>
  </w:style>
  <w:style w:type="paragraph" w:styleId="Nadpis7">
    <w:name w:val="heading 7"/>
    <w:basedOn w:val="Normln"/>
    <w:next w:val="Normln"/>
    <w:link w:val="Nadpis7Char"/>
    <w:uiPriority w:val="99"/>
    <w:qFormat/>
    <w:rsid w:val="000E20A0"/>
    <w:pPr>
      <w:keepNext/>
      <w:keepLines/>
      <w:spacing w:before="200"/>
      <w:outlineLvl w:val="6"/>
    </w:pPr>
    <w:rPr>
      <w:rFonts w:ascii="Cambria" w:eastAsia="MS Gothic" w:hAnsi="Cambria" w:cs="Cambria"/>
      <w:i/>
      <w:iCs/>
      <w:color w:val="404040"/>
      <w:sz w:val="20"/>
      <w:szCs w:val="20"/>
      <w:lang w:val="en-US" w:eastAsia="en-US"/>
    </w:rPr>
  </w:style>
  <w:style w:type="paragraph" w:styleId="Nadpis8">
    <w:name w:val="heading 8"/>
    <w:basedOn w:val="Normln"/>
    <w:next w:val="Normln"/>
    <w:link w:val="Nadpis8Char"/>
    <w:uiPriority w:val="99"/>
    <w:qFormat/>
    <w:rsid w:val="000E20A0"/>
    <w:pPr>
      <w:keepNext/>
      <w:keepLines/>
      <w:spacing w:before="200"/>
      <w:outlineLvl w:val="7"/>
    </w:pPr>
    <w:rPr>
      <w:rFonts w:ascii="Cambria" w:eastAsia="MS Gothic" w:hAnsi="Cambria" w:cs="Cambria"/>
      <w:color w:val="404040"/>
      <w:sz w:val="20"/>
      <w:szCs w:val="20"/>
      <w:lang w:val="en-US" w:eastAsia="en-US"/>
    </w:rPr>
  </w:style>
  <w:style w:type="paragraph" w:styleId="Nadpis9">
    <w:name w:val="heading 9"/>
    <w:basedOn w:val="Normln"/>
    <w:next w:val="Zkladntext"/>
    <w:link w:val="Nadpis9Char"/>
    <w:uiPriority w:val="99"/>
    <w:qFormat/>
    <w:rsid w:val="000E20A0"/>
    <w:pPr>
      <w:keepNext/>
      <w:tabs>
        <w:tab w:val="num" w:pos="2160"/>
      </w:tabs>
      <w:spacing w:before="80" w:after="60"/>
      <w:outlineLvl w:val="8"/>
    </w:pPr>
    <w:rPr>
      <w:b/>
      <w:bCs/>
      <w:i/>
      <w:iCs/>
      <w:kern w:val="28"/>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Nadpis1Char">
    <w:name w:val="Nadpis 1 Char"/>
    <w:link w:val="Nadpis1"/>
    <w:uiPriority w:val="99"/>
    <w:locked/>
    <w:rsid w:val="00E72B96"/>
    <w:rPr>
      <w:rFonts w:ascii="Calibri" w:hAnsi="Calibri" w:cs="Calibri"/>
      <w:b/>
      <w:bCs/>
      <w:color w:val="8A003E"/>
      <w:kern w:val="32"/>
      <w:sz w:val="44"/>
      <w:szCs w:val="44"/>
      <w:lang w:eastAsia="en-US"/>
    </w:rPr>
  </w:style>
  <w:style w:type="character" w:customStyle="1" w:styleId="Nadpis2Char">
    <w:name w:val="Nadpis 2 Char"/>
    <w:link w:val="Nadpis2"/>
    <w:uiPriority w:val="99"/>
    <w:locked/>
    <w:rsid w:val="00E72B96"/>
    <w:rPr>
      <w:rFonts w:ascii="Calibri" w:hAnsi="Calibri" w:cs="Calibri"/>
      <w:b/>
      <w:bCs/>
      <w:color w:val="8A003E"/>
      <w:kern w:val="32"/>
      <w:sz w:val="36"/>
      <w:szCs w:val="36"/>
      <w:lang w:eastAsia="en-US"/>
    </w:rPr>
  </w:style>
  <w:style w:type="character" w:customStyle="1" w:styleId="Nadpis3Char">
    <w:name w:val="Nadpis 3 Char"/>
    <w:link w:val="Nadpis3"/>
    <w:uiPriority w:val="99"/>
    <w:locked/>
    <w:rsid w:val="00E72B96"/>
    <w:rPr>
      <w:rFonts w:ascii="Calibri" w:hAnsi="Calibri" w:cs="Calibri"/>
      <w:b/>
      <w:bCs/>
      <w:color w:val="8A003E"/>
      <w:kern w:val="32"/>
      <w:sz w:val="32"/>
      <w:szCs w:val="32"/>
      <w:lang w:eastAsia="en-US"/>
    </w:rPr>
  </w:style>
  <w:style w:type="character" w:customStyle="1" w:styleId="Nadpis4Char">
    <w:name w:val="Nadpis 4 Char"/>
    <w:link w:val="Nadpis4"/>
    <w:uiPriority w:val="99"/>
    <w:locked/>
    <w:rsid w:val="000E20A0"/>
    <w:rPr>
      <w:rFonts w:ascii="Calibri" w:hAnsi="Calibri" w:cs="Calibri"/>
      <w:b/>
      <w:bCs/>
      <w:color w:val="404040"/>
      <w:sz w:val="28"/>
      <w:szCs w:val="28"/>
      <w:lang w:eastAsia="en-US"/>
    </w:rPr>
  </w:style>
  <w:style w:type="character" w:customStyle="1" w:styleId="Nadpis5Char">
    <w:name w:val="Nadpis 5 Char"/>
    <w:link w:val="Nadpis5"/>
    <w:uiPriority w:val="99"/>
    <w:locked/>
    <w:rsid w:val="000E20A0"/>
    <w:rPr>
      <w:rFonts w:ascii="Calibri" w:hAnsi="Calibri" w:cs="Calibri"/>
      <w:b/>
      <w:bCs/>
      <w:color w:val="404040"/>
      <w:sz w:val="26"/>
      <w:szCs w:val="26"/>
      <w:lang w:eastAsia="en-US"/>
    </w:rPr>
  </w:style>
  <w:style w:type="character" w:customStyle="1" w:styleId="Nadpis6Char">
    <w:name w:val="Nadpis 6 Char"/>
    <w:link w:val="Nadpis6"/>
    <w:uiPriority w:val="99"/>
    <w:semiHidden/>
    <w:locked/>
    <w:rsid w:val="000E20A0"/>
    <w:rPr>
      <w:rFonts w:ascii="Cambria" w:eastAsia="MS Gothic" w:hAnsi="Cambria" w:cs="Cambria"/>
      <w:i/>
      <w:iCs/>
      <w:color w:val="243F60"/>
      <w:lang w:val="en-US" w:eastAsia="en-US"/>
    </w:rPr>
  </w:style>
  <w:style w:type="character" w:customStyle="1" w:styleId="Nadpis7Char">
    <w:name w:val="Nadpis 7 Char"/>
    <w:link w:val="Nadpis7"/>
    <w:uiPriority w:val="99"/>
    <w:semiHidden/>
    <w:locked/>
    <w:rsid w:val="000E20A0"/>
    <w:rPr>
      <w:rFonts w:ascii="Cambria" w:eastAsia="MS Gothic" w:hAnsi="Cambria" w:cs="Cambria"/>
      <w:i/>
      <w:iCs/>
      <w:color w:val="404040"/>
      <w:lang w:val="en-US" w:eastAsia="en-US"/>
    </w:rPr>
  </w:style>
  <w:style w:type="character" w:customStyle="1" w:styleId="Nadpis8Char">
    <w:name w:val="Nadpis 8 Char"/>
    <w:link w:val="Nadpis8"/>
    <w:uiPriority w:val="99"/>
    <w:locked/>
    <w:rsid w:val="000E20A0"/>
    <w:rPr>
      <w:rFonts w:ascii="Cambria" w:eastAsia="MS Gothic" w:hAnsi="Cambria" w:cs="Cambria"/>
      <w:color w:val="404040"/>
      <w:lang w:val="en-US" w:eastAsia="en-US"/>
    </w:rPr>
  </w:style>
  <w:style w:type="character" w:customStyle="1" w:styleId="Nadpis9Char">
    <w:name w:val="Nadpis 9 Char"/>
    <w:link w:val="Nadpis9"/>
    <w:uiPriority w:val="99"/>
    <w:semiHidden/>
    <w:locked/>
    <w:rsid w:val="00E72B96"/>
    <w:rPr>
      <w:rFonts w:ascii="Cambria" w:hAnsi="Cambria" w:cs="Cambria"/>
    </w:rPr>
  </w:style>
  <w:style w:type="paragraph" w:styleId="Zpat">
    <w:name w:val="footer"/>
    <w:aliases w:val="Zápatí - text"/>
    <w:basedOn w:val="Zkladntext"/>
    <w:link w:val="ZpatChar"/>
    <w:rsid w:val="000E20A0"/>
    <w:pPr>
      <w:pBdr>
        <w:top w:val="single" w:sz="4" w:space="1" w:color="CA005D"/>
      </w:pBdr>
      <w:tabs>
        <w:tab w:val="center" w:pos="4536"/>
        <w:tab w:val="right" w:pos="9072"/>
      </w:tabs>
    </w:pPr>
    <w:rPr>
      <w:sz w:val="16"/>
      <w:szCs w:val="16"/>
    </w:rPr>
  </w:style>
  <w:style w:type="character" w:customStyle="1" w:styleId="ZpatChar">
    <w:name w:val="Zápatí Char"/>
    <w:aliases w:val="Zápatí - text Char"/>
    <w:link w:val="Zpat"/>
    <w:locked/>
    <w:rsid w:val="000E20A0"/>
    <w:rPr>
      <w:rFonts w:ascii="Calibri" w:hAnsi="Calibri" w:cs="Calibri"/>
      <w:sz w:val="22"/>
      <w:szCs w:val="22"/>
      <w:lang w:eastAsia="en-US"/>
    </w:rPr>
  </w:style>
  <w:style w:type="paragraph" w:customStyle="1" w:styleId="Zpat-nadpis">
    <w:name w:val="Zápatí - nadpis"/>
    <w:basedOn w:val="Zpat"/>
    <w:next w:val="Zpat"/>
    <w:uiPriority w:val="99"/>
    <w:rsid w:val="000E20A0"/>
    <w:pPr>
      <w:pBdr>
        <w:top w:val="none" w:sz="0" w:space="0" w:color="auto"/>
      </w:pBdr>
    </w:pPr>
    <w:rPr>
      <w:b/>
      <w:bCs/>
    </w:rPr>
  </w:style>
  <w:style w:type="paragraph" w:styleId="Zhlav">
    <w:name w:val="header"/>
    <w:basedOn w:val="Normln"/>
    <w:link w:val="ZhlavChar"/>
    <w:rsid w:val="000E20A0"/>
    <w:pPr>
      <w:tabs>
        <w:tab w:val="center" w:pos="4536"/>
        <w:tab w:val="right" w:pos="9072"/>
      </w:tabs>
    </w:pPr>
    <w:rPr>
      <w:color w:val="7A0037"/>
      <w:sz w:val="18"/>
      <w:szCs w:val="18"/>
    </w:rPr>
  </w:style>
  <w:style w:type="character" w:customStyle="1" w:styleId="ZhlavChar">
    <w:name w:val="Záhlaví Char"/>
    <w:link w:val="Zhlav"/>
    <w:locked/>
    <w:rsid w:val="000E20A0"/>
    <w:rPr>
      <w:rFonts w:ascii="Calibri" w:hAnsi="Calibri" w:cs="Calibri"/>
      <w:color w:val="7A0037"/>
      <w:sz w:val="24"/>
      <w:szCs w:val="24"/>
    </w:rPr>
  </w:style>
  <w:style w:type="table" w:styleId="Mkatabulky">
    <w:name w:val="Table Grid"/>
    <w:basedOn w:val="Normlntabulka"/>
    <w:uiPriority w:val="99"/>
    <w:rsid w:val="000E2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uiPriority w:val="99"/>
    <w:rsid w:val="000E20A0"/>
    <w:pPr>
      <w:spacing w:before="120" w:after="120"/>
      <w:jc w:val="both"/>
    </w:pPr>
    <w:rPr>
      <w:sz w:val="22"/>
      <w:szCs w:val="22"/>
      <w:lang w:eastAsia="en-US"/>
    </w:rPr>
  </w:style>
  <w:style w:type="character" w:customStyle="1" w:styleId="ZkladntextChar">
    <w:name w:val="Základní text Char"/>
    <w:link w:val="Zkladntext"/>
    <w:uiPriority w:val="99"/>
    <w:locked/>
    <w:rsid w:val="000E20A0"/>
    <w:rPr>
      <w:rFonts w:ascii="Calibri" w:hAnsi="Calibri" w:cs="Calibri"/>
      <w:sz w:val="22"/>
      <w:szCs w:val="22"/>
      <w:lang w:eastAsia="en-US"/>
    </w:rPr>
  </w:style>
  <w:style w:type="paragraph" w:customStyle="1" w:styleId="Nadpistitulnstrana">
    <w:name w:val="Nadpis titulní strana"/>
    <w:basedOn w:val="Zkladntext"/>
    <w:next w:val="Zkladntext"/>
    <w:uiPriority w:val="99"/>
    <w:rsid w:val="000E20A0"/>
    <w:pPr>
      <w:spacing w:before="1680" w:after="240"/>
      <w:jc w:val="center"/>
    </w:pPr>
    <w:rPr>
      <w:b/>
      <w:bCs/>
      <w:color w:val="CA005D"/>
      <w:sz w:val="64"/>
      <w:szCs w:val="64"/>
    </w:rPr>
  </w:style>
  <w:style w:type="paragraph" w:customStyle="1" w:styleId="Autortitulnstrana">
    <w:name w:val="Autor titulní strana"/>
    <w:basedOn w:val="Zkladntext"/>
    <w:uiPriority w:val="99"/>
    <w:rsid w:val="000E20A0"/>
    <w:rPr>
      <w:i/>
      <w:iCs/>
      <w:color w:val="000000"/>
    </w:rPr>
  </w:style>
  <w:style w:type="paragraph" w:customStyle="1" w:styleId="Zvraznntextu">
    <w:name w:val="Zvýraznění textu"/>
    <w:basedOn w:val="Zkladntext"/>
    <w:link w:val="ZvraznntextuChar"/>
    <w:uiPriority w:val="99"/>
    <w:rsid w:val="000E20A0"/>
    <w:rPr>
      <w:b/>
      <w:bCs/>
      <w:color w:val="CA005D"/>
    </w:rPr>
  </w:style>
  <w:style w:type="character" w:customStyle="1" w:styleId="ZvraznntextuChar">
    <w:name w:val="Zvýraznění textu Char"/>
    <w:link w:val="Zvraznntextu"/>
    <w:uiPriority w:val="99"/>
    <w:locked/>
    <w:rsid w:val="000E20A0"/>
    <w:rPr>
      <w:rFonts w:ascii="Calibri" w:hAnsi="Calibri" w:cs="Calibri"/>
      <w:b/>
      <w:bCs/>
      <w:color w:val="CA005D"/>
      <w:sz w:val="22"/>
      <w:szCs w:val="22"/>
      <w:lang w:eastAsia="en-US"/>
    </w:rPr>
  </w:style>
  <w:style w:type="paragraph" w:customStyle="1" w:styleId="Tabulka-lichdek">
    <w:name w:val="Tabulka - lichý řádek"/>
    <w:basedOn w:val="Zkladntext"/>
    <w:uiPriority w:val="99"/>
    <w:rsid w:val="000E20A0"/>
    <w:pPr>
      <w:spacing w:after="0"/>
    </w:pPr>
    <w:rPr>
      <w:color w:val="CA005D"/>
    </w:rPr>
  </w:style>
  <w:style w:type="paragraph" w:customStyle="1" w:styleId="Tabulka-suddek">
    <w:name w:val="Tabulka - sudý řádek"/>
    <w:basedOn w:val="Zkladntext"/>
    <w:uiPriority w:val="99"/>
    <w:rsid w:val="000E20A0"/>
    <w:pPr>
      <w:spacing w:after="0"/>
    </w:pPr>
    <w:rPr>
      <w:color w:val="6A1A41"/>
    </w:rPr>
  </w:style>
  <w:style w:type="paragraph" w:customStyle="1" w:styleId="Tabulka-zhlav">
    <w:name w:val="Tabulka - záhlaví"/>
    <w:basedOn w:val="Zkladntext"/>
    <w:uiPriority w:val="99"/>
    <w:rsid w:val="000E20A0"/>
    <w:pPr>
      <w:spacing w:after="0"/>
    </w:pPr>
  </w:style>
  <w:style w:type="paragraph" w:customStyle="1" w:styleId="Tabulka-text">
    <w:name w:val="Tabulka - text"/>
    <w:basedOn w:val="Zkladntext"/>
    <w:uiPriority w:val="99"/>
    <w:rsid w:val="000E20A0"/>
    <w:pPr>
      <w:spacing w:before="60" w:after="60"/>
    </w:pPr>
    <w:rPr>
      <w:color w:val="000000"/>
    </w:rPr>
  </w:style>
  <w:style w:type="paragraph" w:customStyle="1" w:styleId="Odstavecsmlouvy">
    <w:name w:val="Odstavec smlouvy"/>
    <w:basedOn w:val="Zkladntext"/>
    <w:link w:val="OdstavecsmlouvyChar"/>
    <w:rsid w:val="000E20A0"/>
    <w:pPr>
      <w:numPr>
        <w:ilvl w:val="2"/>
        <w:numId w:val="1"/>
      </w:numPr>
      <w:outlineLvl w:val="1"/>
    </w:pPr>
    <w:rPr>
      <w:rFonts w:cs="Times New Roman"/>
      <w:sz w:val="20"/>
      <w:szCs w:val="20"/>
      <w:lang w:val="x-none"/>
    </w:rPr>
  </w:style>
  <w:style w:type="paragraph" w:customStyle="1" w:styleId="lneksmlouvy">
    <w:name w:val="Článek smlouvy"/>
    <w:basedOn w:val="Zkladntext"/>
    <w:next w:val="Odstavecsmlouvy"/>
    <w:rsid w:val="000E20A0"/>
    <w:pPr>
      <w:keepNext/>
      <w:numPr>
        <w:ilvl w:val="1"/>
        <w:numId w:val="1"/>
      </w:numPr>
      <w:pBdr>
        <w:bottom w:val="single" w:sz="4" w:space="1" w:color="CA005D"/>
      </w:pBdr>
      <w:spacing w:before="360" w:after="180"/>
      <w:jc w:val="center"/>
      <w:outlineLvl w:val="1"/>
    </w:pPr>
    <w:rPr>
      <w:b/>
      <w:bCs/>
      <w:smallCaps/>
      <w:sz w:val="28"/>
      <w:szCs w:val="28"/>
    </w:rPr>
  </w:style>
  <w:style w:type="table" w:customStyle="1" w:styleId="TabulkaDERS">
    <w:name w:val="Tabulka DERS"/>
    <w:uiPriority w:val="99"/>
    <w:rsid w:val="000E20A0"/>
    <w:pPr>
      <w:keepNext/>
    </w:pPr>
    <w:rPr>
      <w:sz w:val="26"/>
      <w:szCs w:val="26"/>
    </w:r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style>
  <w:style w:type="character" w:styleId="Odkaznakoment">
    <w:name w:val="annotation reference"/>
    <w:semiHidden/>
    <w:rsid w:val="000E20A0"/>
    <w:rPr>
      <w:rFonts w:cs="Times New Roman"/>
      <w:sz w:val="16"/>
      <w:szCs w:val="16"/>
    </w:rPr>
  </w:style>
  <w:style w:type="paragraph" w:styleId="Textkomente">
    <w:name w:val="annotation text"/>
    <w:basedOn w:val="Normln"/>
    <w:link w:val="TextkomenteChar"/>
    <w:uiPriority w:val="99"/>
    <w:rsid w:val="000E20A0"/>
    <w:rPr>
      <w:sz w:val="20"/>
      <w:szCs w:val="20"/>
    </w:rPr>
  </w:style>
  <w:style w:type="character" w:customStyle="1" w:styleId="TextkomenteChar">
    <w:name w:val="Text komentáře Char"/>
    <w:link w:val="Textkomente"/>
    <w:uiPriority w:val="99"/>
    <w:locked/>
    <w:rsid w:val="00E72B96"/>
    <w:rPr>
      <w:rFonts w:ascii="Calibri" w:hAnsi="Calibri" w:cs="Calibri"/>
      <w:sz w:val="20"/>
      <w:szCs w:val="20"/>
    </w:rPr>
  </w:style>
  <w:style w:type="paragraph" w:styleId="Pedmtkomente">
    <w:name w:val="annotation subject"/>
    <w:basedOn w:val="Textkomente"/>
    <w:next w:val="Textkomente"/>
    <w:link w:val="PedmtkomenteChar"/>
    <w:uiPriority w:val="99"/>
    <w:semiHidden/>
    <w:rsid w:val="000E20A0"/>
    <w:rPr>
      <w:b/>
      <w:bCs/>
    </w:rPr>
  </w:style>
  <w:style w:type="character" w:customStyle="1" w:styleId="PedmtkomenteChar">
    <w:name w:val="Předmět komentáře Char"/>
    <w:link w:val="Pedmtkomente"/>
    <w:uiPriority w:val="99"/>
    <w:semiHidden/>
    <w:locked/>
    <w:rsid w:val="00E72B96"/>
    <w:rPr>
      <w:rFonts w:ascii="Calibri" w:hAnsi="Calibri" w:cs="Calibri"/>
      <w:b/>
      <w:bCs/>
      <w:sz w:val="20"/>
      <w:szCs w:val="20"/>
    </w:rPr>
  </w:style>
  <w:style w:type="paragraph" w:styleId="Textbubliny">
    <w:name w:val="Balloon Text"/>
    <w:basedOn w:val="Normln"/>
    <w:link w:val="TextbublinyChar"/>
    <w:uiPriority w:val="99"/>
    <w:semiHidden/>
    <w:rsid w:val="000E20A0"/>
    <w:rPr>
      <w:rFonts w:ascii="Tahoma" w:hAnsi="Tahoma" w:cs="Tahoma"/>
      <w:sz w:val="16"/>
      <w:szCs w:val="16"/>
    </w:rPr>
  </w:style>
  <w:style w:type="character" w:customStyle="1" w:styleId="TextbublinyChar">
    <w:name w:val="Text bubliny Char"/>
    <w:link w:val="Textbubliny"/>
    <w:uiPriority w:val="99"/>
    <w:locked/>
    <w:rsid w:val="000E20A0"/>
    <w:rPr>
      <w:rFonts w:ascii="Tahoma" w:hAnsi="Tahoma" w:cs="Tahoma"/>
      <w:sz w:val="16"/>
      <w:szCs w:val="16"/>
    </w:rPr>
  </w:style>
  <w:style w:type="paragraph" w:customStyle="1" w:styleId="Odrky">
    <w:name w:val="Odrážky"/>
    <w:basedOn w:val="Zkladntext"/>
    <w:rsid w:val="000E20A0"/>
    <w:pPr>
      <w:numPr>
        <w:numId w:val="5"/>
      </w:numPr>
      <w:tabs>
        <w:tab w:val="left" w:pos="1134"/>
      </w:tabs>
      <w:spacing w:before="60" w:after="60"/>
      <w:ind w:left="1020" w:hanging="340"/>
    </w:pPr>
  </w:style>
  <w:style w:type="paragraph" w:customStyle="1" w:styleId="Zakladnitextcislovany2">
    <w:name w:val="Zakladni_text_cislovany_2"/>
    <w:basedOn w:val="Zkladntext"/>
    <w:uiPriority w:val="99"/>
    <w:rsid w:val="000E20A0"/>
    <w:pPr>
      <w:numPr>
        <w:numId w:val="6"/>
      </w:numPr>
      <w:spacing w:before="40" w:after="40"/>
      <w:outlineLvl w:val="1"/>
    </w:pPr>
    <w:rPr>
      <w:rFonts w:ascii="Arial" w:hAnsi="Arial" w:cs="Arial"/>
      <w:sz w:val="20"/>
      <w:szCs w:val="20"/>
      <w:lang w:eastAsia="cs-CZ"/>
    </w:rPr>
  </w:style>
  <w:style w:type="character" w:customStyle="1" w:styleId="Zakladnitextcislovany2Char">
    <w:name w:val="Zakladni_text_cislovany_2 Char"/>
    <w:uiPriority w:val="99"/>
    <w:rsid w:val="000E20A0"/>
    <w:rPr>
      <w:rFonts w:ascii="Arial" w:hAnsi="Arial"/>
      <w:lang w:val="cs-CZ" w:eastAsia="cs-CZ"/>
    </w:rPr>
  </w:style>
  <w:style w:type="paragraph" w:customStyle="1" w:styleId="Zakladnitextnecislovany">
    <w:name w:val="Zakladni_text_necislovany"/>
    <w:basedOn w:val="Zakladnitextcislovany2"/>
    <w:autoRedefine/>
    <w:uiPriority w:val="99"/>
    <w:rsid w:val="000E20A0"/>
    <w:pPr>
      <w:numPr>
        <w:ilvl w:val="6"/>
        <w:numId w:val="7"/>
      </w:numPr>
      <w:tabs>
        <w:tab w:val="num" w:pos="432"/>
        <w:tab w:val="num" w:pos="1985"/>
      </w:tabs>
      <w:ind w:left="1985" w:hanging="709"/>
    </w:pPr>
  </w:style>
  <w:style w:type="paragraph" w:customStyle="1" w:styleId="Zakladnitextodsazeny">
    <w:name w:val="Zakladni_text_odsazeny"/>
    <w:basedOn w:val="Zakladnitextnecislovany"/>
    <w:uiPriority w:val="99"/>
    <w:rsid w:val="000E20A0"/>
  </w:style>
  <w:style w:type="character" w:customStyle="1" w:styleId="OdstavecsmlouvyChar">
    <w:name w:val="Odstavec smlouvy Char"/>
    <w:link w:val="Odstavecsmlouvy"/>
    <w:locked/>
    <w:rsid w:val="000E20A0"/>
    <w:rPr>
      <w:rFonts w:ascii="Calibri" w:hAnsi="Calibri"/>
      <w:lang w:val="x-none" w:eastAsia="en-US"/>
    </w:rPr>
  </w:style>
  <w:style w:type="paragraph" w:customStyle="1" w:styleId="Rozvrendokumentu1">
    <w:name w:val="Rozvržení dokumentu1"/>
    <w:basedOn w:val="Normln"/>
    <w:uiPriority w:val="99"/>
    <w:semiHidden/>
    <w:rsid w:val="000E20A0"/>
    <w:pPr>
      <w:shd w:val="clear" w:color="auto" w:fill="000080"/>
    </w:pPr>
    <w:rPr>
      <w:rFonts w:ascii="Tahoma" w:hAnsi="Tahoma" w:cs="Tahoma"/>
      <w:sz w:val="20"/>
      <w:szCs w:val="20"/>
    </w:rPr>
  </w:style>
  <w:style w:type="character" w:styleId="Hypertextovodkaz">
    <w:name w:val="Hyperlink"/>
    <w:uiPriority w:val="99"/>
    <w:rsid w:val="000E20A0"/>
    <w:rPr>
      <w:rFonts w:cs="Times New Roman"/>
      <w:color w:val="0000FF"/>
      <w:u w:val="single"/>
    </w:rPr>
  </w:style>
  <w:style w:type="paragraph" w:customStyle="1" w:styleId="Tabulkanadpis">
    <w:name w:val="Tabulka_nadpis"/>
    <w:basedOn w:val="Zkladntext"/>
    <w:uiPriority w:val="99"/>
    <w:rsid w:val="000E20A0"/>
    <w:pPr>
      <w:shd w:val="clear" w:color="auto" w:fill="CCCCCC"/>
      <w:spacing w:after="0"/>
      <w:jc w:val="center"/>
    </w:pPr>
    <w:rPr>
      <w:rFonts w:ascii="Tahoma" w:hAnsi="Tahoma" w:cs="Tahoma"/>
      <w:b/>
      <w:bCs/>
      <w:smallCaps/>
      <w:sz w:val="18"/>
      <w:szCs w:val="18"/>
    </w:rPr>
  </w:style>
  <w:style w:type="paragraph" w:customStyle="1" w:styleId="Tabulkatext">
    <w:name w:val="Tabulka_text"/>
    <w:basedOn w:val="Zkladntext"/>
    <w:uiPriority w:val="99"/>
    <w:rsid w:val="000E20A0"/>
    <w:pPr>
      <w:spacing w:before="60" w:after="60"/>
      <w:ind w:left="57"/>
    </w:pPr>
    <w:rPr>
      <w:sz w:val="18"/>
      <w:szCs w:val="18"/>
    </w:rPr>
  </w:style>
  <w:style w:type="paragraph" w:customStyle="1" w:styleId="Legenda">
    <w:name w:val="Legenda"/>
    <w:basedOn w:val="Zkladntext"/>
    <w:next w:val="legendadaltext"/>
    <w:uiPriority w:val="99"/>
    <w:rsid w:val="000E20A0"/>
    <w:pPr>
      <w:tabs>
        <w:tab w:val="num" w:pos="720"/>
      </w:tabs>
      <w:spacing w:before="60" w:after="60"/>
      <w:ind w:left="720" w:hanging="720"/>
    </w:pPr>
    <w:rPr>
      <w:rFonts w:ascii="Tahoma" w:hAnsi="Tahoma" w:cs="Tahoma"/>
      <w:sz w:val="16"/>
      <w:szCs w:val="16"/>
    </w:rPr>
  </w:style>
  <w:style w:type="paragraph" w:customStyle="1" w:styleId="legendadaltext">
    <w:name w:val="legenda_další text"/>
    <w:basedOn w:val="Legenda"/>
    <w:uiPriority w:val="99"/>
    <w:rsid w:val="000E20A0"/>
    <w:pPr>
      <w:tabs>
        <w:tab w:val="clear" w:pos="720"/>
      </w:tabs>
      <w:ind w:left="851" w:firstLine="0"/>
    </w:pPr>
  </w:style>
  <w:style w:type="table" w:customStyle="1" w:styleId="DERS">
    <w:name w:val="DERS"/>
    <w:uiPriority w:val="99"/>
    <w:rsid w:val="000E20A0"/>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CellMar>
        <w:top w:w="0" w:type="dxa"/>
        <w:left w:w="108" w:type="dxa"/>
        <w:bottom w:w="0" w:type="dxa"/>
        <w:right w:w="108" w:type="dxa"/>
      </w:tblCellMar>
    </w:tblPr>
  </w:style>
  <w:style w:type="paragraph" w:customStyle="1" w:styleId="Postupnadpis">
    <w:name w:val="Postup_nadpis"/>
    <w:basedOn w:val="Normln"/>
    <w:next w:val="slovanseznam"/>
    <w:uiPriority w:val="99"/>
    <w:rsid w:val="000E20A0"/>
    <w:pPr>
      <w:shd w:val="clear" w:color="auto" w:fill="595959"/>
      <w:tabs>
        <w:tab w:val="num" w:pos="720"/>
      </w:tabs>
      <w:spacing w:before="120" w:after="120"/>
      <w:ind w:left="720" w:hanging="720"/>
      <w:jc w:val="both"/>
    </w:pPr>
    <w:rPr>
      <w:rFonts w:ascii="Tahoma" w:hAnsi="Tahoma" w:cs="Tahoma"/>
      <w:b/>
      <w:bCs/>
      <w:sz w:val="20"/>
      <w:szCs w:val="20"/>
      <w:lang w:eastAsia="en-US"/>
    </w:rPr>
  </w:style>
  <w:style w:type="paragraph" w:customStyle="1" w:styleId="Nadpispriloh">
    <w:name w:val="Nadpis_priloh"/>
    <w:basedOn w:val="Nadpis1"/>
    <w:next w:val="Nadpis5"/>
    <w:uiPriority w:val="99"/>
    <w:rsid w:val="000E20A0"/>
    <w:pPr>
      <w:numPr>
        <w:numId w:val="0"/>
      </w:numPr>
      <w:pBdr>
        <w:top w:val="single" w:sz="4" w:space="1" w:color="808080"/>
        <w:bottom w:val="single" w:sz="4" w:space="1" w:color="808080"/>
      </w:pBdr>
      <w:tabs>
        <w:tab w:val="num" w:pos="432"/>
        <w:tab w:val="left" w:pos="3402"/>
      </w:tabs>
      <w:spacing w:before="240" w:after="120"/>
      <w:ind w:left="432" w:hanging="432"/>
    </w:pPr>
    <w:rPr>
      <w:rFonts w:ascii="Tahoma" w:hAnsi="Tahoma" w:cs="Tahoma"/>
      <w:smallCaps/>
      <w:color w:val="auto"/>
      <w:kern w:val="0"/>
      <w:sz w:val="28"/>
      <w:szCs w:val="28"/>
    </w:rPr>
  </w:style>
  <w:style w:type="paragraph" w:customStyle="1" w:styleId="Podnadpispriloh">
    <w:name w:val="Podnadpis_priloh"/>
    <w:basedOn w:val="Nadpis5"/>
    <w:next w:val="Zkladntext"/>
    <w:uiPriority w:val="99"/>
    <w:rsid w:val="000E20A0"/>
    <w:pPr>
      <w:keepNext/>
      <w:tabs>
        <w:tab w:val="num" w:pos="720"/>
        <w:tab w:val="left" w:pos="1134"/>
        <w:tab w:val="left" w:pos="3402"/>
      </w:tabs>
      <w:spacing w:after="360"/>
    </w:pPr>
    <w:rPr>
      <w:rFonts w:ascii="Tahoma" w:hAnsi="Tahoma" w:cs="Tahoma"/>
      <w:i/>
      <w:iCs/>
      <w:smallCaps/>
      <w:sz w:val="24"/>
      <w:szCs w:val="24"/>
    </w:rPr>
  </w:style>
  <w:style w:type="paragraph" w:customStyle="1" w:styleId="StylNadpis411b">
    <w:name w:val="Styl Nadpis 4 + 11 b."/>
    <w:basedOn w:val="Nadpis4"/>
    <w:uiPriority w:val="99"/>
    <w:rsid w:val="000E20A0"/>
    <w:pPr>
      <w:tabs>
        <w:tab w:val="num" w:pos="720"/>
        <w:tab w:val="left" w:pos="1134"/>
        <w:tab w:val="left" w:pos="3402"/>
      </w:tabs>
      <w:spacing w:after="360"/>
    </w:pPr>
    <w:rPr>
      <w:rFonts w:ascii="Tahoma" w:hAnsi="Tahoma" w:cs="Tahoma"/>
      <w:smallCaps/>
      <w:sz w:val="22"/>
      <w:szCs w:val="22"/>
    </w:rPr>
  </w:style>
  <w:style w:type="paragraph" w:styleId="slovanseznam">
    <w:name w:val="List Number"/>
    <w:basedOn w:val="Zkladntext"/>
    <w:uiPriority w:val="99"/>
    <w:rsid w:val="000E20A0"/>
    <w:pPr>
      <w:tabs>
        <w:tab w:val="num" w:pos="720"/>
      </w:tabs>
      <w:spacing w:before="60"/>
      <w:ind w:left="720" w:hanging="720"/>
      <w:outlineLvl w:val="5"/>
    </w:pPr>
  </w:style>
  <w:style w:type="paragraph" w:styleId="Odstavecseseznamem">
    <w:name w:val="List Paragraph"/>
    <w:basedOn w:val="Normln"/>
    <w:uiPriority w:val="99"/>
    <w:qFormat/>
    <w:rsid w:val="000E20A0"/>
    <w:pPr>
      <w:ind w:left="708"/>
    </w:pPr>
  </w:style>
  <w:style w:type="paragraph" w:customStyle="1" w:styleId="Nadpissmlouvy">
    <w:name w:val="Nadpis smlouvy"/>
    <w:basedOn w:val="Zkladntext"/>
    <w:next w:val="Odstavecsmlouvy"/>
    <w:qFormat/>
    <w:rsid w:val="00E42409"/>
    <w:pPr>
      <w:pBdr>
        <w:bottom w:val="single" w:sz="4" w:space="1" w:color="CA005D"/>
      </w:pBdr>
      <w:spacing w:before="0" w:after="240"/>
      <w:jc w:val="center"/>
    </w:pPr>
    <w:rPr>
      <w:b/>
      <w:bCs/>
      <w:noProof/>
      <w:sz w:val="40"/>
      <w:szCs w:val="40"/>
    </w:rPr>
  </w:style>
  <w:style w:type="paragraph" w:customStyle="1" w:styleId="Odrazkysmlouva">
    <w:name w:val="Odrazky_smlouva"/>
    <w:basedOn w:val="Zkladntext"/>
    <w:qFormat/>
    <w:rsid w:val="000E20A0"/>
    <w:pPr>
      <w:numPr>
        <w:ilvl w:val="3"/>
        <w:numId w:val="1"/>
      </w:numPr>
      <w:tabs>
        <w:tab w:val="left" w:pos="1418"/>
      </w:tabs>
      <w:spacing w:before="40" w:after="40"/>
      <w:outlineLvl w:val="3"/>
    </w:pPr>
    <w:rPr>
      <w:sz w:val="18"/>
      <w:szCs w:val="18"/>
    </w:rPr>
  </w:style>
  <w:style w:type="character" w:customStyle="1" w:styleId="OdstavecsmlouvyCharChar">
    <w:name w:val="Odstavec smlouvy Char Char"/>
    <w:uiPriority w:val="99"/>
    <w:locked/>
    <w:rsid w:val="000E20A0"/>
    <w:rPr>
      <w:rFonts w:ascii="Calibri" w:hAnsi="Calibri" w:cs="Calibri"/>
      <w:sz w:val="24"/>
      <w:szCs w:val="24"/>
      <w:lang w:val="cs-CZ" w:eastAsia="en-US"/>
    </w:rPr>
  </w:style>
  <w:style w:type="paragraph" w:customStyle="1" w:styleId="Smlouvazkladntext">
    <w:name w:val="Smlouva základní text"/>
    <w:basedOn w:val="Zkladntext3"/>
    <w:uiPriority w:val="99"/>
    <w:rsid w:val="000E20A0"/>
    <w:pPr>
      <w:spacing w:before="20" w:after="20"/>
    </w:pPr>
    <w:rPr>
      <w:sz w:val="18"/>
      <w:szCs w:val="18"/>
    </w:rPr>
  </w:style>
  <w:style w:type="paragraph" w:styleId="Zkladntext3">
    <w:name w:val="Body Text 3"/>
    <w:basedOn w:val="Normln"/>
    <w:link w:val="Zkladntext3Char"/>
    <w:uiPriority w:val="99"/>
    <w:rsid w:val="000E20A0"/>
    <w:pPr>
      <w:spacing w:after="120"/>
    </w:pPr>
    <w:rPr>
      <w:sz w:val="16"/>
      <w:szCs w:val="16"/>
    </w:rPr>
  </w:style>
  <w:style w:type="character" w:customStyle="1" w:styleId="Zkladntext3Char">
    <w:name w:val="Základní text 3 Char"/>
    <w:link w:val="Zkladntext3"/>
    <w:uiPriority w:val="99"/>
    <w:locked/>
    <w:rsid w:val="000E20A0"/>
    <w:rPr>
      <w:rFonts w:ascii="Calibri" w:hAnsi="Calibri" w:cs="Calibri"/>
      <w:sz w:val="16"/>
      <w:szCs w:val="16"/>
    </w:rPr>
  </w:style>
  <w:style w:type="table" w:customStyle="1" w:styleId="tabulkaDERS0">
    <w:name w:val="tabulka_DERS_0"/>
    <w:uiPriority w:val="99"/>
    <w:rsid w:val="000E20A0"/>
    <w:tblPr>
      <w:jc w:val="center"/>
      <w:tblBorders>
        <w:top w:val="single" w:sz="2" w:space="0" w:color="CA005D"/>
        <w:left w:val="single" w:sz="2" w:space="0" w:color="CA005D"/>
        <w:bottom w:val="single" w:sz="2" w:space="0" w:color="CA005D"/>
        <w:right w:val="single" w:sz="2" w:space="0" w:color="CA005D"/>
        <w:insideH w:val="single" w:sz="2" w:space="0" w:color="CA005D"/>
        <w:insideV w:val="single" w:sz="2" w:space="0" w:color="CA005D"/>
      </w:tblBorders>
      <w:tblCellMar>
        <w:top w:w="28" w:type="dxa"/>
        <w:left w:w="108" w:type="dxa"/>
        <w:bottom w:w="28" w:type="dxa"/>
        <w:right w:w="108" w:type="dxa"/>
      </w:tblCellMar>
    </w:tblPr>
    <w:trPr>
      <w:jc w:val="center"/>
    </w:trPr>
  </w:style>
  <w:style w:type="table" w:customStyle="1" w:styleId="TabulkaDERS4">
    <w:name w:val="Tabulka_DERS_4"/>
    <w:basedOn w:val="tabulkaDERS0"/>
    <w:uiPriority w:val="99"/>
    <w:rsid w:val="000E20A0"/>
    <w:tblPr>
      <w:tblBorders>
        <w:top w:val="single" w:sz="4" w:space="0" w:color="8A003E"/>
        <w:left w:val="single" w:sz="4" w:space="0" w:color="8A003E"/>
        <w:bottom w:val="single" w:sz="4" w:space="0" w:color="8A003E"/>
        <w:right w:val="single" w:sz="4" w:space="0" w:color="8A003E"/>
        <w:insideH w:val="single" w:sz="4" w:space="0" w:color="8A003E"/>
        <w:insideV w:val="single" w:sz="4" w:space="0" w:color="8A003E"/>
      </w:tblBorders>
    </w:tblPr>
    <w:tblStylePr w:type="firstRow">
      <w:pPr>
        <w:jc w:val="center"/>
      </w:pPr>
      <w:rPr>
        <w:rFonts w:ascii="Calibri" w:hAnsi="Calibri" w:cs="Calibri"/>
        <w:b/>
        <w:bCs/>
        <w:color w:val="404040"/>
        <w:sz w:val="22"/>
        <w:szCs w:val="22"/>
      </w:rPr>
      <w:tblPr/>
      <w:tcPr>
        <w:tcBorders>
          <w:top w:val="single" w:sz="4" w:space="0" w:color="8A003E"/>
          <w:left w:val="single" w:sz="4" w:space="0" w:color="8A003E"/>
          <w:bottom w:val="double" w:sz="4" w:space="0" w:color="740034"/>
          <w:right w:val="single" w:sz="4" w:space="0" w:color="8A003E"/>
          <w:insideH w:val="single" w:sz="4" w:space="0" w:color="8A003E"/>
          <w:insideV w:val="single" w:sz="4" w:space="0" w:color="8A003E"/>
          <w:tl2br w:val="nil"/>
          <w:tr2bl w:val="nil"/>
        </w:tcBorders>
        <w:shd w:val="clear" w:color="auto" w:fill="auto"/>
      </w:tcPr>
    </w:tblStylePr>
    <w:tblStylePr w:type="firstCol">
      <w:rPr>
        <w:rFonts w:ascii="Calibri" w:hAnsi="Calibri" w:cs="Calibri"/>
        <w:b/>
        <w:bCs/>
        <w:color w:val="404040"/>
        <w:sz w:val="22"/>
        <w:szCs w:val="22"/>
      </w:rPr>
      <w:tblPr/>
      <w:tcPr>
        <w:tcBorders>
          <w:top w:val="single" w:sz="4" w:space="0" w:color="8A003E"/>
          <w:left w:val="single" w:sz="4" w:space="0" w:color="8A003E"/>
          <w:bottom w:val="single" w:sz="4" w:space="0" w:color="8A003E"/>
          <w:right w:val="double" w:sz="4" w:space="0" w:color="740034"/>
          <w:insideH w:val="nil"/>
          <w:insideV w:val="nil"/>
        </w:tcBorders>
        <w:shd w:val="clear" w:color="auto" w:fill="auto"/>
      </w:tcPr>
    </w:tblStylePr>
  </w:style>
  <w:style w:type="table" w:customStyle="1" w:styleId="tabulkaDERS5">
    <w:name w:val="tabulka_DERS_5"/>
    <w:uiPriority w:val="99"/>
    <w:rsid w:val="000E20A0"/>
    <w:pPr>
      <w:jc w:val="center"/>
    </w:pPr>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CellMar>
        <w:top w:w="28" w:type="dxa"/>
        <w:left w:w="108" w:type="dxa"/>
        <w:bottom w:w="28" w:type="dxa"/>
        <w:right w:w="108" w:type="dxa"/>
      </w:tblCellMar>
    </w:tblPr>
    <w:tcPr>
      <w:shd w:val="clear" w:color="auto" w:fill="E4E4E4"/>
    </w:tcPr>
  </w:style>
  <w:style w:type="paragraph" w:styleId="Seznamsodrkami">
    <w:name w:val="List Bullet"/>
    <w:basedOn w:val="Zkladntext"/>
    <w:uiPriority w:val="99"/>
    <w:rsid w:val="000E20A0"/>
    <w:pPr>
      <w:numPr>
        <w:numId w:val="2"/>
      </w:numPr>
      <w:tabs>
        <w:tab w:val="num" w:pos="432"/>
      </w:tabs>
      <w:spacing w:after="200"/>
    </w:pPr>
  </w:style>
  <w:style w:type="table" w:customStyle="1" w:styleId="tabulkaDERS3">
    <w:name w:val="tabulka_DERS_3"/>
    <w:uiPriority w:val="99"/>
    <w:rsid w:val="000E20A0"/>
    <w:pPr>
      <w:keepNext/>
      <w:jc w:val="center"/>
    </w:pPr>
    <w:tblPr>
      <w:tblStyleRow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85" w:type="dxa"/>
        <w:left w:w="108" w:type="dxa"/>
        <w:bottom w:w="85" w:type="dxa"/>
        <w:right w:w="108" w:type="dxa"/>
      </w:tblCellMar>
    </w:tblPr>
    <w:trPr>
      <w:cantSplit/>
    </w:trPr>
  </w:style>
  <w:style w:type="paragraph" w:styleId="Seznamsodrkami2">
    <w:name w:val="List Bullet 2"/>
    <w:basedOn w:val="Zkladntext"/>
    <w:uiPriority w:val="99"/>
    <w:rsid w:val="000E20A0"/>
    <w:pPr>
      <w:numPr>
        <w:numId w:val="3"/>
      </w:numPr>
      <w:tabs>
        <w:tab w:val="num" w:pos="907"/>
      </w:tabs>
      <w:spacing w:before="60"/>
      <w:ind w:left="644"/>
    </w:pPr>
    <w:rPr>
      <w:sz w:val="20"/>
      <w:szCs w:val="20"/>
      <w:lang w:val="en-US"/>
    </w:rPr>
  </w:style>
  <w:style w:type="paragraph" w:customStyle="1" w:styleId="Tabulkanadpis0">
    <w:name w:val="Tabulka nadpis"/>
    <w:basedOn w:val="Zkladntext"/>
    <w:qFormat/>
    <w:rsid w:val="000E20A0"/>
    <w:pPr>
      <w:spacing w:before="0" w:after="0"/>
    </w:pPr>
    <w:rPr>
      <w:b/>
      <w:bCs/>
      <w:sz w:val="20"/>
      <w:szCs w:val="20"/>
      <w:lang w:val="en-US"/>
    </w:rPr>
  </w:style>
  <w:style w:type="paragraph" w:customStyle="1" w:styleId="Tabulkatext0">
    <w:name w:val="Tabulka text"/>
    <w:basedOn w:val="Normln"/>
    <w:qFormat/>
    <w:rsid w:val="000E20A0"/>
    <w:rPr>
      <w:sz w:val="20"/>
      <w:szCs w:val="20"/>
      <w:lang w:eastAsia="en-US"/>
    </w:rPr>
  </w:style>
  <w:style w:type="paragraph" w:styleId="Titulek">
    <w:name w:val="caption"/>
    <w:basedOn w:val="Normln"/>
    <w:next w:val="Zkladntext"/>
    <w:uiPriority w:val="99"/>
    <w:qFormat/>
    <w:rsid w:val="000E20A0"/>
    <w:pPr>
      <w:pBdr>
        <w:top w:val="single" w:sz="4" w:space="3" w:color="CA005D"/>
      </w:pBdr>
      <w:spacing w:after="200"/>
    </w:pPr>
    <w:rPr>
      <w:b/>
      <w:bCs/>
      <w:color w:val="7F7F7F"/>
      <w:sz w:val="16"/>
      <w:szCs w:val="16"/>
      <w:lang w:val="en-US" w:eastAsia="en-US"/>
    </w:rPr>
  </w:style>
  <w:style w:type="paragraph" w:customStyle="1" w:styleId="Dopiszkladntext">
    <w:name w:val="Dopis základní text"/>
    <w:basedOn w:val="Zkladntext"/>
    <w:uiPriority w:val="99"/>
    <w:rsid w:val="000E20A0"/>
    <w:pPr>
      <w:spacing w:before="240" w:after="240" w:line="288" w:lineRule="auto"/>
    </w:pPr>
  </w:style>
  <w:style w:type="paragraph" w:styleId="Podnadpis">
    <w:name w:val="Subtitle"/>
    <w:basedOn w:val="Normln"/>
    <w:next w:val="Normln"/>
    <w:link w:val="PodnadpisChar"/>
    <w:uiPriority w:val="11"/>
    <w:qFormat/>
    <w:pPr>
      <w:spacing w:before="1200" w:after="360"/>
      <w:jc w:val="center"/>
    </w:pPr>
    <w:rPr>
      <w:b/>
      <w:color w:val="595959"/>
      <w:sz w:val="44"/>
      <w:szCs w:val="44"/>
    </w:rPr>
  </w:style>
  <w:style w:type="character" w:customStyle="1" w:styleId="PodnadpisChar">
    <w:name w:val="Podnadpis Char"/>
    <w:link w:val="Podnadpis"/>
    <w:uiPriority w:val="99"/>
    <w:locked/>
    <w:rsid w:val="000E20A0"/>
    <w:rPr>
      <w:rFonts w:ascii="Calibri" w:eastAsia="MS Gothic" w:hAnsi="Calibri" w:cs="Calibri"/>
      <w:b/>
      <w:bCs/>
      <w:color w:val="595959"/>
      <w:sz w:val="22"/>
      <w:szCs w:val="22"/>
      <w:lang w:eastAsia="en-US"/>
    </w:rPr>
  </w:style>
  <w:style w:type="paragraph" w:styleId="slovanseznam2">
    <w:name w:val="List Number 2"/>
    <w:basedOn w:val="Zkladntext"/>
    <w:uiPriority w:val="99"/>
    <w:rsid w:val="000E20A0"/>
    <w:pPr>
      <w:tabs>
        <w:tab w:val="num" w:pos="720"/>
      </w:tabs>
      <w:spacing w:before="60"/>
      <w:ind w:left="681" w:hanging="720"/>
      <w:outlineLvl w:val="6"/>
    </w:pPr>
    <w:rPr>
      <w:sz w:val="20"/>
      <w:szCs w:val="20"/>
    </w:rPr>
  </w:style>
  <w:style w:type="table" w:customStyle="1" w:styleId="TabulkaDERS1">
    <w:name w:val="Tabulka_DERS_1"/>
    <w:uiPriority w:val="99"/>
    <w:rsid w:val="000E20A0"/>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CellMar>
        <w:top w:w="0" w:type="dxa"/>
        <w:left w:w="108" w:type="dxa"/>
        <w:bottom w:w="0" w:type="dxa"/>
        <w:right w:w="108" w:type="dxa"/>
      </w:tblCellMar>
    </w:tblPr>
  </w:style>
  <w:style w:type="table" w:customStyle="1" w:styleId="TabulkaDERS2">
    <w:name w:val="Tabulka_DERS_2"/>
    <w:basedOn w:val="TabulkaDERS1"/>
    <w:uiPriority w:val="99"/>
    <w:rsid w:val="000E20A0"/>
    <w:tblPr/>
    <w:tblStylePr w:type="firstRow">
      <w:rPr>
        <w:rFonts w:ascii="Calibri" w:hAnsi="Calibri" w:cs="Calibri"/>
        <w:b/>
        <w:bCs/>
        <w:color w:val="740034"/>
        <w:sz w:val="20"/>
        <w:szCs w:val="20"/>
      </w:rPr>
      <w:tblPr/>
      <w:tcPr>
        <w:shd w:val="clear" w:color="auto" w:fill="D9D9D9"/>
      </w:tcPr>
    </w:tblStylePr>
    <w:tblStylePr w:type="firstCol">
      <w:rPr>
        <w:rFonts w:ascii="Calibri" w:hAnsi="Calibri" w:cs="Calibri"/>
        <w:b/>
        <w:bCs/>
        <w:color w:val="740034"/>
        <w:sz w:val="20"/>
        <w:szCs w:val="20"/>
      </w:rPr>
      <w:tblPr/>
      <w:tcPr>
        <w:shd w:val="clear" w:color="auto" w:fill="D9D9D9"/>
      </w:tcPr>
    </w:tblStylePr>
  </w:style>
  <w:style w:type="paragraph" w:customStyle="1" w:styleId="StylTabulkatext9b">
    <w:name w:val="Styl Tabulka text + 9 b."/>
    <w:basedOn w:val="Tabulkatext0"/>
    <w:uiPriority w:val="99"/>
    <w:rsid w:val="000E20A0"/>
    <w:rPr>
      <w:sz w:val="18"/>
      <w:szCs w:val="18"/>
    </w:rPr>
  </w:style>
  <w:style w:type="paragraph" w:styleId="Revize">
    <w:name w:val="Revision"/>
    <w:hidden/>
    <w:uiPriority w:val="99"/>
    <w:semiHidden/>
    <w:rsid w:val="000E20A0"/>
  </w:style>
  <w:style w:type="numbering" w:customStyle="1" w:styleId="Vcerovovseznamproslovn2">
    <w:name w:val="Víceúrovňový seznam pro číslování 2"/>
    <w:rsid w:val="00B67413"/>
  </w:style>
  <w:style w:type="numbering" w:customStyle="1" w:styleId="slovntrojrovov">
    <w:name w:val="Číslování trojúrovňové"/>
    <w:rsid w:val="00B67413"/>
  </w:style>
  <w:style w:type="numbering" w:customStyle="1" w:styleId="slovantrojrovovseznam">
    <w:name w:val="Číslovaný trojúrovňový seznam"/>
    <w:rsid w:val="00B67413"/>
  </w:style>
  <w:style w:type="table" w:customStyle="1" w:styleId="DERS1">
    <w:name w:val="DERS1"/>
    <w:basedOn w:val="Normlntabulka"/>
    <w:rsid w:val="006934F8"/>
    <w:tblPr>
      <w:tblBorders>
        <w:top w:val="single" w:sz="4" w:space="0" w:color="CA005D"/>
        <w:left w:val="single" w:sz="4" w:space="0" w:color="CA005D"/>
        <w:bottom w:val="single" w:sz="4" w:space="0" w:color="CA005D"/>
        <w:right w:val="single" w:sz="4" w:space="0" w:color="CA005D"/>
        <w:insideH w:val="single" w:sz="4" w:space="0" w:color="CA005D"/>
        <w:insideV w:val="single" w:sz="4" w:space="0" w:color="CA005D"/>
      </w:tblBorders>
    </w:tblPr>
    <w:tblStylePr w:type="firstRow">
      <w:rPr>
        <w:rFonts w:ascii="Cambria" w:hAnsi="Cambria"/>
        <w:b/>
        <w:color w:val="920042"/>
      </w:rPr>
      <w:tblPr/>
      <w:tcPr>
        <w:shd w:val="clear" w:color="auto" w:fill="D9D9D9"/>
      </w:tcPr>
    </w:tblStylePr>
  </w:style>
  <w:style w:type="character" w:styleId="slostrnky">
    <w:name w:val="page number"/>
    <w:locked/>
    <w:rsid w:val="00E91396"/>
    <w:rPr>
      <w:rFonts w:ascii="Arial" w:hAnsi="Arial"/>
      <w:b/>
      <w:color w:val="000000"/>
      <w:sz w:val="20"/>
    </w:rPr>
  </w:style>
  <w:style w:type="paragraph" w:customStyle="1" w:styleId="Zkladntextodsazen1">
    <w:name w:val="Základní text odsazený1"/>
    <w:basedOn w:val="Normln"/>
    <w:rsid w:val="00511C9C"/>
    <w:pPr>
      <w:suppressAutoHyphens/>
      <w:ind w:left="567" w:hanging="709"/>
      <w:jc w:val="both"/>
    </w:pPr>
    <w:rPr>
      <w:rFonts w:ascii="Arial" w:hAnsi="Arial" w:cs="Arial"/>
      <w:lang w:eastAsia="ar-SA"/>
    </w:rPr>
  </w:style>
  <w:style w:type="character" w:styleId="Nevyeenzmnka">
    <w:name w:val="Unresolved Mention"/>
    <w:basedOn w:val="Standardnpsmoodstavce"/>
    <w:uiPriority w:val="99"/>
    <w:semiHidden/>
    <w:unhideWhenUsed/>
    <w:rsid w:val="00B57F35"/>
    <w:rPr>
      <w:color w:val="605E5C"/>
      <w:shd w:val="clear" w:color="auto" w:fill="E1DFDD"/>
    </w:rPr>
  </w:style>
  <w:style w:type="table" w:customStyle="1" w:styleId="a">
    <w:basedOn w:val="TableNormal0"/>
    <w:tblPr>
      <w:tblStyleRowBandSize w:val="1"/>
      <w:tblStyleColBandSize w:val="1"/>
      <w:tblCellMar>
        <w:top w:w="85" w:type="dxa"/>
        <w:left w:w="115" w:type="dxa"/>
        <w:bottom w:w="8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top w:w="28" w:type="dxa"/>
        <w:left w:w="115" w:type="dxa"/>
        <w:bottom w:w="28" w:type="dxa"/>
        <w:right w:w="115" w:type="dxa"/>
      </w:tblCellMar>
    </w:tblPr>
  </w:style>
  <w:style w:type="paragraph" w:styleId="Bezmezer">
    <w:name w:val="No Spacing"/>
    <w:uiPriority w:val="1"/>
    <w:qFormat/>
    <w:rsid w:val="00AD631A"/>
  </w:style>
  <w:style w:type="table" w:customStyle="1" w:styleId="a5">
    <w:basedOn w:val="TableNormal0"/>
    <w:tblPr>
      <w:tblStyleRowBandSize w:val="1"/>
      <w:tblStyleColBandSize w:val="1"/>
      <w:tblCellMar>
        <w:top w:w="28" w:type="dxa"/>
        <w:left w:w="115" w:type="dxa"/>
        <w:bottom w:w="28" w:type="dxa"/>
        <w:right w:w="115" w:type="dxa"/>
      </w:tblCellMar>
    </w:tblPr>
  </w:style>
  <w:style w:type="table" w:customStyle="1" w:styleId="a6">
    <w:basedOn w:val="TableNormal0"/>
    <w:tblPr>
      <w:tblStyleRowBandSize w:val="1"/>
      <w:tblStyleColBandSize w:val="1"/>
      <w:tblCellMar>
        <w:top w:w="28" w:type="dxa"/>
        <w:left w:w="115" w:type="dxa"/>
        <w:bottom w:w="28" w:type="dxa"/>
        <w:right w:w="115" w:type="dxa"/>
      </w:tblCellMar>
    </w:tblPr>
  </w:style>
  <w:style w:type="table" w:customStyle="1" w:styleId="a7">
    <w:basedOn w:val="TableNormal0"/>
    <w:tblPr>
      <w:tblStyleRowBandSize w:val="1"/>
      <w:tblStyleColBandSize w:val="1"/>
      <w:tblCellMar>
        <w:top w:w="28" w:type="dxa"/>
        <w:left w:w="115" w:type="dxa"/>
        <w:bottom w:w="28" w:type="dxa"/>
        <w:right w:w="115" w:type="dxa"/>
      </w:tblCellMar>
    </w:tblPr>
  </w:style>
  <w:style w:type="table" w:customStyle="1" w:styleId="a8">
    <w:basedOn w:val="TableNormal0"/>
    <w:tblPr>
      <w:tblStyleRowBandSize w:val="1"/>
      <w:tblStyleColBandSize w:val="1"/>
      <w:tblCellMar>
        <w:top w:w="28" w:type="dxa"/>
        <w:left w:w="115" w:type="dxa"/>
        <w:bottom w:w="28" w:type="dxa"/>
        <w:right w:w="115" w:type="dxa"/>
      </w:tblCellMar>
    </w:tblPr>
  </w:style>
  <w:style w:type="table" w:customStyle="1" w:styleId="a9">
    <w:basedOn w:val="TableNormal0"/>
    <w:tblPr>
      <w:tblStyleRowBandSize w:val="1"/>
      <w:tblStyleColBandSize w:val="1"/>
      <w:tblCellMar>
        <w:top w:w="28" w:type="dxa"/>
        <w:left w:w="115" w:type="dxa"/>
        <w:bottom w:w="28" w:type="dxa"/>
        <w:right w:w="115" w:type="dxa"/>
      </w:tblCellMar>
    </w:tblPr>
  </w:style>
  <w:style w:type="table" w:customStyle="1" w:styleId="aa">
    <w:basedOn w:val="TableNormal0"/>
    <w:tblPr>
      <w:tblStyleRowBandSize w:val="1"/>
      <w:tblStyleColBandSize w:val="1"/>
      <w:tblCellMar>
        <w:top w:w="28" w:type="dxa"/>
        <w:left w:w="115" w:type="dxa"/>
        <w:bottom w:w="2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712307">
      <w:bodyDiv w:val="1"/>
      <w:marLeft w:val="0"/>
      <w:marRight w:val="0"/>
      <w:marTop w:val="0"/>
      <w:marBottom w:val="0"/>
      <w:divBdr>
        <w:top w:val="none" w:sz="0" w:space="0" w:color="auto"/>
        <w:left w:val="none" w:sz="0" w:space="0" w:color="auto"/>
        <w:bottom w:val="none" w:sz="0" w:space="0" w:color="auto"/>
        <w:right w:val="none" w:sz="0" w:space="0" w:color="auto"/>
      </w:divBdr>
    </w:div>
    <w:div w:id="1176574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tel:%2B420%20224%20497%2022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wVS9Q3vIQwdDy/xDZTiMHmZLw==">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4995</Words>
  <Characters>29476</Characters>
  <Application>Microsoft Office Word</Application>
  <DocSecurity>0</DocSecurity>
  <Lines>245</Lines>
  <Paragraphs>68</Paragraphs>
  <ScaleCrop>false</ScaleCrop>
  <Company/>
  <LinksUpToDate>false</LinksUpToDate>
  <CharactersWithSpaces>34403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Milotová Nina</dc:creator>
  <cp:lastModifiedBy>Bilanyn Inna</cp:lastModifiedBy>
  <cp:revision>14</cp:revision>
  <dcterms:created xsi:type="dcterms:W3CDTF">2024-12-04T09:17:00Z</dcterms:created>
  <dcterms:modified xsi:type="dcterms:W3CDTF">2024-12-19T14:17:00Z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0x010100531CBF18AB3A1342ACD22C870FD31AAD</vt:lpwstr>
  </property>
</Properties>
</file>