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4684" w14:textId="77777777" w:rsidR="009452D6" w:rsidRDefault="009452D6">
      <w:pPr>
        <w:pStyle w:val="Zkladntext"/>
        <w:rPr>
          <w:rFonts w:ascii="Times New Roman"/>
        </w:rPr>
      </w:pPr>
    </w:p>
    <w:p w14:paraId="6D24011B" w14:textId="77777777" w:rsidR="009452D6" w:rsidRDefault="009452D6">
      <w:pPr>
        <w:pStyle w:val="Zkladntext"/>
        <w:rPr>
          <w:rFonts w:ascii="Times New Roman"/>
        </w:rPr>
      </w:pPr>
    </w:p>
    <w:p w14:paraId="194B49C5" w14:textId="77777777" w:rsidR="009452D6" w:rsidRDefault="009452D6">
      <w:pPr>
        <w:pStyle w:val="Zkladntext"/>
        <w:spacing w:before="10"/>
        <w:rPr>
          <w:rFonts w:ascii="Times New Roman"/>
          <w:sz w:val="22"/>
        </w:rPr>
      </w:pPr>
    </w:p>
    <w:p w14:paraId="7859BFD6" w14:textId="77777777" w:rsidR="009452D6" w:rsidRDefault="00AA3B94">
      <w:pPr>
        <w:spacing w:before="91"/>
        <w:ind w:left="582" w:right="532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 xml:space="preserve">Dodatek </w:t>
      </w:r>
      <w:r>
        <w:rPr>
          <w:rFonts w:ascii="Times New Roman" w:hAnsi="Times New Roman"/>
          <w:b/>
          <w:color w:val="212121"/>
          <w:w w:val="105"/>
        </w:rPr>
        <w:t xml:space="preserve">č. </w:t>
      </w:r>
      <w:r>
        <w:rPr>
          <w:b/>
          <w:color w:val="212121"/>
          <w:w w:val="105"/>
          <w:sz w:val="20"/>
        </w:rPr>
        <w:t>6</w:t>
      </w:r>
    </w:p>
    <w:p w14:paraId="26217A91" w14:textId="77777777" w:rsidR="009452D6" w:rsidRDefault="00AA3B94">
      <w:pPr>
        <w:spacing w:before="202"/>
        <w:ind w:left="582" w:right="544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 xml:space="preserve">ke smlouvě </w:t>
      </w:r>
      <w:r>
        <w:rPr>
          <w:rFonts w:ascii="Times New Roman" w:hAnsi="Times New Roman"/>
          <w:color w:val="212121"/>
          <w:w w:val="105"/>
          <w:sz w:val="23"/>
        </w:rPr>
        <w:t xml:space="preserve">č. </w:t>
      </w:r>
      <w:r>
        <w:rPr>
          <w:b/>
          <w:color w:val="212121"/>
          <w:w w:val="105"/>
          <w:sz w:val="20"/>
        </w:rPr>
        <w:t>ZAK 19-0266 ze dne   1.8.2019</w:t>
      </w:r>
    </w:p>
    <w:p w14:paraId="6D67D009" w14:textId="77777777" w:rsidR="009452D6" w:rsidRDefault="00AA3B94">
      <w:pPr>
        <w:spacing w:before="45"/>
        <w:ind w:left="582" w:right="570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>,,Komisionářská smlouva".</w:t>
      </w:r>
    </w:p>
    <w:p w14:paraId="42A4CE6C" w14:textId="77777777" w:rsidR="009452D6" w:rsidRDefault="009452D6">
      <w:pPr>
        <w:pStyle w:val="Zkladntext"/>
        <w:rPr>
          <w:b/>
          <w:sz w:val="22"/>
        </w:rPr>
      </w:pPr>
    </w:p>
    <w:p w14:paraId="478FE777" w14:textId="77777777" w:rsidR="009452D6" w:rsidRDefault="009452D6">
      <w:pPr>
        <w:pStyle w:val="Zkladntext"/>
        <w:spacing w:before="7"/>
        <w:rPr>
          <w:b/>
          <w:sz w:val="22"/>
        </w:rPr>
      </w:pPr>
    </w:p>
    <w:p w14:paraId="76AF9F16" w14:textId="77777777" w:rsidR="009452D6" w:rsidRDefault="00AA3B94">
      <w:pPr>
        <w:ind w:left="129"/>
        <w:rPr>
          <w:b/>
          <w:sz w:val="20"/>
        </w:rPr>
      </w:pPr>
      <w:r>
        <w:rPr>
          <w:b/>
          <w:color w:val="212121"/>
          <w:w w:val="105"/>
          <w:sz w:val="20"/>
        </w:rPr>
        <w:t>Institut plánování a rozvoje hlavního města Prahy, příspěvková organizace</w:t>
      </w:r>
    </w:p>
    <w:p w14:paraId="4A770D8C" w14:textId="77777777" w:rsidR="009452D6" w:rsidRDefault="00AA3B94">
      <w:pPr>
        <w:spacing w:before="38" w:line="276" w:lineRule="auto"/>
        <w:ind w:left="131" w:hanging="3"/>
        <w:rPr>
          <w:sz w:val="21"/>
        </w:rPr>
      </w:pPr>
      <w:r>
        <w:rPr>
          <w:color w:val="212121"/>
          <w:sz w:val="21"/>
        </w:rPr>
        <w:t>zastoupený: Mgr. Adamem Švejdou, zástupcem ředitele pro ekonomickou a provozní činnost sídlo: Vyšehradská 57/2077, 128 00, Praha 2 -  Nové Město</w:t>
      </w:r>
    </w:p>
    <w:p w14:paraId="544F85C1" w14:textId="77777777" w:rsidR="009452D6" w:rsidRDefault="00AA3B94">
      <w:pPr>
        <w:spacing w:line="280" w:lineRule="auto"/>
        <w:ind w:left="127" w:right="628" w:firstLine="1"/>
        <w:rPr>
          <w:sz w:val="21"/>
        </w:rPr>
      </w:pPr>
      <w:r>
        <w:rPr>
          <w:color w:val="212121"/>
          <w:sz w:val="21"/>
        </w:rPr>
        <w:t>zapsán v obchodním rejstříku, vedeném Městským soudem v Praze, oddíl Pr, vl. 63 IČO: 70883858</w:t>
      </w:r>
    </w:p>
    <w:p w14:paraId="09CB2B69" w14:textId="77777777" w:rsidR="009452D6" w:rsidRDefault="00AA3B94">
      <w:pPr>
        <w:spacing w:line="238" w:lineRule="exact"/>
        <w:ind w:left="131"/>
        <w:rPr>
          <w:sz w:val="21"/>
        </w:rPr>
      </w:pPr>
      <w:r>
        <w:rPr>
          <w:color w:val="212121"/>
          <w:sz w:val="21"/>
        </w:rPr>
        <w:t>DIČ: CZ70883858</w:t>
      </w:r>
    </w:p>
    <w:p w14:paraId="6313D284" w14:textId="77777777" w:rsidR="00AA3B94" w:rsidRDefault="00AA3B94">
      <w:pPr>
        <w:spacing w:before="32" w:line="280" w:lineRule="auto"/>
        <w:ind w:left="129" w:right="5210" w:hanging="1"/>
        <w:rPr>
          <w:color w:val="212121"/>
          <w:sz w:val="21"/>
        </w:rPr>
      </w:pPr>
      <w:r>
        <w:rPr>
          <w:color w:val="212121"/>
          <w:sz w:val="21"/>
        </w:rPr>
        <w:t>bankovní spojení: xxx</w:t>
      </w:r>
    </w:p>
    <w:p w14:paraId="524D1D01" w14:textId="6C498B9F" w:rsidR="009452D6" w:rsidRDefault="00AA3B94">
      <w:pPr>
        <w:spacing w:before="32" w:line="280" w:lineRule="auto"/>
        <w:ind w:left="129" w:right="5210" w:hanging="1"/>
        <w:rPr>
          <w:sz w:val="21"/>
        </w:rPr>
      </w:pPr>
      <w:r>
        <w:rPr>
          <w:color w:val="212121"/>
          <w:sz w:val="21"/>
        </w:rPr>
        <w:t xml:space="preserve"> číslo účtu: xxx</w:t>
      </w:r>
    </w:p>
    <w:p w14:paraId="735EA29A" w14:textId="77777777" w:rsidR="009452D6" w:rsidRDefault="009452D6">
      <w:pPr>
        <w:pStyle w:val="Zkladntext"/>
        <w:spacing w:before="9"/>
        <w:rPr>
          <w:sz w:val="23"/>
        </w:rPr>
      </w:pPr>
    </w:p>
    <w:p w14:paraId="1090D5B9" w14:textId="77777777" w:rsidR="009452D6" w:rsidRDefault="00AA3B94">
      <w:pPr>
        <w:spacing w:before="1"/>
        <w:ind w:left="125"/>
        <w:rPr>
          <w:b/>
          <w:sz w:val="20"/>
        </w:rPr>
      </w:pPr>
      <w:r>
        <w:rPr>
          <w:color w:val="212121"/>
          <w:sz w:val="21"/>
        </w:rPr>
        <w:t xml:space="preserve">(dále  jen </w:t>
      </w:r>
      <w:r>
        <w:rPr>
          <w:b/>
          <w:color w:val="212121"/>
          <w:sz w:val="20"/>
        </w:rPr>
        <w:t>„komitent")</w:t>
      </w:r>
    </w:p>
    <w:p w14:paraId="1F63E3B7" w14:textId="77777777" w:rsidR="009452D6" w:rsidRDefault="009452D6">
      <w:pPr>
        <w:pStyle w:val="Zkladntext"/>
        <w:spacing w:before="2"/>
        <w:rPr>
          <w:b/>
          <w:sz w:val="26"/>
        </w:rPr>
      </w:pPr>
    </w:p>
    <w:p w14:paraId="56239E39" w14:textId="77777777" w:rsidR="009452D6" w:rsidRDefault="00AA3B94">
      <w:pPr>
        <w:pStyle w:val="Nadpis1"/>
        <w:spacing w:before="1"/>
      </w:pPr>
      <w:r>
        <w:rPr>
          <w:color w:val="212121"/>
          <w:w w:val="107"/>
        </w:rPr>
        <w:t>a</w:t>
      </w:r>
    </w:p>
    <w:p w14:paraId="2F79DA22" w14:textId="77777777" w:rsidR="009452D6" w:rsidRDefault="009452D6">
      <w:pPr>
        <w:pStyle w:val="Zkladntext"/>
        <w:spacing w:before="3"/>
        <w:rPr>
          <w:rFonts w:ascii="Times New Roman"/>
          <w:b/>
          <w:sz w:val="27"/>
        </w:rPr>
      </w:pPr>
    </w:p>
    <w:p w14:paraId="70B213A1" w14:textId="77777777" w:rsidR="009452D6" w:rsidRDefault="00AA3B94">
      <w:pPr>
        <w:ind w:left="123"/>
        <w:rPr>
          <w:b/>
          <w:sz w:val="20"/>
        </w:rPr>
      </w:pPr>
      <w:r>
        <w:rPr>
          <w:b/>
          <w:color w:val="212121"/>
          <w:w w:val="105"/>
          <w:sz w:val="20"/>
        </w:rPr>
        <w:t>PlateFive s. r. o.</w:t>
      </w:r>
    </w:p>
    <w:p w14:paraId="7AA7FA0D" w14:textId="77777777" w:rsidR="009452D6" w:rsidRDefault="00AA3B94">
      <w:pPr>
        <w:spacing w:before="38"/>
        <w:ind w:left="119"/>
        <w:rPr>
          <w:sz w:val="21"/>
        </w:rPr>
      </w:pPr>
      <w:r>
        <w:rPr>
          <w:color w:val="212121"/>
          <w:sz w:val="21"/>
        </w:rPr>
        <w:t>zastoupená: Štěpánem Soukupem, jednatelem</w:t>
      </w:r>
    </w:p>
    <w:p w14:paraId="1930BA96" w14:textId="77777777" w:rsidR="009452D6" w:rsidRDefault="00AA3B94">
      <w:pPr>
        <w:spacing w:before="36" w:line="280" w:lineRule="auto"/>
        <w:ind w:left="121" w:hanging="3"/>
        <w:rPr>
          <w:sz w:val="21"/>
        </w:rPr>
      </w:pPr>
      <w:r>
        <w:rPr>
          <w:color w:val="212121"/>
          <w:sz w:val="21"/>
        </w:rPr>
        <w:t>zapsaný v obchodním rejstříku vedeném Městským soudem v Praze, oddíl C, vložka 276257 sídlo: Veverkova 1410/8, 170 00 Praha 7</w:t>
      </w:r>
    </w:p>
    <w:p w14:paraId="7D72DBB0" w14:textId="77777777" w:rsidR="009452D6" w:rsidRDefault="00AA3B94">
      <w:pPr>
        <w:spacing w:line="276" w:lineRule="auto"/>
        <w:ind w:left="116" w:right="6988" w:firstLine="1"/>
        <w:rPr>
          <w:sz w:val="21"/>
        </w:rPr>
      </w:pPr>
      <w:r>
        <w:rPr>
          <w:color w:val="212121"/>
          <w:sz w:val="21"/>
        </w:rPr>
        <w:t>IČO: 06107869 DIČ: CZ06107869</w:t>
      </w:r>
    </w:p>
    <w:p w14:paraId="02ADC413" w14:textId="77777777" w:rsidR="00AA3B94" w:rsidRDefault="00AA3B94">
      <w:pPr>
        <w:spacing w:before="5" w:line="276" w:lineRule="auto"/>
        <w:ind w:left="115" w:right="6097" w:hanging="1"/>
        <w:rPr>
          <w:color w:val="212121"/>
          <w:sz w:val="21"/>
        </w:rPr>
      </w:pPr>
      <w:r>
        <w:rPr>
          <w:color w:val="212121"/>
          <w:sz w:val="21"/>
        </w:rPr>
        <w:t>bankovní spojení xxx</w:t>
      </w:r>
    </w:p>
    <w:p w14:paraId="3A62EEEA" w14:textId="3BD38064" w:rsidR="009452D6" w:rsidRDefault="00AA3B94">
      <w:pPr>
        <w:spacing w:before="5" w:line="276" w:lineRule="auto"/>
        <w:ind w:left="115" w:right="6097" w:hanging="1"/>
        <w:rPr>
          <w:sz w:val="21"/>
        </w:rPr>
      </w:pPr>
      <w:r>
        <w:rPr>
          <w:color w:val="212121"/>
          <w:sz w:val="21"/>
        </w:rPr>
        <w:t>číslo účtu: xxx</w:t>
      </w:r>
    </w:p>
    <w:p w14:paraId="00746A24" w14:textId="77777777" w:rsidR="009452D6" w:rsidRDefault="009452D6">
      <w:pPr>
        <w:pStyle w:val="Zkladntext"/>
        <w:spacing w:before="3"/>
        <w:rPr>
          <w:sz w:val="24"/>
        </w:rPr>
      </w:pPr>
    </w:p>
    <w:p w14:paraId="0D18A679" w14:textId="77777777" w:rsidR="009452D6" w:rsidRDefault="00AA3B94">
      <w:pPr>
        <w:ind w:left="115"/>
        <w:rPr>
          <w:b/>
          <w:sz w:val="20"/>
        </w:rPr>
      </w:pPr>
      <w:r>
        <w:rPr>
          <w:color w:val="212121"/>
          <w:sz w:val="21"/>
        </w:rPr>
        <w:t xml:space="preserve">(dále jen </w:t>
      </w:r>
      <w:r>
        <w:rPr>
          <w:b/>
          <w:color w:val="212121"/>
          <w:sz w:val="20"/>
        </w:rPr>
        <w:t>„komisionář")</w:t>
      </w:r>
    </w:p>
    <w:p w14:paraId="05B716B3" w14:textId="77777777" w:rsidR="009452D6" w:rsidRDefault="009452D6">
      <w:pPr>
        <w:pStyle w:val="Zkladntext"/>
        <w:rPr>
          <w:b/>
          <w:sz w:val="22"/>
        </w:rPr>
      </w:pPr>
    </w:p>
    <w:p w14:paraId="5BEE8C7B" w14:textId="77777777" w:rsidR="009452D6" w:rsidRDefault="009452D6">
      <w:pPr>
        <w:pStyle w:val="Zkladntext"/>
        <w:rPr>
          <w:b/>
          <w:sz w:val="22"/>
        </w:rPr>
      </w:pPr>
    </w:p>
    <w:p w14:paraId="69903CC2" w14:textId="77777777" w:rsidR="009452D6" w:rsidRDefault="009452D6">
      <w:pPr>
        <w:pStyle w:val="Zkladntext"/>
        <w:spacing w:before="1"/>
        <w:rPr>
          <w:b/>
          <w:sz w:val="27"/>
        </w:rPr>
      </w:pPr>
    </w:p>
    <w:p w14:paraId="5D77E08D" w14:textId="77777777" w:rsidR="009452D6" w:rsidRDefault="00AA3B94">
      <w:pPr>
        <w:spacing w:line="280" w:lineRule="auto"/>
        <w:ind w:left="104" w:firstLine="9"/>
        <w:rPr>
          <w:sz w:val="21"/>
        </w:rPr>
      </w:pPr>
      <w:r>
        <w:rPr>
          <w:color w:val="212121"/>
          <w:sz w:val="21"/>
        </w:rPr>
        <w:t>Shora uvedení účastníci, dále označovaní jednotlivě jako „komitent" a „komisionář", společně pak jako „smluvní strany" uzavřeli níže uvedeného dne, měsíce a roku tento:</w:t>
      </w:r>
    </w:p>
    <w:p w14:paraId="5AEE67A6" w14:textId="77777777" w:rsidR="009452D6" w:rsidRDefault="009452D6">
      <w:pPr>
        <w:pStyle w:val="Zkladntext"/>
        <w:spacing w:before="1"/>
        <w:rPr>
          <w:sz w:val="23"/>
        </w:rPr>
      </w:pPr>
    </w:p>
    <w:p w14:paraId="070B30C3" w14:textId="77777777" w:rsidR="009452D6" w:rsidRDefault="00AA3B94">
      <w:pPr>
        <w:ind w:left="582" w:right="616"/>
        <w:jc w:val="center"/>
        <w:rPr>
          <w:sz w:val="21"/>
        </w:rPr>
      </w:pPr>
      <w:r>
        <w:rPr>
          <w:b/>
          <w:color w:val="212121"/>
          <w:w w:val="105"/>
          <w:sz w:val="20"/>
        </w:rPr>
        <w:t xml:space="preserve">Dodatek </w:t>
      </w:r>
      <w:r>
        <w:rPr>
          <w:rFonts w:ascii="Times New Roman" w:hAnsi="Times New Roman"/>
          <w:b/>
          <w:color w:val="212121"/>
          <w:w w:val="105"/>
        </w:rPr>
        <w:t xml:space="preserve">č. </w:t>
      </w:r>
      <w:r>
        <w:rPr>
          <w:b/>
          <w:color w:val="212121"/>
          <w:w w:val="105"/>
          <w:sz w:val="20"/>
        </w:rPr>
        <w:t xml:space="preserve">6 ke smlouvě </w:t>
      </w:r>
      <w:r>
        <w:rPr>
          <w:rFonts w:ascii="Times New Roman" w:hAnsi="Times New Roman"/>
          <w:b/>
          <w:color w:val="212121"/>
          <w:w w:val="105"/>
        </w:rPr>
        <w:t xml:space="preserve">č. </w:t>
      </w:r>
      <w:r>
        <w:rPr>
          <w:b/>
          <w:color w:val="212121"/>
          <w:w w:val="105"/>
          <w:sz w:val="20"/>
        </w:rPr>
        <w:t xml:space="preserve">ZAK 19 </w:t>
      </w:r>
      <w:r>
        <w:rPr>
          <w:color w:val="212121"/>
          <w:w w:val="105"/>
          <w:sz w:val="20"/>
        </w:rPr>
        <w:t xml:space="preserve">- </w:t>
      </w:r>
      <w:r>
        <w:rPr>
          <w:b/>
          <w:color w:val="212121"/>
          <w:w w:val="105"/>
          <w:sz w:val="20"/>
        </w:rPr>
        <w:t xml:space="preserve">0266 ze dne 1.8.2019 </w:t>
      </w:r>
      <w:r>
        <w:rPr>
          <w:color w:val="212121"/>
          <w:w w:val="105"/>
          <w:sz w:val="21"/>
        </w:rPr>
        <w:t>(dále jen</w:t>
      </w:r>
      <w:r>
        <w:rPr>
          <w:color w:val="212121"/>
          <w:spacing w:val="5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„dodatek")</w:t>
      </w:r>
    </w:p>
    <w:p w14:paraId="535A5A11" w14:textId="77777777" w:rsidR="009452D6" w:rsidRDefault="009452D6">
      <w:pPr>
        <w:pStyle w:val="Zkladntext"/>
        <w:spacing w:before="5"/>
        <w:rPr>
          <w:sz w:val="25"/>
        </w:rPr>
      </w:pPr>
    </w:p>
    <w:p w14:paraId="4C3E24FA" w14:textId="77777777" w:rsidR="009452D6" w:rsidRDefault="00AA3B94">
      <w:pPr>
        <w:spacing w:before="1"/>
        <w:ind w:left="570" w:right="616"/>
        <w:jc w:val="center"/>
        <w:rPr>
          <w:b/>
          <w:sz w:val="20"/>
        </w:rPr>
      </w:pPr>
      <w:r>
        <w:rPr>
          <w:rFonts w:ascii="Times New Roman" w:hAnsi="Times New Roman"/>
          <w:color w:val="212121"/>
          <w:sz w:val="21"/>
        </w:rPr>
        <w:t xml:space="preserve">Čl.  </w:t>
      </w:r>
      <w:r>
        <w:rPr>
          <w:rFonts w:ascii="Times New Roman" w:hAnsi="Times New Roman"/>
          <w:color w:val="212121"/>
          <w:w w:val="95"/>
          <w:sz w:val="23"/>
        </w:rPr>
        <w:t xml:space="preserve">I </w:t>
      </w:r>
      <w:r>
        <w:rPr>
          <w:b/>
          <w:color w:val="212121"/>
          <w:sz w:val="20"/>
        </w:rPr>
        <w:t>úvodní ustanovení</w:t>
      </w:r>
    </w:p>
    <w:p w14:paraId="071D6CC1" w14:textId="77777777" w:rsidR="009452D6" w:rsidRDefault="00AA3B94">
      <w:pPr>
        <w:pStyle w:val="Nadpis2"/>
        <w:spacing w:before="142"/>
      </w:pPr>
      <w:r>
        <w:rPr>
          <w:color w:val="212121"/>
        </w:rPr>
        <w:t>Smluvní  strany  uzavřely  dne 1. 8. 2019 komisionářskou smlouvu   ZAK  19-0266  (dále   jen</w:t>
      </w:r>
    </w:p>
    <w:p w14:paraId="0EE1EB1A" w14:textId="77777777" w:rsidR="009452D6" w:rsidRDefault="00AA3B94">
      <w:pPr>
        <w:spacing w:before="36" w:line="276" w:lineRule="auto"/>
        <w:ind w:left="105" w:right="115" w:firstLine="1"/>
        <w:rPr>
          <w:sz w:val="21"/>
        </w:rPr>
      </w:pPr>
      <w:r>
        <w:rPr>
          <w:color w:val="212121"/>
          <w:sz w:val="21"/>
        </w:rPr>
        <w:t xml:space="preserve">„smlouva").  Ke  smlouvě  byl  uzavřen  dodatek  č.  1  ze  dne  31.12.2019,   dodatek  č.  2   ze   dne   11. 1. 2021,  dodatek  č. 3 ze dne 31.12.2021  , dodatek  č. 4 ze dne 30. 12.  </w:t>
      </w:r>
      <w:r>
        <w:rPr>
          <w:color w:val="212121"/>
          <w:spacing w:val="45"/>
          <w:sz w:val="21"/>
        </w:rPr>
        <w:t xml:space="preserve"> </w:t>
      </w:r>
      <w:r>
        <w:rPr>
          <w:color w:val="212121"/>
          <w:sz w:val="21"/>
        </w:rPr>
        <w:t>2022</w:t>
      </w:r>
    </w:p>
    <w:p w14:paraId="0C0506C3" w14:textId="77777777" w:rsidR="009452D6" w:rsidRDefault="00AA3B94">
      <w:pPr>
        <w:ind w:left="101"/>
        <w:rPr>
          <w:sz w:val="21"/>
        </w:rPr>
      </w:pPr>
      <w:r>
        <w:rPr>
          <w:color w:val="212121"/>
          <w:sz w:val="21"/>
        </w:rPr>
        <w:t>a dodatek č 5 ze dne 20. 12. 2023.</w:t>
      </w:r>
    </w:p>
    <w:p w14:paraId="37E110CD" w14:textId="77777777" w:rsidR="009452D6" w:rsidRDefault="009452D6">
      <w:pPr>
        <w:rPr>
          <w:sz w:val="21"/>
        </w:rPr>
        <w:sectPr w:rsidR="009452D6">
          <w:headerReference w:type="default" r:id="rId7"/>
          <w:footerReference w:type="default" r:id="rId8"/>
          <w:type w:val="continuous"/>
          <w:pgSz w:w="11910" w:h="16840"/>
          <w:pgMar w:top="1240" w:right="1500" w:bottom="2280" w:left="1480" w:header="881" w:footer="2090" w:gutter="0"/>
          <w:cols w:space="708"/>
        </w:sectPr>
      </w:pPr>
    </w:p>
    <w:p w14:paraId="504E5785" w14:textId="77777777" w:rsidR="009452D6" w:rsidRDefault="009452D6">
      <w:pPr>
        <w:pStyle w:val="Zkladntext"/>
      </w:pPr>
    </w:p>
    <w:p w14:paraId="68807B5B" w14:textId="77777777" w:rsidR="009452D6" w:rsidRDefault="009452D6">
      <w:pPr>
        <w:pStyle w:val="Zkladntext"/>
      </w:pPr>
    </w:p>
    <w:p w14:paraId="24093D6F" w14:textId="77777777" w:rsidR="009452D6" w:rsidRDefault="009452D6">
      <w:pPr>
        <w:pStyle w:val="Zkladntext"/>
        <w:spacing w:before="11"/>
        <w:rPr>
          <w:sz w:val="15"/>
        </w:rPr>
      </w:pPr>
    </w:p>
    <w:p w14:paraId="7F080960" w14:textId="77777777" w:rsidR="009452D6" w:rsidRDefault="009452D6">
      <w:pPr>
        <w:pStyle w:val="Zkladntext"/>
        <w:spacing w:before="1"/>
        <w:rPr>
          <w:sz w:val="13"/>
        </w:rPr>
      </w:pPr>
    </w:p>
    <w:p w14:paraId="725C926C" w14:textId="77777777" w:rsidR="009452D6" w:rsidRDefault="00AA3B94">
      <w:pPr>
        <w:pStyle w:val="Zkladntext"/>
        <w:spacing w:before="94" w:line="295" w:lineRule="auto"/>
        <w:ind w:left="1623" w:hanging="1"/>
      </w:pPr>
      <w:r>
        <w:rPr>
          <w:color w:val="212121"/>
          <w:w w:val="105"/>
        </w:rPr>
        <w:t>Smluvní strany se dohodly, že čl. IV. odst. 1 smlouvy se s účinností tohoto dodatku nahrazuje následujícím zněním:</w:t>
      </w:r>
    </w:p>
    <w:p w14:paraId="646A1E76" w14:textId="77777777" w:rsidR="009452D6" w:rsidRDefault="00AA3B94">
      <w:pPr>
        <w:pStyle w:val="Zkladntext"/>
        <w:spacing w:before="112" w:line="295" w:lineRule="auto"/>
        <w:ind w:left="1620" w:right="1064"/>
      </w:pPr>
      <w:r>
        <w:rPr>
          <w:color w:val="212121"/>
          <w:w w:val="105"/>
        </w:rPr>
        <w:t>„Tato smlouva  se uzavírá na dobu určitou, účinnosti nabývá  zveřejněním  v registru  smluv   a končí dnem 31. 12.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2025".</w:t>
      </w:r>
    </w:p>
    <w:p w14:paraId="561F7DFE" w14:textId="77777777" w:rsidR="009452D6" w:rsidRDefault="009452D6">
      <w:pPr>
        <w:pStyle w:val="Zkladntext"/>
        <w:rPr>
          <w:sz w:val="22"/>
        </w:rPr>
      </w:pPr>
    </w:p>
    <w:p w14:paraId="11314D0C" w14:textId="77777777" w:rsidR="009452D6" w:rsidRDefault="009452D6">
      <w:pPr>
        <w:pStyle w:val="Zkladntext"/>
        <w:rPr>
          <w:sz w:val="22"/>
        </w:rPr>
      </w:pPr>
    </w:p>
    <w:p w14:paraId="2B657BAF" w14:textId="77777777" w:rsidR="009452D6" w:rsidRDefault="009452D6">
      <w:pPr>
        <w:pStyle w:val="Zkladntext"/>
        <w:rPr>
          <w:sz w:val="22"/>
        </w:rPr>
      </w:pPr>
    </w:p>
    <w:p w14:paraId="6F46B67F" w14:textId="77777777" w:rsidR="009452D6" w:rsidRDefault="00AA3B94">
      <w:pPr>
        <w:spacing w:before="135"/>
        <w:ind w:left="4555" w:right="3948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>Čl. Ill Závěrečná ustanovení</w:t>
      </w:r>
    </w:p>
    <w:p w14:paraId="06D422BF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9"/>
        </w:tabs>
        <w:spacing w:before="163" w:line="290" w:lineRule="auto"/>
        <w:ind w:right="983" w:hanging="342"/>
        <w:jc w:val="both"/>
        <w:rPr>
          <w:sz w:val="20"/>
        </w:rPr>
      </w:pPr>
      <w:r>
        <w:rPr>
          <w:color w:val="212121"/>
          <w:w w:val="105"/>
          <w:sz w:val="20"/>
        </w:rPr>
        <w:t>Komisionář uvádí, že v identifikaci smluvních stran je obsažena u komisionáře změna obchodního jména. Ostatní ujednání smlouvy jsou tímto dodatkem nedotčena.</w:t>
      </w:r>
    </w:p>
    <w:p w14:paraId="1345AF90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5"/>
        </w:tabs>
        <w:spacing w:before="116" w:line="295" w:lineRule="auto"/>
        <w:ind w:left="2302" w:right="992" w:hanging="340"/>
        <w:jc w:val="both"/>
        <w:rPr>
          <w:sz w:val="20"/>
        </w:rPr>
      </w:pPr>
      <w:r>
        <w:rPr>
          <w:color w:val="212121"/>
          <w:w w:val="105"/>
          <w:sz w:val="20"/>
        </w:rPr>
        <w:t>Tento dodatek se vyhotovuje ve dvou stejnopisech, z nichž každý má platnost originálu, přičemž každá ze smluvních stran obdrží po</w:t>
      </w:r>
      <w:r>
        <w:rPr>
          <w:color w:val="212121"/>
          <w:spacing w:val="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jednom.</w:t>
      </w:r>
    </w:p>
    <w:p w14:paraId="736CE74C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3"/>
        </w:tabs>
        <w:spacing w:before="112"/>
        <w:ind w:left="2303" w:hanging="344"/>
        <w:rPr>
          <w:sz w:val="20"/>
        </w:rPr>
      </w:pPr>
      <w:r>
        <w:rPr>
          <w:color w:val="212121"/>
          <w:w w:val="105"/>
          <w:sz w:val="20"/>
        </w:rPr>
        <w:t>Dodatek se řídí právním režimem smlouvy a tvoří její nedílnou</w:t>
      </w:r>
      <w:r>
        <w:rPr>
          <w:color w:val="212121"/>
          <w:spacing w:val="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součást.</w:t>
      </w:r>
    </w:p>
    <w:p w14:paraId="33F25375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5"/>
        </w:tabs>
        <w:spacing w:before="163" w:line="290" w:lineRule="auto"/>
        <w:ind w:left="2302" w:right="983" w:hanging="342"/>
        <w:jc w:val="both"/>
        <w:rPr>
          <w:sz w:val="20"/>
        </w:rPr>
      </w:pPr>
      <w:r>
        <w:rPr>
          <w:color w:val="212121"/>
          <w:w w:val="105"/>
          <w:sz w:val="20"/>
        </w:rPr>
        <w:t>Smluvní strany prohlašují, že osoby podepisující tento dodatek jsou k tomuto úkonu oprávněny.</w:t>
      </w:r>
    </w:p>
    <w:p w14:paraId="72788B4A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0"/>
        </w:tabs>
        <w:spacing w:line="295" w:lineRule="auto"/>
        <w:ind w:left="2296" w:right="990" w:hanging="342"/>
        <w:jc w:val="both"/>
        <w:rPr>
          <w:sz w:val="20"/>
        </w:rPr>
      </w:pPr>
      <w:r>
        <w:rPr>
          <w:color w:val="212121"/>
          <w:w w:val="105"/>
          <w:sz w:val="20"/>
        </w:rPr>
        <w:t>Smluvní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strany</w:t>
      </w:r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shodně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prohlašují,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že</w:t>
      </w:r>
      <w:r>
        <w:rPr>
          <w:color w:val="212121"/>
          <w:spacing w:val="-1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dodatek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uzavírají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ze</w:t>
      </w:r>
      <w:r>
        <w:rPr>
          <w:color w:val="212121"/>
          <w:spacing w:val="-1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svobodné</w:t>
      </w:r>
      <w:r>
        <w:rPr>
          <w:color w:val="212121"/>
          <w:spacing w:val="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vůle,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nikoliv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tísni a jsou s jeho obsahem seznámeny a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srozuměny.</w:t>
      </w:r>
    </w:p>
    <w:p w14:paraId="15848348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300"/>
        </w:tabs>
        <w:spacing w:before="107" w:line="290" w:lineRule="auto"/>
        <w:ind w:left="2293" w:right="988" w:hanging="338"/>
        <w:jc w:val="both"/>
        <w:rPr>
          <w:sz w:val="20"/>
        </w:rPr>
      </w:pPr>
      <w:r>
        <w:rPr>
          <w:color w:val="212121"/>
          <w:w w:val="105"/>
          <w:sz w:val="20"/>
        </w:rPr>
        <w:t>Smluvní strany výslovně souhlasí s uveřejněním této smlouvy v registru smluv dle zákona č. 340/2015 Sb., o zvláštních podmínkách účinnosti některých smluv, uveřejňování těchto smluv a o registru smluv (zákon o registru smluv). Komitent zajistí zveřejnění smlouvy zasláním správci registru smluv nejpozději ve lhůtě do 30 dnů od podpisu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smlouvy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oběma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smluvními stranami.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Komisionář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obdrží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potvrzení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uveřejnění v registru smluv automaticky vygenerované správcem registru smluv do své datové schránky.</w:t>
      </w:r>
    </w:p>
    <w:p w14:paraId="17AD1C21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295"/>
        </w:tabs>
        <w:spacing w:line="290" w:lineRule="auto"/>
        <w:ind w:left="2290" w:right="1002" w:hanging="341"/>
        <w:jc w:val="both"/>
        <w:rPr>
          <w:sz w:val="20"/>
        </w:rPr>
      </w:pPr>
      <w:r>
        <w:rPr>
          <w:color w:val="212121"/>
          <w:w w:val="105"/>
          <w:sz w:val="20"/>
        </w:rPr>
        <w:t>Smluvní strany dále prohlašují,  že  skutečnosti  uvedené  v tomto  dodatku  nepovažují za obchodní tajemství ve smyslu ustanovení § 504 občanského zákoníku  a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udělují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svolení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k</w:t>
      </w:r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jejich</w:t>
      </w:r>
      <w:r>
        <w:rPr>
          <w:color w:val="212121"/>
          <w:spacing w:val="-1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užití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zveřejnění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bez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stanovení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jakýqhkoliv</w:t>
      </w:r>
      <w:r>
        <w:rPr>
          <w:color w:val="212121"/>
          <w:spacing w:val="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dalších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podmínek.</w:t>
      </w:r>
    </w:p>
    <w:p w14:paraId="671CCF97" w14:textId="77777777" w:rsidR="009452D6" w:rsidRDefault="00AA3B94">
      <w:pPr>
        <w:pStyle w:val="Odstavecseseznamem"/>
        <w:numPr>
          <w:ilvl w:val="0"/>
          <w:numId w:val="1"/>
        </w:numPr>
        <w:tabs>
          <w:tab w:val="left" w:pos="2289"/>
        </w:tabs>
        <w:spacing w:before="116"/>
        <w:ind w:left="2288"/>
        <w:rPr>
          <w:sz w:val="20"/>
        </w:rPr>
      </w:pPr>
      <w:r>
        <w:rPr>
          <w:color w:val="212121"/>
          <w:w w:val="105"/>
          <w:sz w:val="20"/>
        </w:rPr>
        <w:t>Dodatek nabývá účinnosti dnem jeho zveřejnění v registru</w:t>
      </w:r>
      <w:r>
        <w:rPr>
          <w:color w:val="212121"/>
          <w:spacing w:val="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smluv.</w:t>
      </w:r>
    </w:p>
    <w:p w14:paraId="5754B722" w14:textId="77777777" w:rsidR="009452D6" w:rsidRDefault="009452D6">
      <w:pPr>
        <w:pStyle w:val="Zkladntext"/>
      </w:pPr>
    </w:p>
    <w:p w14:paraId="6802870A" w14:textId="77777777" w:rsidR="009452D6" w:rsidRDefault="009452D6">
      <w:pPr>
        <w:pStyle w:val="Zkladntext"/>
        <w:spacing w:before="9"/>
        <w:rPr>
          <w:sz w:val="18"/>
        </w:rPr>
      </w:pPr>
    </w:p>
    <w:p w14:paraId="440375DB" w14:textId="11201CC3" w:rsidR="009452D6" w:rsidRDefault="00AA3B94">
      <w:pPr>
        <w:pStyle w:val="Zkladntext"/>
        <w:ind w:left="1602"/>
      </w:pPr>
      <w:r>
        <w:rPr>
          <w:color w:val="212121"/>
          <w:w w:val="105"/>
        </w:rPr>
        <w:t>V Praze dne:</w:t>
      </w:r>
    </w:p>
    <w:p w14:paraId="49A06901" w14:textId="7C3893E1" w:rsidR="009452D6" w:rsidRDefault="00AA3B94" w:rsidP="00AA3B94">
      <w:pPr>
        <w:pStyle w:val="Zkladntext"/>
        <w:tabs>
          <w:tab w:val="left" w:pos="3761"/>
        </w:tabs>
        <w:spacing w:before="122" w:line="411" w:lineRule="exact"/>
        <w:ind w:left="1599"/>
        <w:rPr>
          <w:rFonts w:ascii="Courier New"/>
          <w:sz w:val="85"/>
        </w:rPr>
        <w:sectPr w:rsidR="009452D6">
          <w:footerReference w:type="default" r:id="rId9"/>
          <w:pgSz w:w="11910" w:h="16840"/>
          <w:pgMar w:top="1240" w:right="600" w:bottom="1740" w:left="0" w:header="881" w:footer="1552" w:gutter="0"/>
          <w:cols w:space="708"/>
        </w:sectPr>
      </w:pPr>
      <w:r>
        <w:rPr>
          <w:color w:val="212121"/>
          <w:w w:val="105"/>
        </w:rPr>
        <w:t>za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komitenta:</w:t>
      </w:r>
    </w:p>
    <w:p w14:paraId="29E93218" w14:textId="635FDFA4" w:rsidR="009452D6" w:rsidRDefault="00AA3B94">
      <w:pPr>
        <w:spacing w:before="32"/>
        <w:ind w:left="2252"/>
        <w:rPr>
          <w:b/>
          <w:sz w:val="20"/>
        </w:rPr>
      </w:pPr>
      <w:r>
        <w:pict w14:anchorId="67B6AEB2">
          <v:line id="_x0000_s2051" style="position:absolute;left:0;text-align:left;z-index:1072;mso-position-horizontal-relative:page;mso-position-vertical-relative:page" from="2.4pt,3.1pt" to="47.05pt,3.1pt" strokecolor="#cfcfcf" strokeweight="1.44pt">
            <w10:wrap anchorx="page" anchory="page"/>
          </v:line>
        </w:pict>
      </w:r>
      <w:r>
        <w:pict w14:anchorId="6658C02C">
          <v:line id="_x0000_s2050" style="position:absolute;left:0;text-align:left;z-index:1096;mso-position-horizontal-relative:page;mso-position-vertical-relative:page" from="133.45pt,3.1pt" to="169.9pt,3.1pt" strokecolor="#cfcfcf" strokeweight="1.44pt">
            <w10:wrap anchorx="page" anchory="page"/>
          </v:line>
        </w:pict>
      </w:r>
      <w:r>
        <w:rPr>
          <w:b/>
          <w:color w:val="212121"/>
          <w:w w:val="105"/>
          <w:sz w:val="20"/>
        </w:rPr>
        <w:t>A</w:t>
      </w:r>
      <w:r>
        <w:rPr>
          <w:b/>
          <w:color w:val="212121"/>
          <w:w w:val="105"/>
          <w:sz w:val="20"/>
        </w:rPr>
        <w:t>dam Švejda</w:t>
      </w:r>
    </w:p>
    <w:p w14:paraId="723382C8" w14:textId="6C2464D7" w:rsidR="009452D6" w:rsidRDefault="00AA3B94">
      <w:pPr>
        <w:pStyle w:val="Zkladntext"/>
        <w:spacing w:before="38" w:line="285" w:lineRule="auto"/>
        <w:ind w:left="1596" w:right="165" w:firstLine="388"/>
      </w:pPr>
      <w:r>
        <w:rPr>
          <w:color w:val="212121"/>
          <w:w w:val="105"/>
        </w:rPr>
        <w:t>zást</w:t>
      </w:r>
      <w:r>
        <w:rPr>
          <w:color w:val="212121"/>
          <w:w w:val="105"/>
        </w:rPr>
        <w:t>upce ředitele pro ekonomickou a provozní činnost</w:t>
      </w:r>
    </w:p>
    <w:p w14:paraId="3D2D181C" w14:textId="77777777" w:rsidR="009452D6" w:rsidRDefault="00AA3B94">
      <w:pPr>
        <w:pStyle w:val="Zkladntext"/>
        <w:spacing w:before="10" w:line="285" w:lineRule="auto"/>
        <w:ind w:left="1594" w:right="-17" w:hanging="1"/>
      </w:pPr>
      <w:r>
        <w:rPr>
          <w:color w:val="212121"/>
          <w:w w:val="105"/>
        </w:rPr>
        <w:t>Institut plánování a rozvoje hlavního města Prahy, příspěvková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organizace</w:t>
      </w:r>
    </w:p>
    <w:p w14:paraId="0602C1EB" w14:textId="77777777" w:rsidR="009452D6" w:rsidRDefault="00AA3B94">
      <w:pPr>
        <w:pStyle w:val="Zkladntext"/>
        <w:rPr>
          <w:sz w:val="22"/>
        </w:rPr>
      </w:pPr>
      <w:r>
        <w:br w:type="column"/>
      </w:r>
    </w:p>
    <w:p w14:paraId="32D5FC62" w14:textId="77777777" w:rsidR="009452D6" w:rsidRDefault="009452D6">
      <w:pPr>
        <w:pStyle w:val="Zkladntext"/>
        <w:rPr>
          <w:sz w:val="22"/>
        </w:rPr>
      </w:pPr>
    </w:p>
    <w:p w14:paraId="5640154A" w14:textId="77777777" w:rsidR="009452D6" w:rsidRDefault="009452D6">
      <w:pPr>
        <w:pStyle w:val="Zkladntext"/>
        <w:spacing w:before="2"/>
        <w:rPr>
          <w:sz w:val="30"/>
        </w:rPr>
      </w:pPr>
    </w:p>
    <w:p w14:paraId="737DA1FA" w14:textId="77777777" w:rsidR="009452D6" w:rsidRDefault="00AA3B94">
      <w:pPr>
        <w:pStyle w:val="Zkladntext"/>
        <w:ind w:left="1594"/>
      </w:pPr>
      <w:r>
        <w:rPr>
          <w:color w:val="212121"/>
          <w:w w:val="105"/>
        </w:rPr>
        <w:t>PlateFive s.r.o</w:t>
      </w:r>
    </w:p>
    <w:sectPr w:rsidR="009452D6">
      <w:type w:val="continuous"/>
      <w:pgSz w:w="11910" w:h="16840"/>
      <w:pgMar w:top="1240" w:right="600" w:bottom="2280" w:left="0" w:header="708" w:footer="708" w:gutter="0"/>
      <w:cols w:num="2" w:space="708" w:equalWidth="0">
        <w:col w:w="5106" w:space="317"/>
        <w:col w:w="58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312B6" w14:textId="77777777" w:rsidR="00AA3B94" w:rsidRDefault="00AA3B94">
      <w:r>
        <w:separator/>
      </w:r>
    </w:p>
  </w:endnote>
  <w:endnote w:type="continuationSeparator" w:id="0">
    <w:p w14:paraId="13F482D6" w14:textId="77777777" w:rsidR="00AA3B94" w:rsidRDefault="00AA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2FC86" w14:textId="77777777" w:rsidR="009452D6" w:rsidRDefault="00AA3B94">
    <w:pPr>
      <w:pStyle w:val="Zkladntext"/>
      <w:spacing w:line="14" w:lineRule="auto"/>
    </w:pPr>
    <w:r>
      <w:pict w14:anchorId="0367751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9.3pt;margin-top:726.15pt;width:112.85pt;height:13.75pt;z-index:-5104;mso-position-horizontal-relative:page;mso-position-vertical-relative:page" filled="f" stroked="f">
          <v:textbox inset="0,0,0,0">
            <w:txbxContent>
              <w:p w14:paraId="0222090D" w14:textId="77777777" w:rsidR="009452D6" w:rsidRDefault="00AA3B9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12121"/>
                    <w:w w:val="105"/>
                    <w:sz w:val="20"/>
                  </w:rPr>
                  <w:t xml:space="preserve">Čl. </w:t>
                </w:r>
                <w:r>
                  <w:rPr>
                    <w:b/>
                    <w:color w:val="212121"/>
                    <w:w w:val="105"/>
                    <w:sz w:val="21"/>
                  </w:rPr>
                  <w:t xml:space="preserve">li </w:t>
                </w:r>
                <w:r>
                  <w:rPr>
                    <w:b/>
                    <w:color w:val="212121"/>
                    <w:w w:val="105"/>
                    <w:sz w:val="20"/>
                  </w:rPr>
                  <w:t>Předmět dodatku</w:t>
                </w:r>
              </w:p>
            </w:txbxContent>
          </v:textbox>
          <w10:wrap anchorx="page" anchory="page"/>
        </v:shape>
      </w:pict>
    </w:r>
    <w:r>
      <w:pict w14:anchorId="33034414">
        <v:shape id="_x0000_s1026" type="#_x0000_t202" style="position:absolute;margin-left:291.95pt;margin-top:756pt;width:7.2pt;height:13.1pt;z-index:-5080;mso-position-horizontal-relative:page;mso-position-vertical-relative:page" filled="f" stroked="f">
          <v:textbox inset="0,0,0,0">
            <w:txbxContent>
              <w:p w14:paraId="1DD972B1" w14:textId="77777777" w:rsidR="009452D6" w:rsidRDefault="00AA3B94">
                <w:pPr>
                  <w:pStyle w:val="Zkladntext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12121"/>
                    <w:w w:val="10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5662" w14:textId="77777777" w:rsidR="009452D6" w:rsidRDefault="00AA3B94">
    <w:pPr>
      <w:pStyle w:val="Zkladntext"/>
      <w:spacing w:line="14" w:lineRule="auto"/>
    </w:pPr>
    <w:r>
      <w:pict w14:anchorId="1F5775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pt;margin-top:753.1pt;width:7.3pt;height:12.1pt;z-index:-5056;mso-position-horizontal-relative:page;mso-position-vertical-relative:page" filled="f" stroked="f">
          <v:textbox inset="0,0,0,0">
            <w:txbxContent>
              <w:p w14:paraId="523D9588" w14:textId="77777777" w:rsidR="009452D6" w:rsidRDefault="00AA3B9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212121"/>
                    <w:w w:val="104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50FCC" w14:textId="77777777" w:rsidR="00AA3B94" w:rsidRDefault="00AA3B94">
      <w:r>
        <w:separator/>
      </w:r>
    </w:p>
  </w:footnote>
  <w:footnote w:type="continuationSeparator" w:id="0">
    <w:p w14:paraId="100D13EA" w14:textId="77777777" w:rsidR="00AA3B94" w:rsidRDefault="00AA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9AA58" w14:textId="77777777" w:rsidR="009452D6" w:rsidRDefault="00AA3B94">
    <w:pPr>
      <w:pStyle w:val="Zkladntext"/>
      <w:spacing w:line="14" w:lineRule="auto"/>
    </w:pPr>
    <w:r>
      <w:pict w14:anchorId="65081DA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0.25pt;margin-top:39.05pt;width:152.95pt;height:24.15pt;z-index:-5128;mso-position-horizontal-relative:page;mso-position-vertical-relative:page" filled="f" stroked="f">
          <v:textbox inset="0,0,0,0">
            <w:txbxContent>
              <w:p w14:paraId="01911D41" w14:textId="77777777" w:rsidR="009452D6" w:rsidRDefault="00AA3B94">
                <w:pPr>
                  <w:spacing w:before="11" w:line="225" w:lineRule="exact"/>
                  <w:ind w:left="20"/>
                  <w:rPr>
                    <w:sz w:val="18"/>
                  </w:rPr>
                </w:pPr>
                <w:r>
                  <w:rPr>
                    <w:rFonts w:ascii="Times New Roman" w:hAnsi="Times New Roman"/>
                    <w:color w:val="212121"/>
                    <w:w w:val="105"/>
                    <w:sz w:val="20"/>
                  </w:rPr>
                  <w:t xml:space="preserve">č. </w:t>
                </w:r>
                <w:r>
                  <w:rPr>
                    <w:color w:val="212121"/>
                    <w:w w:val="105"/>
                    <w:sz w:val="18"/>
                  </w:rPr>
                  <w:t>smlouvy komitenta: ZAK 19-0266</w:t>
                </w:r>
              </w:p>
              <w:p w14:paraId="371BEB41" w14:textId="77777777" w:rsidR="009452D6" w:rsidRDefault="00AA3B94">
                <w:pPr>
                  <w:spacing w:line="225" w:lineRule="exact"/>
                  <w:ind w:left="20"/>
                  <w:rPr>
                    <w:sz w:val="18"/>
                  </w:rPr>
                </w:pPr>
                <w:r>
                  <w:rPr>
                    <w:rFonts w:ascii="Times New Roman" w:hAnsi="Times New Roman"/>
                    <w:color w:val="212121"/>
                    <w:w w:val="110"/>
                    <w:sz w:val="20"/>
                  </w:rPr>
                  <w:t xml:space="preserve">č. </w:t>
                </w:r>
                <w:r>
                  <w:rPr>
                    <w:color w:val="212121"/>
                    <w:w w:val="110"/>
                    <w:sz w:val="18"/>
                  </w:rPr>
                  <w:t>smlouvy komisionáře: ............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42C3B"/>
    <w:multiLevelType w:val="hybridMultilevel"/>
    <w:tmpl w:val="2998294A"/>
    <w:lvl w:ilvl="0" w:tplc="6802B0F0">
      <w:start w:val="1"/>
      <w:numFmt w:val="decimal"/>
      <w:lvlText w:val="%1."/>
      <w:lvlJc w:val="left"/>
      <w:pPr>
        <w:ind w:left="2307" w:hanging="343"/>
        <w:jc w:val="left"/>
      </w:pPr>
      <w:rPr>
        <w:rFonts w:ascii="Arial" w:eastAsia="Arial" w:hAnsi="Arial" w:cs="Arial" w:hint="default"/>
        <w:color w:val="212121"/>
        <w:spacing w:val="0"/>
        <w:w w:val="103"/>
        <w:sz w:val="20"/>
        <w:szCs w:val="20"/>
      </w:rPr>
    </w:lvl>
    <w:lvl w:ilvl="1" w:tplc="6E7859C8">
      <w:numFmt w:val="bullet"/>
      <w:lvlText w:val="•"/>
      <w:lvlJc w:val="left"/>
      <w:pPr>
        <w:ind w:left="3200" w:hanging="343"/>
      </w:pPr>
      <w:rPr>
        <w:rFonts w:hint="default"/>
      </w:rPr>
    </w:lvl>
    <w:lvl w:ilvl="2" w:tplc="A3E290F2">
      <w:numFmt w:val="bullet"/>
      <w:lvlText w:val="•"/>
      <w:lvlJc w:val="left"/>
      <w:pPr>
        <w:ind w:left="4100" w:hanging="343"/>
      </w:pPr>
      <w:rPr>
        <w:rFonts w:hint="default"/>
      </w:rPr>
    </w:lvl>
    <w:lvl w:ilvl="3" w:tplc="2A00A78A">
      <w:numFmt w:val="bullet"/>
      <w:lvlText w:val="•"/>
      <w:lvlJc w:val="left"/>
      <w:pPr>
        <w:ind w:left="5001" w:hanging="343"/>
      </w:pPr>
      <w:rPr>
        <w:rFonts w:hint="default"/>
      </w:rPr>
    </w:lvl>
    <w:lvl w:ilvl="4" w:tplc="EC9CAA82">
      <w:numFmt w:val="bullet"/>
      <w:lvlText w:val="•"/>
      <w:lvlJc w:val="left"/>
      <w:pPr>
        <w:ind w:left="5901" w:hanging="343"/>
      </w:pPr>
      <w:rPr>
        <w:rFonts w:hint="default"/>
      </w:rPr>
    </w:lvl>
    <w:lvl w:ilvl="5" w:tplc="E9B452EC">
      <w:numFmt w:val="bullet"/>
      <w:lvlText w:val="•"/>
      <w:lvlJc w:val="left"/>
      <w:pPr>
        <w:ind w:left="6802" w:hanging="343"/>
      </w:pPr>
      <w:rPr>
        <w:rFonts w:hint="default"/>
      </w:rPr>
    </w:lvl>
    <w:lvl w:ilvl="6" w:tplc="A99A0F14">
      <w:numFmt w:val="bullet"/>
      <w:lvlText w:val="•"/>
      <w:lvlJc w:val="left"/>
      <w:pPr>
        <w:ind w:left="7702" w:hanging="343"/>
      </w:pPr>
      <w:rPr>
        <w:rFonts w:hint="default"/>
      </w:rPr>
    </w:lvl>
    <w:lvl w:ilvl="7" w:tplc="E1E6B812">
      <w:numFmt w:val="bullet"/>
      <w:lvlText w:val="•"/>
      <w:lvlJc w:val="left"/>
      <w:pPr>
        <w:ind w:left="8602" w:hanging="343"/>
      </w:pPr>
      <w:rPr>
        <w:rFonts w:hint="default"/>
      </w:rPr>
    </w:lvl>
    <w:lvl w:ilvl="8" w:tplc="2B6AED2C">
      <w:numFmt w:val="bullet"/>
      <w:lvlText w:val="•"/>
      <w:lvlJc w:val="left"/>
      <w:pPr>
        <w:ind w:left="9503" w:hanging="343"/>
      </w:pPr>
      <w:rPr>
        <w:rFonts w:hint="default"/>
      </w:rPr>
    </w:lvl>
  </w:abstractNum>
  <w:num w:numId="1" w16cid:durableId="1932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2D6"/>
    <w:rsid w:val="004673F6"/>
    <w:rsid w:val="009452D6"/>
    <w:rsid w:val="00A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CFFB24E"/>
  <w15:docId w15:val="{1DAD5D93-9CF9-405A-910A-1DDA0634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04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1"/>
      <w:ind w:left="2302" w:hanging="34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3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3B9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A3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B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SKM_C300i24121914010</dc:title>
  <cp:lastModifiedBy>Záhorská Zuzana (SPR/VEZ)</cp:lastModifiedBy>
  <cp:revision>2</cp:revision>
  <dcterms:created xsi:type="dcterms:W3CDTF">2024-12-19T14:33:00Z</dcterms:created>
  <dcterms:modified xsi:type="dcterms:W3CDTF">2024-12-19T13:36:00Z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KM_C300i</vt:lpwstr>
  </property>
  <property fmtid="{D5CDD505-2E9C-101B-9397-08002B2CF9AE}" pid="4" name="LastSaved">
    <vt:filetime>2024-12-19T00:00:00Z</vt:filetime>
  </property>
</Properties>
</file>