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F92759E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A858BB">
        <w:rPr>
          <w:rFonts w:cstheme="minorHAnsi"/>
          <w:b/>
          <w:sz w:val="28"/>
        </w:rPr>
        <w:t>4</w:t>
      </w:r>
      <w:r w:rsidR="00073838">
        <w:rPr>
          <w:rFonts w:cstheme="minorHAnsi"/>
          <w:b/>
          <w:sz w:val="28"/>
        </w:rPr>
        <w:t>9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56EF7119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351C82">
        <w:rPr>
          <w:sz w:val="22"/>
        </w:rPr>
        <w:t>4SX</w:t>
      </w:r>
      <w:r w:rsidR="00073838">
        <w:rPr>
          <w:sz w:val="22"/>
        </w:rPr>
        <w:t>4833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073838">
        <w:rPr>
          <w:sz w:val="22"/>
        </w:rPr>
        <w:t>únik oleje, pomalé pohyby</w:t>
      </w:r>
      <w:r w:rsidR="00045DA7"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7F148C00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073838">
        <w:rPr>
          <w:rFonts w:cstheme="minorHAnsi"/>
          <w:b/>
          <w:sz w:val="22"/>
        </w:rPr>
        <w:t>21.305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197416E4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01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2DAAC03C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4CD3BBAD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7373802F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140600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1C7A831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322C01">
        <w:rPr>
          <w:rFonts w:cstheme="minorHAnsi"/>
          <w:sz w:val="22"/>
        </w:rPr>
        <w:t>10</w:t>
      </w:r>
      <w:r w:rsidR="00A84CCD">
        <w:rPr>
          <w:rFonts w:cstheme="minorHAnsi"/>
          <w:sz w:val="22"/>
        </w:rPr>
        <w:t>.</w:t>
      </w:r>
      <w:r w:rsidR="00A858BB">
        <w:rPr>
          <w:rFonts w:cstheme="minorHAnsi"/>
          <w:sz w:val="22"/>
        </w:rPr>
        <w:t>1</w:t>
      </w:r>
      <w:r w:rsidR="00322C01">
        <w:rPr>
          <w:rFonts w:cstheme="minorHAnsi"/>
          <w:sz w:val="22"/>
        </w:rPr>
        <w:t>2</w:t>
      </w:r>
      <w:r w:rsidR="00A84CCD">
        <w:rPr>
          <w:rFonts w:cstheme="minorHAnsi"/>
          <w:sz w:val="22"/>
        </w:rPr>
        <w:t>.2024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0600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18446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182</cp:revision>
  <cp:lastPrinted>2024-10-30T14:31:00Z</cp:lastPrinted>
  <dcterms:created xsi:type="dcterms:W3CDTF">2021-03-01T07:51:00Z</dcterms:created>
  <dcterms:modified xsi:type="dcterms:W3CDTF">2024-12-19T10:04:00Z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